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305"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305"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305"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305"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305" w:rightChars="127"/>
        <w:jc w:val="center"/>
        <w:rPr>
          <w:rFonts w:hint="eastAsia" w:ascii="黑体" w:hAnsi="黑体" w:eastAsia="黑体"/>
          <w:b/>
          <w:bCs/>
          <w:color w:val="000000"/>
          <w:spacing w:val="-40"/>
          <w:sz w:val="48"/>
          <w:szCs w:val="48"/>
          <w:highlight w:val="none"/>
          <w:lang w:eastAsia="zh-CN"/>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48"/>
          <w:szCs w:val="48"/>
          <w:highlight w:val="none"/>
          <w14:shadow w14:blurRad="50800" w14:dist="38100" w14:dir="2700000" w14:sx="100000" w14:sy="100000" w14:kx="0" w14:ky="0" w14:algn="tl">
            <w14:srgbClr w14:val="000000">
              <w14:alpha w14:val="60000"/>
            </w14:srgbClr>
          </w14:shadow>
        </w:rPr>
        <w:t>合肥经济技术开发区</w:t>
      </w:r>
      <w:r>
        <w:rPr>
          <w:rFonts w:hint="eastAsia" w:ascii="黑体" w:hAnsi="黑体" w:eastAsia="黑体"/>
          <w:b/>
          <w:bCs/>
          <w:color w:val="000000"/>
          <w:spacing w:val="-40"/>
          <w:sz w:val="48"/>
          <w:szCs w:val="48"/>
          <w:highlight w:val="none"/>
          <w:lang w:eastAsia="zh-CN"/>
          <w14:shadow w14:blurRad="50800" w14:dist="38100" w14:dir="2700000" w14:sx="100000" w14:sy="100000" w14:kx="0" w14:ky="0" w14:algn="tl">
            <w14:srgbClr w14:val="000000">
              <w14:alpha w14:val="60000"/>
            </w14:srgbClr>
          </w14:shadow>
        </w:rPr>
        <w:t>公用事业发展有限</w:t>
      </w:r>
      <w:r>
        <w:rPr>
          <w:rFonts w:hint="eastAsia" w:ascii="黑体" w:hAnsi="黑体" w:eastAsia="黑体"/>
          <w:b/>
          <w:bCs/>
          <w:color w:val="000000"/>
          <w:spacing w:val="-40"/>
          <w:sz w:val="48"/>
          <w:szCs w:val="48"/>
          <w:highlight w:val="none"/>
          <w:lang w:val="en-US" w:eastAsia="zh-CN"/>
          <w14:shadow w14:blurRad="50800" w14:dist="38100" w14:dir="2700000" w14:sx="100000" w14:sy="100000" w14:kx="0" w14:ky="0" w14:algn="tl">
            <w14:srgbClr w14:val="000000">
              <w14:alpha w14:val="60000"/>
            </w14:srgbClr>
          </w14:shadow>
        </w:rPr>
        <w:t>公</w:t>
      </w:r>
      <w:r>
        <w:rPr>
          <w:rFonts w:hint="eastAsia" w:ascii="黑体" w:hAnsi="黑体" w:eastAsia="黑体"/>
          <w:b/>
          <w:bCs/>
          <w:color w:val="000000"/>
          <w:spacing w:val="-40"/>
          <w:sz w:val="48"/>
          <w:szCs w:val="48"/>
          <w:highlight w:val="none"/>
          <w:lang w:eastAsia="zh-CN"/>
          <w14:shadow w14:blurRad="50800" w14:dist="38100" w14:dir="2700000" w14:sx="100000" w14:sy="100000" w14:kx="0" w14:ky="0" w14:algn="tl">
            <w14:srgbClr w14:val="000000">
              <w14:alpha w14:val="60000"/>
            </w14:srgbClr>
          </w14:shadow>
        </w:rPr>
        <w:t>司</w:t>
      </w:r>
    </w:p>
    <w:p>
      <w:pPr>
        <w:tabs>
          <w:tab w:val="left" w:pos="315"/>
          <w:tab w:val="left" w:pos="8820"/>
        </w:tabs>
        <w:spacing w:line="500" w:lineRule="exact"/>
        <w:ind w:right="305" w:rightChars="127"/>
        <w:jc w:val="center"/>
        <w:rPr>
          <w:rFonts w:ascii="黑体" w:hAnsi="黑体" w:eastAsia="黑体"/>
          <w:color w:val="000000"/>
          <w:sz w:val="48"/>
          <w:szCs w:val="48"/>
          <w:highlight w:val="none"/>
        </w:rPr>
      </w:pPr>
      <w:r>
        <w:rPr>
          <w:rFonts w:hint="eastAsia" w:ascii="黑体" w:hAnsi="黑体" w:eastAsia="黑体"/>
          <w:b/>
          <w:bCs/>
          <w:color w:val="000000"/>
          <w:sz w:val="48"/>
          <w:szCs w:val="48"/>
          <w:highlight w:val="none"/>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tabs>
          <w:tab w:val="left" w:pos="315"/>
          <w:tab w:val="left" w:pos="8820"/>
        </w:tabs>
        <w:spacing w:line="500" w:lineRule="exact"/>
        <w:ind w:right="305" w:rightChars="127"/>
        <w:jc w:val="center"/>
        <w:rPr>
          <w:rFonts w:ascii="仿宋_GB2312" w:eastAsia="仿宋_GB2312"/>
          <w:color w:val="000000"/>
          <w:sz w:val="44"/>
          <w:highlight w:val="none"/>
        </w:rPr>
      </w:pPr>
    </w:p>
    <w:p>
      <w:pPr>
        <w:autoSpaceDE w:val="0"/>
        <w:autoSpaceDN w:val="0"/>
        <w:adjustRightInd w:val="0"/>
        <w:spacing w:line="360" w:lineRule="auto"/>
        <w:jc w:val="left"/>
        <w:rPr>
          <w:rFonts w:hint="eastAsia" w:hAnsi="DotumChe" w:cs="宋体"/>
          <w:b/>
          <w:color w:val="000000"/>
          <w:spacing w:val="20"/>
          <w:sz w:val="32"/>
          <w:szCs w:val="32"/>
          <w:highlight w:val="none"/>
        </w:rPr>
      </w:pPr>
      <w:r>
        <w:rPr>
          <w:rFonts w:hint="eastAsia" w:hAnsi="DotumChe" w:cs="宋体"/>
          <w:b/>
          <w:color w:val="000000"/>
          <w:spacing w:val="20"/>
          <w:sz w:val="32"/>
          <w:szCs w:val="32"/>
          <w:highlight w:val="none"/>
        </w:rPr>
        <w:t>项目名称：香怡园林合锻二期宿舍道口拓宽市政工程</w:t>
      </w:r>
    </w:p>
    <w:p>
      <w:pPr>
        <w:autoSpaceDE w:val="0"/>
        <w:autoSpaceDN w:val="0"/>
        <w:adjustRightInd w:val="0"/>
        <w:spacing w:line="360" w:lineRule="auto"/>
        <w:jc w:val="left"/>
        <w:rPr>
          <w:rFonts w:hint="default"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项目编号：GYGSZB-202</w:t>
      </w:r>
      <w:r>
        <w:rPr>
          <w:rFonts w:hint="eastAsia" w:hAnsi="DotumChe" w:cs="宋体"/>
          <w:b/>
          <w:color w:val="000000"/>
          <w:spacing w:val="20"/>
          <w:sz w:val="32"/>
          <w:szCs w:val="32"/>
          <w:highlight w:val="none"/>
          <w:lang w:val="en-US" w:eastAsia="zh-CN"/>
        </w:rPr>
        <w:t>3008</w:t>
      </w:r>
    </w:p>
    <w:p>
      <w:pPr>
        <w:tabs>
          <w:tab w:val="left" w:pos="2410"/>
        </w:tabs>
        <w:autoSpaceDE w:val="0"/>
        <w:autoSpaceDN w:val="0"/>
        <w:adjustRightInd w:val="0"/>
        <w:snapToGrid w:val="0"/>
        <w:spacing w:line="360" w:lineRule="auto"/>
        <w:jc w:val="left"/>
        <w:rPr>
          <w:rFonts w:hint="default"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采购时间：</w:t>
      </w:r>
      <w:r>
        <w:rPr>
          <w:rFonts w:hint="eastAsia" w:hAnsi="DotumChe" w:cs="宋体"/>
          <w:b/>
          <w:color w:val="000000"/>
          <w:spacing w:val="20"/>
          <w:sz w:val="32"/>
          <w:szCs w:val="32"/>
          <w:highlight w:val="none"/>
          <w:lang w:val="en-US" w:eastAsia="zh-CN"/>
        </w:rPr>
        <w:t>2023年3月</w:t>
      </w:r>
    </w:p>
    <w:p>
      <w:pPr>
        <w:pStyle w:val="23"/>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0"/>
        <w:tabs>
          <w:tab w:val="right" w:leader="dot" w:pos="9628"/>
        </w:tabs>
        <w:spacing w:line="360" w:lineRule="auto"/>
        <w:rPr>
          <w:rStyle w:val="69"/>
          <w:color w:val="000000"/>
          <w:sz w:val="28"/>
          <w:szCs w:val="28"/>
          <w:highlight w:val="none"/>
          <w:u w:val="none"/>
        </w:rPr>
      </w:pPr>
      <w:bookmarkStart w:id="0" w:name="_Hlt533241375"/>
      <w:bookmarkEnd w:id="0"/>
      <w:bookmarkStart w:id="1" w:name="_Hlt526418134"/>
      <w:bookmarkEnd w:id="1"/>
      <w:bookmarkStart w:id="2" w:name="_Hlt519045295"/>
      <w:bookmarkEnd w:id="2"/>
      <w:r>
        <w:rPr>
          <w:rStyle w:val="69"/>
          <w:rFonts w:hint="eastAsia"/>
          <w:color w:val="000000"/>
          <w:sz w:val="28"/>
          <w:szCs w:val="28"/>
          <w:highlight w:val="none"/>
          <w:u w:val="none"/>
        </w:rPr>
        <w:t>一、投标公告......... .... .... .... ................................3</w:t>
      </w:r>
    </w:p>
    <w:p>
      <w:pPr>
        <w:pStyle w:val="40"/>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69"/>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0"/>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69"/>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2"/>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69"/>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2"/>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69"/>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0"/>
        <w:tabs>
          <w:tab w:val="right" w:leader="dot" w:pos="8965"/>
        </w:tabs>
        <w:ind w:firstLine="12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69"/>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2"/>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69"/>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2"/>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69"/>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2"/>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69"/>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0"/>
        <w:tabs>
          <w:tab w:val="right" w:leader="dot" w:pos="8965"/>
        </w:tabs>
        <w:rPr>
          <w:rStyle w:val="69"/>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69"/>
          <w:rFonts w:hint="eastAsia" w:hAnsi="宋体"/>
          <w:color w:val="000000"/>
          <w:sz w:val="28"/>
          <w:szCs w:val="28"/>
          <w:highlight w:val="none"/>
        </w:rPr>
        <w:t>四</w:t>
      </w:r>
      <w:r>
        <w:rPr>
          <w:rStyle w:val="69"/>
          <w:rFonts w:hAnsi="宋体"/>
          <w:color w:val="000000"/>
          <w:sz w:val="28"/>
          <w:szCs w:val="28"/>
          <w:highlight w:val="none"/>
        </w:rPr>
        <w:t>、</w:t>
      </w:r>
      <w:r>
        <w:rPr>
          <w:rStyle w:val="69"/>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0"/>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69"/>
          <w:rFonts w:hint="eastAsia" w:hAnsi="宋体"/>
          <w:color w:val="000000"/>
          <w:sz w:val="28"/>
          <w:szCs w:val="28"/>
          <w:highlight w:val="none"/>
        </w:rPr>
        <w:t>五、采购</w:t>
      </w:r>
      <w:bookmarkStart w:id="3" w:name="_Hlt527617983"/>
      <w:bookmarkStart w:id="4" w:name="_Hlt527617982"/>
      <w:r>
        <w:rPr>
          <w:rStyle w:val="69"/>
          <w:rFonts w:hint="eastAsia" w:hAnsi="宋体"/>
          <w:color w:val="000000"/>
          <w:sz w:val="28"/>
          <w:szCs w:val="28"/>
          <w:highlight w:val="none"/>
        </w:rPr>
        <w:t>需</w:t>
      </w:r>
      <w:bookmarkEnd w:id="3"/>
      <w:bookmarkEnd w:id="4"/>
      <w:r>
        <w:rPr>
          <w:rStyle w:val="69"/>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0"/>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69"/>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0"/>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0"/>
        <w:tabs>
          <w:tab w:val="right" w:leader="dot" w:pos="9628"/>
        </w:tabs>
        <w:spacing w:before="0" w:after="0" w:line="480" w:lineRule="auto"/>
        <w:jc w:val="center"/>
        <w:outlineLvl w:val="0"/>
        <w:rPr>
          <w:rFonts w:hAnsi="宋体" w:cs="宋体"/>
          <w:bCs/>
          <w:caps w:val="0"/>
          <w:color w:val="000000"/>
          <w:sz w:val="28"/>
          <w:highlight w:val="none"/>
        </w:rPr>
      </w:pPr>
    </w:p>
    <w:p>
      <w:pPr>
        <w:pStyle w:val="40"/>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autoSpaceDE w:val="0"/>
        <w:autoSpaceDN w:val="0"/>
        <w:adjustRightInd w:val="0"/>
        <w:ind w:firstLine="828" w:firstLineChars="345"/>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rPr>
        <w:t>合肥香怡市政园林建设有限公司 （以下简称香怡园林）</w:t>
      </w:r>
      <w:r>
        <w:rPr>
          <w:rFonts w:hint="eastAsia" w:hAnsi="宋体" w:cs="宋体"/>
          <w:color w:val="000000"/>
          <w:highlight w:val="none"/>
        </w:rPr>
        <w:t>“香怡园林合锻二期宿舍道口拓宽市政工程”项目进行公开招标，欢迎符合条件的单位参加报价。</w:t>
      </w:r>
    </w:p>
    <w:p>
      <w:pPr>
        <w:autoSpaceDE w:val="0"/>
        <w:autoSpaceDN w:val="0"/>
        <w:adjustRightInd w:val="0"/>
        <w:spacing w:line="360" w:lineRule="auto"/>
        <w:ind w:firstLine="355" w:firstLineChars="148"/>
        <w:jc w:val="left"/>
        <w:rPr>
          <w:rFonts w:hAnsi="宋体"/>
          <w:bCs/>
          <w:color w:val="000000"/>
          <w:szCs w:val="18"/>
          <w:highlight w:val="none"/>
        </w:rPr>
      </w:pPr>
      <w:r>
        <w:rPr>
          <w:rFonts w:hint="eastAsia" w:hAnsi="宋体"/>
          <w:bCs/>
          <w:color w:val="000000"/>
          <w:szCs w:val="18"/>
          <w:highlight w:val="none"/>
        </w:rPr>
        <w:t>（一）项目名称及内容</w:t>
      </w:r>
    </w:p>
    <w:p>
      <w:pPr>
        <w:autoSpaceDE w:val="0"/>
        <w:autoSpaceDN w:val="0"/>
        <w:adjustRightInd w:val="0"/>
        <w:spacing w:line="360" w:lineRule="auto"/>
        <w:ind w:firstLine="480" w:firstLineChars="200"/>
        <w:jc w:val="left"/>
        <w:rPr>
          <w:rFonts w:hint="eastAsia" w:hAnsi="宋体"/>
          <w:color w:val="000000"/>
          <w:szCs w:val="18"/>
          <w:highlight w:val="none"/>
          <w:lang w:val="en-US" w:eastAsia="zh-CN"/>
        </w:rPr>
      </w:pPr>
      <w:r>
        <w:rPr>
          <w:rFonts w:hint="eastAsia" w:hAnsi="宋体"/>
          <w:color w:val="000000"/>
          <w:szCs w:val="18"/>
          <w:highlight w:val="none"/>
        </w:rPr>
        <w:t>1、项目编号： GYGSZB-202</w:t>
      </w:r>
      <w:r>
        <w:rPr>
          <w:rFonts w:hint="eastAsia" w:hAnsi="宋体"/>
          <w:color w:val="000000"/>
          <w:szCs w:val="18"/>
          <w:highlight w:val="none"/>
          <w:lang w:val="en-US" w:eastAsia="zh-CN"/>
        </w:rPr>
        <w:t>3008</w:t>
      </w:r>
    </w:p>
    <w:p>
      <w:pPr>
        <w:autoSpaceDE w:val="0"/>
        <w:autoSpaceDN w:val="0"/>
        <w:adjustRightInd w:val="0"/>
        <w:spacing w:line="360" w:lineRule="auto"/>
        <w:ind w:firstLine="480" w:firstLineChars="200"/>
        <w:jc w:val="left"/>
        <w:rPr>
          <w:rFonts w:hint="eastAsia" w:hAnsi="宋体"/>
          <w:color w:val="000000"/>
          <w:szCs w:val="18"/>
          <w:highlight w:val="none"/>
        </w:rPr>
      </w:pPr>
      <w:r>
        <w:rPr>
          <w:rFonts w:hint="eastAsia" w:hAnsi="宋体"/>
          <w:color w:val="000000"/>
          <w:szCs w:val="18"/>
          <w:highlight w:val="none"/>
        </w:rPr>
        <w:t>2、项目名称：香怡园林合锻二期宿舍道口拓宽市政工程</w:t>
      </w:r>
    </w:p>
    <w:p>
      <w:pPr>
        <w:autoSpaceDE w:val="0"/>
        <w:autoSpaceDN w:val="0"/>
        <w:adjustRightInd w:val="0"/>
        <w:spacing w:line="360" w:lineRule="auto"/>
        <w:ind w:firstLine="480" w:firstLineChars="200"/>
        <w:jc w:val="left"/>
        <w:rPr>
          <w:rFonts w:hAnsi="宋体"/>
          <w:color w:val="000000"/>
          <w:szCs w:val="18"/>
          <w:highlight w:val="none"/>
        </w:rPr>
      </w:pPr>
      <w:r>
        <w:rPr>
          <w:rFonts w:hint="eastAsia" w:hAnsi="宋体"/>
          <w:color w:val="000000"/>
          <w:szCs w:val="18"/>
          <w:highlight w:val="none"/>
        </w:rPr>
        <w:t>3、项目地点：合肥经开区</w:t>
      </w:r>
    </w:p>
    <w:p>
      <w:pPr>
        <w:autoSpaceDE w:val="0"/>
        <w:autoSpaceDN w:val="0"/>
        <w:adjustRightInd w:val="0"/>
        <w:spacing w:line="360" w:lineRule="auto"/>
        <w:ind w:firstLine="480" w:firstLineChars="200"/>
        <w:jc w:val="left"/>
        <w:rPr>
          <w:rFonts w:hAnsi="宋体"/>
          <w:color w:val="000000"/>
          <w:szCs w:val="18"/>
          <w:highlight w:val="none"/>
        </w:rPr>
      </w:pPr>
      <w:r>
        <w:rPr>
          <w:rFonts w:hint="eastAsia" w:hAnsi="宋体"/>
          <w:color w:val="000000"/>
          <w:szCs w:val="18"/>
          <w:highlight w:val="none"/>
        </w:rPr>
        <w:t>4、项目单位：合肥香怡市政园林建设有限公司 （以下简称香怡园林）</w:t>
      </w:r>
    </w:p>
    <w:p>
      <w:pPr>
        <w:autoSpaceDE w:val="0"/>
        <w:autoSpaceDN w:val="0"/>
        <w:adjustRightInd w:val="0"/>
        <w:spacing w:line="360" w:lineRule="auto"/>
        <w:ind w:firstLine="480" w:firstLineChars="200"/>
        <w:rPr>
          <w:rFonts w:hint="eastAsia" w:eastAsia="宋体"/>
          <w:color w:val="000000"/>
          <w:szCs w:val="18"/>
          <w:highlight w:val="none"/>
          <w:lang w:eastAsia="zh-CN"/>
        </w:rPr>
      </w:pPr>
      <w:r>
        <w:rPr>
          <w:rFonts w:hint="eastAsia" w:hAnsi="宋体"/>
          <w:color w:val="000000"/>
          <w:szCs w:val="18"/>
          <w:highlight w:val="none"/>
        </w:rPr>
        <w:t>5、项目概况：</w:t>
      </w:r>
      <w:r>
        <w:rPr>
          <w:rFonts w:hint="eastAsia"/>
          <w:b w:val="0"/>
          <w:bCs w:val="0"/>
          <w:color w:val="000000"/>
          <w:sz w:val="24"/>
          <w:szCs w:val="24"/>
          <w:highlight w:val="none"/>
        </w:rPr>
        <w:t>合锻二期宿舍道口位于莲花路与紫云路交口向南约100米西侧，项目约200㎡，原项目道口宽度约6米，需要对原道口进行拓宽至12米，同时对原道口破损部分进行修复完善。</w:t>
      </w:r>
    </w:p>
    <w:p>
      <w:pPr>
        <w:autoSpaceDE w:val="0"/>
        <w:autoSpaceDN w:val="0"/>
        <w:adjustRightInd w:val="0"/>
        <w:spacing w:line="360" w:lineRule="auto"/>
        <w:ind w:firstLine="480" w:firstLineChars="200"/>
        <w:jc w:val="left"/>
        <w:rPr>
          <w:rFonts w:hAnsi="宋体"/>
          <w:color w:val="000000"/>
          <w:szCs w:val="18"/>
          <w:highlight w:val="none"/>
        </w:rPr>
      </w:pPr>
      <w:r>
        <w:rPr>
          <w:rFonts w:hint="eastAsia" w:hAnsi="宋体"/>
          <w:color w:val="000000"/>
          <w:szCs w:val="18"/>
          <w:highlight w:val="none"/>
        </w:rPr>
        <w:t>6、资金来源：自筹</w:t>
      </w:r>
    </w:p>
    <w:p>
      <w:pPr>
        <w:autoSpaceDE w:val="0"/>
        <w:autoSpaceDN w:val="0"/>
        <w:adjustRightInd w:val="0"/>
        <w:spacing w:line="360" w:lineRule="auto"/>
        <w:ind w:firstLine="480" w:firstLineChars="200"/>
        <w:jc w:val="left"/>
        <w:rPr>
          <w:rFonts w:ascii="宋体" w:hAnsi="宋体" w:eastAsia="宋体"/>
          <w:sz w:val="24"/>
          <w:szCs w:val="18"/>
          <w:highlight w:val="none"/>
        </w:rPr>
      </w:pPr>
      <w:r>
        <w:rPr>
          <w:rFonts w:hint="eastAsia" w:hAnsi="宋体"/>
          <w:color w:val="000000"/>
          <w:szCs w:val="18"/>
          <w:highlight w:val="none"/>
        </w:rPr>
        <w:t>7、项目预算：</w:t>
      </w:r>
      <w:r>
        <w:rPr>
          <w:rFonts w:hint="eastAsia" w:hAnsi="宋体"/>
          <w:color w:val="000000"/>
          <w:szCs w:val="18"/>
          <w:highlight w:val="none"/>
          <w:lang w:val="en-US" w:eastAsia="zh-CN"/>
        </w:rPr>
        <w:t>155263.04元</w:t>
      </w:r>
    </w:p>
    <w:p>
      <w:pPr>
        <w:autoSpaceDE w:val="0"/>
        <w:autoSpaceDN w:val="0"/>
        <w:adjustRightInd w:val="0"/>
        <w:spacing w:line="360" w:lineRule="auto"/>
        <w:ind w:firstLine="480" w:firstLineChars="200"/>
        <w:jc w:val="left"/>
        <w:rPr>
          <w:rFonts w:hAnsi="宋体"/>
          <w:color w:val="000000"/>
          <w:szCs w:val="18"/>
          <w:highlight w:val="none"/>
        </w:rPr>
      </w:pPr>
      <w:r>
        <w:rPr>
          <w:rFonts w:hint="eastAsia" w:hAnsi="宋体"/>
          <w:color w:val="000000"/>
          <w:szCs w:val="18"/>
          <w:highlight w:val="none"/>
        </w:rPr>
        <w:t>8、项目类别：</w:t>
      </w:r>
      <w:r>
        <w:rPr>
          <w:rFonts w:hint="eastAsia" w:hAnsi="宋体"/>
          <w:color w:val="000000"/>
          <w:szCs w:val="18"/>
          <w:highlight w:val="none"/>
          <w:lang w:val="en-US" w:eastAsia="zh-CN"/>
        </w:rPr>
        <w:t>工程</w:t>
      </w:r>
      <w:r>
        <w:rPr>
          <w:rFonts w:hint="eastAsia" w:hAnsi="宋体"/>
          <w:color w:val="000000"/>
          <w:szCs w:val="18"/>
          <w:highlight w:val="none"/>
        </w:rPr>
        <w:t>类</w:t>
      </w:r>
    </w:p>
    <w:p>
      <w:pPr>
        <w:autoSpaceDE w:val="0"/>
        <w:autoSpaceDN w:val="0"/>
        <w:adjustRightInd w:val="0"/>
        <w:spacing w:line="360" w:lineRule="auto"/>
        <w:ind w:firstLine="470" w:firstLineChars="196"/>
        <w:jc w:val="left"/>
        <w:rPr>
          <w:rFonts w:hAnsi="宋体"/>
          <w:color w:val="000000"/>
          <w:szCs w:val="18"/>
          <w:highlight w:val="none"/>
        </w:rPr>
      </w:pPr>
      <w:r>
        <w:rPr>
          <w:rFonts w:hint="eastAsia" w:hAnsi="宋体"/>
          <w:color w:val="000000"/>
          <w:szCs w:val="18"/>
          <w:highlight w:val="none"/>
        </w:rPr>
        <w:t xml:space="preserve">9、包别（包别）划分：共分1个包 </w:t>
      </w:r>
    </w:p>
    <w:p>
      <w:pPr>
        <w:autoSpaceDE w:val="0"/>
        <w:autoSpaceDN w:val="0"/>
        <w:adjustRightInd w:val="0"/>
        <w:spacing w:line="360" w:lineRule="auto"/>
        <w:ind w:firstLine="361" w:firstLineChars="150"/>
        <w:jc w:val="left"/>
        <w:rPr>
          <w:rFonts w:hAnsi="宋体"/>
          <w:b/>
          <w:bCs/>
          <w:color w:val="000000"/>
          <w:szCs w:val="18"/>
          <w:highlight w:val="none"/>
        </w:rPr>
      </w:pPr>
      <w:r>
        <w:rPr>
          <w:rFonts w:hint="eastAsia" w:hAnsi="宋体"/>
          <w:b/>
          <w:bCs/>
          <w:color w:val="000000"/>
          <w:szCs w:val="18"/>
          <w:highlight w:val="none"/>
        </w:rPr>
        <w:t>（二）供应商资格</w:t>
      </w:r>
    </w:p>
    <w:p>
      <w:pPr>
        <w:autoSpaceDE w:val="0"/>
        <w:autoSpaceDN w:val="0"/>
        <w:adjustRightInd w:val="0"/>
        <w:spacing w:line="360" w:lineRule="auto"/>
        <w:ind w:firstLine="480" w:firstLineChars="200"/>
        <w:jc w:val="left"/>
        <w:rPr>
          <w:rFonts w:hAnsi="宋体"/>
          <w:color w:val="000000"/>
          <w:szCs w:val="18"/>
          <w:highlight w:val="none"/>
        </w:rPr>
      </w:pPr>
      <w:r>
        <w:rPr>
          <w:rFonts w:hint="eastAsia" w:hAnsi="宋体"/>
          <w:color w:val="000000"/>
          <w:szCs w:val="18"/>
          <w:highlight w:val="none"/>
        </w:rPr>
        <w:t>1、符合《中华人民共和国政府采购法》第二十二条规定；</w:t>
      </w:r>
    </w:p>
    <w:p>
      <w:pPr>
        <w:widowControl/>
        <w:spacing w:line="360" w:lineRule="auto"/>
        <w:ind w:firstLine="480" w:firstLineChars="200"/>
        <w:rPr>
          <w:rFonts w:hAnsi="宋体"/>
          <w:color w:val="000000"/>
          <w:szCs w:val="21"/>
          <w:highlight w:val="none"/>
        </w:rPr>
      </w:pPr>
      <w:r>
        <w:rPr>
          <w:rFonts w:hint="eastAsia" w:hAnsi="宋体"/>
          <w:color w:val="000000"/>
          <w:szCs w:val="21"/>
          <w:highlight w:val="none"/>
        </w:rPr>
        <w:t>2</w:t>
      </w:r>
      <w:r>
        <w:rPr>
          <w:rFonts w:hAnsi="宋体"/>
          <w:color w:val="000000"/>
          <w:szCs w:val="21"/>
          <w:highlight w:val="none"/>
        </w:rPr>
        <w:t>、本项目不接受联合体投标；</w:t>
      </w:r>
    </w:p>
    <w:p>
      <w:pPr>
        <w:widowControl/>
        <w:spacing w:line="360" w:lineRule="auto"/>
        <w:ind w:firstLine="480" w:firstLineChars="200"/>
        <w:rPr>
          <w:rFonts w:hint="eastAsia" w:hAnsi="宋体"/>
          <w:color w:val="000000"/>
          <w:szCs w:val="24"/>
          <w:highlight w:val="none"/>
        </w:rPr>
      </w:pPr>
      <w:r>
        <w:rPr>
          <w:rFonts w:hint="eastAsia" w:hAnsi="宋体"/>
          <w:color w:val="000000"/>
          <w:szCs w:val="24"/>
          <w:highlight w:val="none"/>
          <w:lang w:val="en-US" w:eastAsia="zh-CN"/>
        </w:rPr>
        <w:t>3、供应商具有</w:t>
      </w:r>
      <w:r>
        <w:rPr>
          <w:rFonts w:hint="eastAsia" w:hAnsi="宋体"/>
          <w:color w:val="000000"/>
          <w:szCs w:val="24"/>
          <w:highlight w:val="none"/>
        </w:rPr>
        <w:t>市政公用工程施工总承包三级、企业安全生产许可证；</w:t>
      </w:r>
    </w:p>
    <w:p>
      <w:pPr>
        <w:widowControl/>
        <w:spacing w:line="360" w:lineRule="auto"/>
        <w:ind w:firstLine="480" w:firstLineChars="200"/>
        <w:rPr>
          <w:rFonts w:hAnsi="宋体"/>
          <w:color w:val="000000"/>
          <w:szCs w:val="21"/>
          <w:highlight w:val="none"/>
        </w:rPr>
      </w:pPr>
      <w:r>
        <w:rPr>
          <w:rFonts w:hint="eastAsia" w:hAnsi="宋体"/>
          <w:color w:val="000000"/>
          <w:szCs w:val="24"/>
          <w:highlight w:val="none"/>
          <w:lang w:val="en-US" w:eastAsia="zh-CN"/>
        </w:rPr>
        <w:t>4、拟派</w:t>
      </w:r>
      <w:r>
        <w:rPr>
          <w:rFonts w:hint="eastAsia" w:hAnsi="宋体"/>
          <w:color w:val="000000"/>
          <w:szCs w:val="24"/>
          <w:highlight w:val="none"/>
        </w:rPr>
        <w:t>项目经理</w:t>
      </w:r>
      <w:r>
        <w:rPr>
          <w:rFonts w:hint="eastAsia" w:hAnsi="宋体"/>
          <w:color w:val="000000"/>
          <w:szCs w:val="24"/>
          <w:highlight w:val="none"/>
          <w:lang w:val="en-US" w:eastAsia="zh-CN"/>
        </w:rPr>
        <w:t>具有</w:t>
      </w:r>
      <w:r>
        <w:rPr>
          <w:rFonts w:hint="eastAsia" w:hAnsi="宋体"/>
          <w:color w:val="000000"/>
          <w:szCs w:val="24"/>
          <w:highlight w:val="none"/>
        </w:rPr>
        <w:t>二级（市政公用工程）建造师、安全B证</w:t>
      </w:r>
    </w:p>
    <w:p>
      <w:pPr>
        <w:widowControl/>
        <w:spacing w:line="360" w:lineRule="auto"/>
        <w:ind w:firstLine="480" w:firstLineChars="200"/>
        <w:rPr>
          <w:rFonts w:hAnsi="宋体"/>
          <w:color w:val="000000"/>
          <w:szCs w:val="18"/>
          <w:highlight w:val="none"/>
        </w:rPr>
      </w:pPr>
      <w:r>
        <w:rPr>
          <w:rFonts w:hint="eastAsia" w:hAnsi="宋体"/>
          <w:color w:val="000000"/>
          <w:szCs w:val="18"/>
          <w:highlight w:val="none"/>
          <w:lang w:val="en-US" w:eastAsia="zh-CN"/>
        </w:rPr>
        <w:t>5</w:t>
      </w:r>
      <w:r>
        <w:rPr>
          <w:rFonts w:hint="eastAsia" w:hAnsi="宋体"/>
          <w:color w:val="000000"/>
          <w:szCs w:val="18"/>
          <w:highlight w:val="none"/>
        </w:rPr>
        <w:t>、供应商存在以下不良信用记录情形之一的，不得推荐为成交候选供应商，不得确定为成交供应商：</w:t>
      </w:r>
    </w:p>
    <w:p>
      <w:pPr>
        <w:widowControl/>
        <w:spacing w:line="360" w:lineRule="auto"/>
        <w:ind w:firstLine="480" w:firstLineChars="200"/>
        <w:rPr>
          <w:rFonts w:hAnsi="宋体"/>
          <w:color w:val="000000"/>
          <w:szCs w:val="18"/>
          <w:highlight w:val="none"/>
        </w:rPr>
      </w:pPr>
      <w:r>
        <w:rPr>
          <w:rFonts w:hint="eastAsia" w:hAnsi="宋体"/>
          <w:color w:val="000000"/>
          <w:szCs w:val="18"/>
          <w:highlight w:val="none"/>
        </w:rPr>
        <w:t>（1）供应商被人民法院列入失信被执行人的；</w:t>
      </w:r>
    </w:p>
    <w:p>
      <w:pPr>
        <w:widowControl/>
        <w:spacing w:line="360" w:lineRule="auto"/>
        <w:ind w:firstLine="480" w:firstLineChars="200"/>
        <w:rPr>
          <w:rFonts w:hAnsi="宋体"/>
          <w:color w:val="000000"/>
          <w:szCs w:val="18"/>
          <w:highlight w:val="none"/>
        </w:rPr>
      </w:pPr>
      <w:r>
        <w:rPr>
          <w:rFonts w:hint="eastAsia" w:hAnsi="宋体"/>
          <w:color w:val="000000"/>
          <w:szCs w:val="18"/>
          <w:highlight w:val="none"/>
        </w:rPr>
        <w:t>（2）供应商或其法定代表人或拟派项目经理（项目负责人）被人民检察院列入行贿犯罪档案的；</w:t>
      </w:r>
    </w:p>
    <w:p>
      <w:pPr>
        <w:widowControl/>
        <w:spacing w:line="360" w:lineRule="auto"/>
        <w:ind w:firstLine="480" w:firstLineChars="200"/>
        <w:rPr>
          <w:rFonts w:hAnsi="宋体"/>
          <w:color w:val="000000"/>
          <w:szCs w:val="18"/>
          <w:highlight w:val="none"/>
        </w:rPr>
      </w:pPr>
      <w:r>
        <w:rPr>
          <w:rFonts w:hint="eastAsia" w:hAnsi="宋体"/>
          <w:color w:val="000000"/>
          <w:szCs w:val="18"/>
          <w:highlight w:val="none"/>
        </w:rPr>
        <w:t>（3）供应商被工商行政管理部门列入企业经营异常名录的；</w:t>
      </w:r>
    </w:p>
    <w:p>
      <w:pPr>
        <w:widowControl/>
        <w:spacing w:line="360" w:lineRule="auto"/>
        <w:ind w:firstLine="480" w:firstLineChars="200"/>
        <w:rPr>
          <w:rFonts w:hAnsi="宋体"/>
          <w:color w:val="000000"/>
          <w:szCs w:val="18"/>
          <w:highlight w:val="none"/>
        </w:rPr>
      </w:pPr>
      <w:r>
        <w:rPr>
          <w:rFonts w:hint="eastAsia" w:hAnsi="宋体"/>
          <w:color w:val="000000"/>
          <w:szCs w:val="18"/>
          <w:highlight w:val="none"/>
        </w:rPr>
        <w:t>（4）供应商被税务部门列入重大税收违法案件当事人名单的；</w:t>
      </w:r>
    </w:p>
    <w:p>
      <w:pPr>
        <w:widowControl/>
        <w:spacing w:line="360" w:lineRule="auto"/>
        <w:ind w:firstLine="480" w:firstLineChars="200"/>
        <w:rPr>
          <w:rFonts w:hAnsi="宋体"/>
          <w:color w:val="000000"/>
          <w:szCs w:val="18"/>
          <w:highlight w:val="none"/>
        </w:rPr>
      </w:pPr>
      <w:r>
        <w:rPr>
          <w:rFonts w:hint="eastAsia" w:hAnsi="宋体"/>
          <w:color w:val="000000"/>
          <w:szCs w:val="18"/>
          <w:highlight w:val="none"/>
        </w:rPr>
        <w:t>（5）供应商被政府采购监管部门列入政府采购严重违法失信行为记录名单的。</w:t>
      </w:r>
    </w:p>
    <w:p>
      <w:pPr>
        <w:autoSpaceDE w:val="0"/>
        <w:autoSpaceDN w:val="0"/>
        <w:adjustRightInd w:val="0"/>
        <w:spacing w:line="360" w:lineRule="auto"/>
        <w:ind w:firstLine="361" w:firstLineChars="150"/>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436" w:firstLineChars="182"/>
        <w:jc w:val="left"/>
        <w:rPr>
          <w:rFonts w:hAnsi="宋体"/>
          <w:color w:val="000000"/>
          <w:szCs w:val="18"/>
          <w:highlight w:val="none"/>
          <w:u w:val="single"/>
        </w:rPr>
      </w:pPr>
      <w:r>
        <w:rPr>
          <w:rFonts w:hint="eastAsia" w:hAnsi="宋体"/>
          <w:color w:val="000000"/>
          <w:szCs w:val="18"/>
          <w:highlight w:val="none"/>
        </w:rPr>
        <w:t>1、开标时间：202</w:t>
      </w:r>
      <w:r>
        <w:rPr>
          <w:rFonts w:hint="eastAsia" w:hAnsi="宋体"/>
          <w:color w:val="000000"/>
          <w:szCs w:val="18"/>
          <w:highlight w:val="none"/>
          <w:lang w:val="en-US" w:eastAsia="zh-CN"/>
        </w:rPr>
        <w:t>3</w:t>
      </w:r>
      <w:r>
        <w:rPr>
          <w:rFonts w:hint="eastAsia" w:hAnsi="宋体"/>
          <w:color w:val="000000"/>
          <w:szCs w:val="18"/>
          <w:highlight w:val="none"/>
        </w:rPr>
        <w:t>年</w:t>
      </w:r>
      <w:r>
        <w:rPr>
          <w:rFonts w:hint="eastAsia" w:hAnsi="宋体"/>
          <w:color w:val="000000"/>
          <w:szCs w:val="18"/>
          <w:highlight w:val="none"/>
          <w:lang w:val="en-US" w:eastAsia="zh-CN"/>
        </w:rPr>
        <w:t xml:space="preserve">  3 </w:t>
      </w:r>
      <w:r>
        <w:rPr>
          <w:rFonts w:hint="eastAsia" w:hAnsi="宋体"/>
          <w:color w:val="000000"/>
          <w:szCs w:val="18"/>
          <w:highlight w:val="none"/>
        </w:rPr>
        <w:t>月</w:t>
      </w:r>
      <w:r>
        <w:rPr>
          <w:rFonts w:hint="eastAsia" w:hAnsi="宋体"/>
          <w:color w:val="000000"/>
          <w:szCs w:val="18"/>
          <w:highlight w:val="none"/>
          <w:lang w:val="en-US" w:eastAsia="zh-CN"/>
        </w:rPr>
        <w:t xml:space="preserve">  7  </w:t>
      </w:r>
      <w:r>
        <w:rPr>
          <w:rFonts w:hint="eastAsia" w:hAnsi="宋体"/>
          <w:color w:val="000000"/>
          <w:szCs w:val="18"/>
          <w:highlight w:val="none"/>
        </w:rPr>
        <w:t xml:space="preserve">日10：00  </w:t>
      </w:r>
    </w:p>
    <w:p>
      <w:pPr>
        <w:autoSpaceDE w:val="0"/>
        <w:autoSpaceDN w:val="0"/>
        <w:adjustRightInd w:val="0"/>
        <w:spacing w:line="360" w:lineRule="auto"/>
        <w:ind w:firstLine="436"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2、开标地点：合肥经济技术开发区繁华大道266号A座314开标室 </w:t>
      </w:r>
    </w:p>
    <w:p>
      <w:pPr>
        <w:autoSpaceDE w:val="0"/>
        <w:autoSpaceDN w:val="0"/>
        <w:adjustRightInd w:val="0"/>
        <w:spacing w:line="360" w:lineRule="auto"/>
        <w:ind w:firstLine="436" w:firstLineChars="181"/>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900"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43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436" w:firstLineChars="182"/>
        <w:jc w:val="left"/>
        <w:rPr>
          <w:rFonts w:hAnsi="宋体"/>
          <w:color w:val="000000"/>
          <w:szCs w:val="18"/>
          <w:highlight w:val="none"/>
        </w:rPr>
      </w:pPr>
      <w:r>
        <w:rPr>
          <w:rFonts w:hint="eastAsia" w:hAnsi="宋体"/>
          <w:color w:val="000000"/>
          <w:szCs w:val="18"/>
          <w:highlight w:val="none"/>
        </w:rPr>
        <w:t xml:space="preserve">（一）项目单位：合肥香怡市政园林建设有限公司 </w:t>
      </w:r>
    </w:p>
    <w:p>
      <w:pPr>
        <w:autoSpaceDE w:val="0"/>
        <w:autoSpaceDN w:val="0"/>
        <w:adjustRightInd w:val="0"/>
        <w:spacing w:line="360" w:lineRule="auto"/>
        <w:ind w:firstLine="436" w:firstLineChars="182"/>
        <w:jc w:val="left"/>
        <w:rPr>
          <w:rFonts w:hAnsi="宋体"/>
          <w:color w:val="000000"/>
          <w:szCs w:val="18"/>
          <w:highlight w:val="none"/>
        </w:rPr>
      </w:pPr>
      <w:r>
        <w:rPr>
          <w:rFonts w:hint="eastAsia" w:hAnsi="宋体"/>
          <w:color w:val="000000"/>
          <w:szCs w:val="18"/>
          <w:highlight w:val="none"/>
        </w:rPr>
        <w:t>地址：合肥经济技术开发区繁华大道266号A座</w:t>
      </w:r>
    </w:p>
    <w:p>
      <w:pPr>
        <w:widowControl/>
        <w:spacing w:line="440" w:lineRule="exact"/>
        <w:ind w:firstLine="480" w:firstLineChars="200"/>
        <w:jc w:val="left"/>
        <w:rPr>
          <w:rFonts w:hAnsi="宋体" w:cs="宋体"/>
          <w:highlight w:val="none"/>
        </w:rPr>
      </w:pPr>
      <w:r>
        <w:rPr>
          <w:rFonts w:hint="eastAsia" w:hAnsi="宋体" w:cs="宋体"/>
          <w:highlight w:val="none"/>
        </w:rPr>
        <w:t>项目采购联系人：</w:t>
      </w:r>
      <w:r>
        <w:rPr>
          <w:rFonts w:hint="eastAsia" w:hAnsi="宋体" w:cs="宋体"/>
          <w:highlight w:val="none"/>
          <w:lang w:val="en-US" w:eastAsia="zh-CN"/>
        </w:rPr>
        <w:t>张</w:t>
      </w:r>
      <w:r>
        <w:rPr>
          <w:rFonts w:hint="eastAsia" w:hAnsi="宋体" w:cs="宋体"/>
          <w:highlight w:val="none"/>
        </w:rPr>
        <w:t>工   电话：0551-63811071</w:t>
      </w:r>
    </w:p>
    <w:p>
      <w:pPr>
        <w:widowControl/>
        <w:spacing w:line="440" w:lineRule="exact"/>
        <w:ind w:firstLine="480" w:firstLineChars="200"/>
        <w:jc w:val="left"/>
        <w:rPr>
          <w:rFonts w:hAnsi="宋体" w:cs="宋体"/>
          <w:highlight w:val="none"/>
        </w:rPr>
      </w:pPr>
      <w:r>
        <w:rPr>
          <w:rFonts w:hint="eastAsia" w:hAnsi="宋体" w:cs="宋体"/>
          <w:highlight w:val="none"/>
        </w:rPr>
        <w:t>现场勘查联系人：</w:t>
      </w:r>
      <w:r>
        <w:rPr>
          <w:rFonts w:hint="eastAsia" w:hAnsi="宋体" w:cs="宋体"/>
          <w:highlight w:val="none"/>
          <w:lang w:val="en-US" w:eastAsia="zh-CN"/>
        </w:rPr>
        <w:t>吕</w:t>
      </w:r>
      <w:r>
        <w:rPr>
          <w:rFonts w:hint="eastAsia" w:hAnsi="宋体" w:cs="宋体"/>
          <w:highlight w:val="none"/>
        </w:rPr>
        <w:t>工   电话：0551-63813995</w:t>
      </w:r>
    </w:p>
    <w:p>
      <w:pPr>
        <w:autoSpaceDE w:val="0"/>
        <w:autoSpaceDN w:val="0"/>
        <w:adjustRightInd w:val="0"/>
        <w:spacing w:line="360" w:lineRule="auto"/>
        <w:ind w:firstLine="43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80"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1、参与投标供应商可直接在公用公司网站下载招标文件参与投标。</w:t>
      </w:r>
    </w:p>
    <w:p>
      <w:pPr>
        <w:autoSpaceDE w:val="0"/>
        <w:autoSpaceDN w:val="0"/>
        <w:adjustRightInd w:val="0"/>
        <w:spacing w:line="360" w:lineRule="auto"/>
        <w:ind w:firstLine="480" w:firstLineChars="200"/>
        <w:jc w:val="left"/>
        <w:rPr>
          <w:rFonts w:hAnsi="宋体"/>
          <w:color w:val="000000"/>
          <w:szCs w:val="18"/>
          <w:highlight w:val="none"/>
        </w:rPr>
      </w:pPr>
      <w:r>
        <w:rPr>
          <w:rFonts w:hint="eastAsia" w:hAnsi="宋体" w:cs="宋体"/>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436" w:firstLineChars="182"/>
        <w:jc w:val="center"/>
        <w:rPr>
          <w:rFonts w:hAnsi="宋体"/>
          <w:b/>
          <w:color w:val="000000"/>
          <w:highlight w:val="none"/>
        </w:rPr>
      </w:pPr>
      <w:r>
        <w:rPr>
          <w:rFonts w:hAnsi="宋体"/>
          <w:color w:val="000000"/>
          <w:szCs w:val="18"/>
          <w:highlight w:val="none"/>
        </w:rPr>
        <w:br w:type="page"/>
      </w:r>
      <w:bookmarkStart w:id="7" w:name="_Toc527131313"/>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highlight w:val="none"/>
              </w:rPr>
            </w:pPr>
            <w:bookmarkStart w:id="8" w:name="_Toc200336330"/>
            <w:bookmarkStart w:id="9" w:name="_Toc208106829"/>
            <w:r>
              <w:rPr>
                <w:rFonts w:hint="eastAsia" w:hAnsi="宋体"/>
                <w:b/>
                <w:color w:val="000000"/>
                <w:highlight w:val="none"/>
              </w:rPr>
              <w:t>序号</w:t>
            </w:r>
          </w:p>
        </w:tc>
        <w:tc>
          <w:tcPr>
            <w:tcW w:w="1447" w:type="dxa"/>
            <w:vAlign w:val="center"/>
          </w:tcPr>
          <w:p>
            <w:pPr>
              <w:jc w:val="center"/>
              <w:rPr>
                <w:rFonts w:hAnsi="宋体"/>
                <w:b/>
                <w:color w:val="000000"/>
                <w:highlight w:val="none"/>
              </w:rPr>
            </w:pPr>
            <w:r>
              <w:rPr>
                <w:rFonts w:hint="eastAsia" w:hAnsi="宋体"/>
                <w:b/>
                <w:color w:val="000000"/>
                <w:highlight w:val="none"/>
              </w:rPr>
              <w:t>内容</w:t>
            </w:r>
          </w:p>
        </w:tc>
        <w:tc>
          <w:tcPr>
            <w:tcW w:w="7223" w:type="dxa"/>
            <w:vAlign w:val="center"/>
          </w:tcPr>
          <w:p>
            <w:pPr>
              <w:pStyle w:val="231"/>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Ansi="宋体"/>
                <w:bCs/>
                <w:color w:val="000000"/>
                <w:highlight w:val="none"/>
              </w:rPr>
            </w:pPr>
            <w:r>
              <w:rPr>
                <w:rFonts w:hint="eastAsia" w:hAnsi="宋体"/>
                <w:bCs/>
                <w:color w:val="000000"/>
                <w:highlight w:val="none"/>
              </w:rPr>
              <w:t>委托人</w:t>
            </w:r>
          </w:p>
        </w:tc>
        <w:tc>
          <w:tcPr>
            <w:tcW w:w="7223" w:type="dxa"/>
            <w:vAlign w:val="center"/>
          </w:tcPr>
          <w:p>
            <w:pPr>
              <w:pStyle w:val="231"/>
              <w:widowControl w:val="0"/>
              <w:spacing w:before="0" w:beforeAutospacing="0" w:after="0" w:afterAutospacing="0"/>
              <w:jc w:val="both"/>
              <w:rPr>
                <w:b w:val="0"/>
                <w:bCs w:val="0"/>
                <w:color w:val="000000"/>
                <w:sz w:val="24"/>
                <w:szCs w:val="18"/>
                <w:highlight w:val="none"/>
              </w:rPr>
            </w:pPr>
            <w:r>
              <w:rPr>
                <w:rFonts w:hint="eastAsia"/>
                <w:b w:val="0"/>
                <w:bCs w:val="0"/>
                <w:color w:val="000000"/>
                <w:sz w:val="24"/>
                <w:szCs w:val="18"/>
                <w:highlight w:val="none"/>
              </w:rPr>
              <w:t>合肥香怡市政园林建设有限公司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223" w:type="dxa"/>
            <w:vAlign w:val="center"/>
          </w:tcPr>
          <w:p>
            <w:pPr>
              <w:pStyle w:val="231"/>
              <w:widowControl w:val="0"/>
              <w:spacing w:before="0" w:beforeAutospacing="0" w:after="0" w:afterAutospacing="0" w:line="360" w:lineRule="auto"/>
              <w:jc w:val="both"/>
              <w:rPr>
                <w:rFonts w:hint="eastAsia" w:eastAsia="宋体"/>
                <w:b w:val="0"/>
                <w:bCs w:val="0"/>
                <w:color w:val="000000"/>
                <w:sz w:val="24"/>
                <w:szCs w:val="24"/>
                <w:highlight w:val="none"/>
                <w:lang w:val="en-US" w:eastAsia="zh-CN"/>
              </w:rPr>
            </w:pPr>
            <w:r>
              <w:rPr>
                <w:rFonts w:hint="eastAsia"/>
                <w:b w:val="0"/>
                <w:bCs w:val="0"/>
                <w:color w:val="000000"/>
                <w:sz w:val="24"/>
                <w:szCs w:val="18"/>
                <w:highlight w:val="none"/>
                <w:lang w:eastAsia="zh-CN"/>
              </w:rPr>
              <w:t>香怡园林合锻二期宿舍道口拓宽市政工程（项目编号：GYGSZB-202</w:t>
            </w:r>
            <w:r>
              <w:rPr>
                <w:rFonts w:hint="eastAsia"/>
                <w:b w:val="0"/>
                <w:bCs w:val="0"/>
                <w:color w:val="000000"/>
                <w:sz w:val="24"/>
                <w:szCs w:val="18"/>
                <w:highlight w:val="none"/>
                <w:lang w:val="en-US" w:eastAsia="zh-CN"/>
              </w:rPr>
              <w:t>3008</w:t>
            </w:r>
            <w:r>
              <w:rPr>
                <w:rFonts w:hint="eastAsia"/>
                <w:b w:val="0"/>
                <w:bCs w:val="0"/>
                <w:color w:val="000000"/>
                <w:sz w:val="24"/>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color w:val="000000"/>
                <w:highlight w:val="none"/>
              </w:rPr>
            </w:pPr>
            <w:r>
              <w:rPr>
                <w:rFonts w:hint="eastAsia" w:hAnsi="宋体"/>
                <w:color w:val="000000"/>
                <w:highlight w:val="none"/>
              </w:rPr>
              <w:t>供应商资格</w:t>
            </w:r>
          </w:p>
        </w:tc>
        <w:tc>
          <w:tcPr>
            <w:tcW w:w="7223" w:type="dxa"/>
            <w:vAlign w:val="center"/>
          </w:tcPr>
          <w:p>
            <w:pPr>
              <w:autoSpaceDE w:val="0"/>
              <w:autoSpaceDN w:val="0"/>
              <w:adjustRightInd w:val="0"/>
              <w:spacing w:line="360" w:lineRule="auto"/>
              <w:ind w:firstLine="480" w:firstLineChars="200"/>
              <w:jc w:val="left"/>
              <w:rPr>
                <w:rFonts w:hAnsi="宋体"/>
                <w:color w:val="000000"/>
                <w:szCs w:val="18"/>
                <w:highlight w:val="none"/>
              </w:rPr>
            </w:pPr>
            <w:r>
              <w:rPr>
                <w:rFonts w:hint="eastAsia" w:hAnsi="宋体"/>
                <w:color w:val="000000"/>
                <w:szCs w:val="18"/>
                <w:highlight w:val="none"/>
              </w:rPr>
              <w:t>1、符合《中华人民共和国政府采购法》第二十二条规定；</w:t>
            </w:r>
          </w:p>
          <w:p>
            <w:pPr>
              <w:widowControl/>
              <w:spacing w:line="360" w:lineRule="auto"/>
              <w:ind w:firstLine="480" w:firstLineChars="200"/>
              <w:rPr>
                <w:rFonts w:hAnsi="宋体"/>
                <w:color w:val="000000"/>
                <w:szCs w:val="21"/>
                <w:highlight w:val="none"/>
              </w:rPr>
            </w:pPr>
            <w:r>
              <w:rPr>
                <w:rFonts w:hint="eastAsia" w:hAnsi="宋体"/>
                <w:color w:val="000000"/>
                <w:szCs w:val="21"/>
                <w:highlight w:val="none"/>
              </w:rPr>
              <w:t>2</w:t>
            </w:r>
            <w:r>
              <w:rPr>
                <w:rFonts w:hAnsi="宋体"/>
                <w:color w:val="000000"/>
                <w:szCs w:val="21"/>
                <w:highlight w:val="none"/>
              </w:rPr>
              <w:t>、本项目不接受联合体投标；</w:t>
            </w:r>
          </w:p>
          <w:p>
            <w:pPr>
              <w:widowControl/>
              <w:spacing w:line="360" w:lineRule="auto"/>
              <w:ind w:firstLine="480" w:firstLineChars="200"/>
              <w:rPr>
                <w:rFonts w:hint="eastAsia" w:hAnsi="宋体"/>
                <w:color w:val="000000"/>
                <w:szCs w:val="24"/>
                <w:highlight w:val="none"/>
              </w:rPr>
            </w:pPr>
            <w:r>
              <w:rPr>
                <w:rFonts w:hint="eastAsia" w:hAnsi="宋体"/>
                <w:color w:val="000000"/>
                <w:szCs w:val="24"/>
                <w:highlight w:val="none"/>
                <w:lang w:val="en-US" w:eastAsia="zh-CN"/>
              </w:rPr>
              <w:t>3、供应商具有</w:t>
            </w:r>
            <w:r>
              <w:rPr>
                <w:rFonts w:hint="eastAsia" w:hAnsi="宋体"/>
                <w:color w:val="000000"/>
                <w:szCs w:val="24"/>
                <w:highlight w:val="none"/>
              </w:rPr>
              <w:t>市政公用工程施工总承包三级、企业安全生产许可证；</w:t>
            </w:r>
          </w:p>
          <w:p>
            <w:pPr>
              <w:widowControl/>
              <w:spacing w:line="360" w:lineRule="auto"/>
              <w:ind w:firstLine="480" w:firstLineChars="200"/>
              <w:rPr>
                <w:rFonts w:hAnsi="宋体"/>
                <w:color w:val="000000"/>
                <w:szCs w:val="21"/>
                <w:highlight w:val="none"/>
              </w:rPr>
            </w:pPr>
            <w:r>
              <w:rPr>
                <w:rFonts w:hint="eastAsia" w:hAnsi="宋体"/>
                <w:color w:val="000000"/>
                <w:szCs w:val="24"/>
                <w:highlight w:val="none"/>
                <w:lang w:val="en-US" w:eastAsia="zh-CN"/>
              </w:rPr>
              <w:t>4、拟派</w:t>
            </w:r>
            <w:r>
              <w:rPr>
                <w:rFonts w:hint="eastAsia" w:hAnsi="宋体"/>
                <w:color w:val="000000"/>
                <w:szCs w:val="24"/>
                <w:highlight w:val="none"/>
              </w:rPr>
              <w:t>项目经理</w:t>
            </w:r>
            <w:r>
              <w:rPr>
                <w:rFonts w:hint="eastAsia" w:hAnsi="宋体"/>
                <w:color w:val="000000"/>
                <w:szCs w:val="24"/>
                <w:highlight w:val="none"/>
                <w:lang w:val="en-US" w:eastAsia="zh-CN"/>
              </w:rPr>
              <w:t>具有</w:t>
            </w:r>
            <w:r>
              <w:rPr>
                <w:rFonts w:hint="eastAsia" w:hAnsi="宋体"/>
                <w:color w:val="000000"/>
                <w:szCs w:val="24"/>
                <w:highlight w:val="none"/>
              </w:rPr>
              <w:t>二级（市政公用工程）建造师、安全B证</w:t>
            </w:r>
          </w:p>
          <w:p>
            <w:pPr>
              <w:autoSpaceDE w:val="0"/>
              <w:autoSpaceDN w:val="0"/>
              <w:adjustRightInd w:val="0"/>
              <w:spacing w:line="360" w:lineRule="auto"/>
              <w:ind w:firstLine="480" w:firstLineChars="200"/>
              <w:jc w:val="left"/>
              <w:rPr>
                <w:b/>
                <w:bCs/>
                <w:color w:val="000000"/>
                <w:szCs w:val="24"/>
                <w:highlight w:val="none"/>
              </w:rPr>
            </w:pPr>
            <w:r>
              <w:rPr>
                <w:rFonts w:hint="eastAsia" w:hAnsi="宋体"/>
                <w:color w:val="000000"/>
                <w:highlight w:val="none"/>
                <w:lang w:val="en-US" w:eastAsia="zh-CN"/>
              </w:rPr>
              <w:t>5、供应商具有</w:t>
            </w:r>
            <w:r>
              <w:rPr>
                <w:rFonts w:hint="eastAsia" w:hAnsi="宋体"/>
                <w:color w:val="000000"/>
                <w:highlight w:val="none"/>
              </w:rPr>
              <w:t>近五年内完成不低于15万元的市政工程或市政维修业绩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231"/>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lang w:val="en-US" w:eastAsia="zh-CN"/>
              </w:rPr>
              <w:t>工程</w:t>
            </w:r>
            <w:r>
              <w:rPr>
                <w:rFonts w:hint="eastAsia"/>
                <w:b w:val="0"/>
                <w:bCs w:val="0"/>
                <w:color w:val="000000"/>
                <w:sz w:val="24"/>
                <w:highlight w:val="non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231"/>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231"/>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 xml:space="preserve"> </w:t>
            </w: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ind w:firstLine="12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pPr>
              <w:pStyle w:val="219"/>
              <w:spacing w:line="500" w:lineRule="exact"/>
              <w:rPr>
                <w:rFonts w:hint="eastAsia" w:hAnsi="宋体" w:cs="宋体"/>
                <w:color w:val="000000"/>
                <w:szCs w:val="21"/>
                <w:highlight w:val="none"/>
              </w:rPr>
            </w:pPr>
            <w:r>
              <w:rPr>
                <w:rFonts w:hint="eastAsia" w:ascii="宋体" w:hAnsi="宋体"/>
                <w:color w:val="000000"/>
                <w:highlight w:val="none"/>
                <w:lang w:val="zh-CN"/>
              </w:rPr>
              <w:t>完工后并验收合格后付至进度产值的70%，审计结束后付至95%，余款待一年质保期满后付清。</w:t>
            </w:r>
            <w:r>
              <w:rPr>
                <w:rFonts w:hint="eastAsia" w:hAnsi="宋体" w:cs="宋体"/>
                <w:color w:val="000000"/>
                <w:szCs w:val="21"/>
                <w:highlight w:val="none"/>
              </w:rPr>
              <w:t>中标人必须先提供与结算金额等额、内容一致、合法有效的增值税专用发票后方可付款，否则招标人将拒绝支付。一切税费由中标人自行承担。</w:t>
            </w:r>
          </w:p>
          <w:p>
            <w:pPr>
              <w:pStyle w:val="219"/>
              <w:spacing w:line="500" w:lineRule="exact"/>
              <w:rPr>
                <w:rFonts w:hAnsi="宋体" w:cs="宋体"/>
                <w:color w:val="000000"/>
                <w:szCs w:val="21"/>
                <w:highlight w:val="none"/>
              </w:rPr>
            </w:pPr>
            <w:r>
              <w:rPr>
                <w:rFonts w:hint="eastAsia" w:hAnsi="宋体" w:cs="宋体"/>
                <w:color w:val="000000"/>
                <w:szCs w:val="21"/>
                <w:highlight w:val="none"/>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223"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447" w:type="dxa"/>
          </w:tcPr>
          <w:p>
            <w:pPr>
              <w:spacing w:line="500" w:lineRule="exact"/>
              <w:rPr>
                <w:rFonts w:hAnsi="宋体"/>
                <w:color w:val="000000"/>
                <w:highlight w:val="none"/>
              </w:rPr>
            </w:pPr>
            <w:r>
              <w:rPr>
                <w:rFonts w:hint="eastAsia" w:hAnsi="宋体"/>
                <w:color w:val="000000"/>
                <w:highlight w:val="none"/>
              </w:rPr>
              <w:t>服务地点</w:t>
            </w:r>
          </w:p>
        </w:tc>
        <w:tc>
          <w:tcPr>
            <w:tcW w:w="7223" w:type="dxa"/>
          </w:tcPr>
          <w:p>
            <w:pPr>
              <w:spacing w:line="500" w:lineRule="exact"/>
              <w:rPr>
                <w:rFonts w:hAnsi="宋体"/>
                <w:color w:val="000000"/>
                <w:highlight w:val="none"/>
              </w:rPr>
            </w:pPr>
            <w:r>
              <w:rPr>
                <w:rFonts w:hint="eastAsia" w:hAnsi="宋体"/>
                <w:color w:val="000000"/>
                <w:highlight w:val="none"/>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spacing w:line="500" w:lineRule="exact"/>
              <w:rPr>
                <w:rFonts w:ascii="Tahoma" w:hAnsi="宋体" w:cs="宋体"/>
                <w:color w:val="000000"/>
                <w:szCs w:val="21"/>
                <w:highlight w:val="none"/>
              </w:rPr>
            </w:pPr>
            <w:r>
              <w:rPr>
                <w:rFonts w:hint="eastAsia" w:cs="宋体" w:asciiTheme="minorEastAsia" w:hAnsiTheme="minorEastAsia" w:eastAsiaTheme="minorEastAsia"/>
                <w:color w:val="000000"/>
                <w:szCs w:val="24"/>
                <w:highlight w:val="none"/>
              </w:rPr>
              <w:t>1、自合同签订至完工后1年质保期</w:t>
            </w:r>
          </w:p>
          <w:p>
            <w:pPr>
              <w:spacing w:line="500" w:lineRule="exact"/>
              <w:rPr>
                <w:rFonts w:hint="eastAsia" w:asciiTheme="minorEastAsia" w:hAnsiTheme="minorEastAsia" w:eastAsiaTheme="minorEastAsia"/>
                <w:highlight w:val="none"/>
              </w:rPr>
            </w:pPr>
            <w:r>
              <w:rPr>
                <w:rFonts w:hint="eastAsia" w:cs="宋体" w:asciiTheme="minorEastAsia" w:hAnsiTheme="minorEastAsia" w:eastAsiaTheme="minorEastAsia"/>
                <w:color w:val="000000"/>
                <w:szCs w:val="21"/>
                <w:highlight w:val="none"/>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highlight w:val="none"/>
              </w:rPr>
              <w:t>。</w:t>
            </w:r>
          </w:p>
          <w:p>
            <w:pPr>
              <w:spacing w:line="500" w:lineRule="exact"/>
              <w:rPr>
                <w:rFonts w:hAnsi="宋体"/>
                <w:color w:val="FF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447"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223"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szCs w:val="24"/>
                <w:highlight w:val="none"/>
                <w:u w:val="single"/>
              </w:rPr>
              <w:t>零</w:t>
            </w:r>
            <w:r>
              <w:rPr>
                <w:rFonts w:hint="eastAsia" w:hAnsi="宋体" w:cs="宋体"/>
                <w:b/>
                <w:color w:val="000000"/>
                <w:szCs w:val="24"/>
                <w:highlight w:val="none"/>
              </w:rPr>
              <w:t>元</w:t>
            </w:r>
            <w:r>
              <w:rPr>
                <w:rFonts w:hint="eastAsia" w:hAnsi="宋体"/>
                <w:b/>
                <w:color w:val="000000"/>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447" w:type="dxa"/>
            <w:vAlign w:val="center"/>
          </w:tcPr>
          <w:p>
            <w:pPr>
              <w:pStyle w:val="214"/>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223"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202</w:t>
            </w:r>
            <w:r>
              <w:rPr>
                <w:rFonts w:hint="eastAsia" w:hAnsi="宋体"/>
                <w:b/>
                <w:bCs/>
                <w:color w:val="000000"/>
                <w:highlight w:val="none"/>
                <w:lang w:val="en-US" w:eastAsia="zh-CN"/>
              </w:rPr>
              <w:t>3</w:t>
            </w:r>
            <w:r>
              <w:rPr>
                <w:rFonts w:hint="eastAsia" w:hAnsi="宋体"/>
                <w:b/>
                <w:bCs/>
                <w:color w:val="000000"/>
                <w:highlight w:val="none"/>
              </w:rPr>
              <w:t>年</w:t>
            </w:r>
            <w:r>
              <w:rPr>
                <w:rFonts w:hint="eastAsia" w:hAnsi="宋体"/>
                <w:b/>
                <w:bCs/>
                <w:color w:val="000000"/>
                <w:highlight w:val="none"/>
                <w:lang w:val="en-US" w:eastAsia="zh-CN"/>
              </w:rPr>
              <w:t>3</w:t>
            </w:r>
            <w:r>
              <w:rPr>
                <w:rFonts w:hint="eastAsia" w:hAnsi="宋体"/>
                <w:b/>
                <w:bCs/>
                <w:color w:val="000000"/>
                <w:highlight w:val="none"/>
              </w:rPr>
              <w:t>月</w:t>
            </w:r>
            <w:r>
              <w:rPr>
                <w:rFonts w:hint="eastAsia" w:hAnsi="宋体"/>
                <w:b/>
                <w:bCs/>
                <w:color w:val="000000"/>
                <w:highlight w:val="none"/>
                <w:lang w:val="en-US" w:eastAsia="zh-CN"/>
              </w:rPr>
              <w:t xml:space="preserve"> 6  </w:t>
            </w:r>
            <w:r>
              <w:rPr>
                <w:rFonts w:hint="eastAsia" w:hAnsi="宋体"/>
                <w:b/>
                <w:bCs/>
                <w:color w:val="000000"/>
                <w:highlight w:val="none"/>
              </w:rPr>
              <w:t>日</w:t>
            </w:r>
            <w:r>
              <w:rPr>
                <w:rFonts w:hint="eastAsia" w:hAnsi="宋体"/>
                <w:b/>
                <w:bCs/>
                <w:color w:val="000000"/>
                <w:highlight w:val="none"/>
                <w:lang w:val="en-US" w:eastAsia="zh-CN"/>
              </w:rPr>
              <w:t>17</w:t>
            </w:r>
            <w:r>
              <w:rPr>
                <w:rFonts w:hint="eastAsia" w:hAnsi="宋体"/>
                <w:b/>
                <w:bCs/>
                <w:color w:val="000000"/>
                <w:highlight w:val="none"/>
              </w:rPr>
              <w:t>时</w:t>
            </w:r>
            <w:r>
              <w:rPr>
                <w:rFonts w:hint="eastAsia" w:hAnsi="宋体"/>
                <w:b/>
                <w:bCs/>
                <w:color w:val="000000"/>
                <w:highlight w:val="none"/>
                <w:lang w:val="en-US" w:eastAsia="zh-CN"/>
              </w:rPr>
              <w:t>30分</w:t>
            </w:r>
            <w:r>
              <w:rPr>
                <w:rFonts w:hint="eastAsia" w:hAnsi="宋体"/>
                <w:b/>
                <w:bCs/>
                <w:color w:val="000000"/>
                <w:highlight w:val="none"/>
              </w:rPr>
              <w:t>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223"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447"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223"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223"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int="default" w:hAnsi="宋体" w:eastAsia="宋体"/>
                <w:color w:val="000000"/>
                <w:highlight w:val="none"/>
                <w:lang w:val="en-US" w:eastAsia="zh-CN"/>
              </w:rPr>
            </w:pPr>
            <w:r>
              <w:rPr>
                <w:rFonts w:hint="eastAsia" w:hAnsi="宋体"/>
                <w:color w:val="000000"/>
                <w:highlight w:val="none"/>
              </w:rPr>
              <w:t>有效最低价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spacing w:beforeLines="50" w:afterLines="50" w:line="360" w:lineRule="auto"/>
              <w:jc w:val="left"/>
              <w:rPr>
                <w:rFonts w:hAnsi="宋体" w:cs="宋体"/>
                <w:color w:val="000000"/>
                <w:szCs w:val="24"/>
                <w:highlight w:val="none"/>
              </w:rPr>
            </w:pPr>
            <w:r>
              <w:rPr>
                <w:rFonts w:hint="eastAsia" w:hAnsi="宋体" w:cs="宋体"/>
                <w:color w:val="000000"/>
                <w:szCs w:val="24"/>
                <w:highlight w:val="none"/>
              </w:rPr>
              <w:t>成交价的</w:t>
            </w:r>
            <w:r>
              <w:rPr>
                <w:rFonts w:hint="eastAsia" w:hAnsi="宋体" w:cs="宋体"/>
                <w:color w:val="000000"/>
                <w:szCs w:val="24"/>
                <w:highlight w:val="none"/>
                <w:u w:val="single"/>
              </w:rPr>
              <w:t xml:space="preserve"> </w:t>
            </w:r>
            <w:r>
              <w:rPr>
                <w:rFonts w:hint="eastAsia" w:hAnsi="宋体" w:cs="宋体"/>
                <w:color w:val="000000"/>
                <w:szCs w:val="24"/>
                <w:highlight w:val="none"/>
                <w:u w:val="single"/>
                <w:lang w:val="en-US" w:eastAsia="zh-CN"/>
              </w:rPr>
              <w:t>5</w:t>
            </w:r>
            <w:r>
              <w:rPr>
                <w:rFonts w:hint="eastAsia" w:hAnsi="宋体" w:cs="宋体"/>
                <w:color w:val="000000"/>
                <w:szCs w:val="24"/>
                <w:highlight w:val="none"/>
                <w:u w:val="single"/>
              </w:rPr>
              <w:t xml:space="preserve"> </w:t>
            </w:r>
            <w:r>
              <w:rPr>
                <w:rFonts w:hint="eastAsia" w:hAnsi="宋体" w:cs="宋体"/>
                <w:color w:val="000000"/>
                <w:szCs w:val="24"/>
                <w:highlight w:val="none"/>
              </w:rPr>
              <w:t>%（保留到百位数）；</w:t>
            </w:r>
          </w:p>
          <w:p>
            <w:pPr>
              <w:spacing w:line="360" w:lineRule="auto"/>
              <w:rPr>
                <w:rFonts w:hAnsi="宋体"/>
                <w:color w:val="000000"/>
                <w:highlight w:val="none"/>
              </w:rPr>
            </w:pPr>
            <w:r>
              <w:rPr>
                <w:rFonts w:hint="eastAsia" w:hAnsi="宋体"/>
                <w:color w:val="000000"/>
                <w:highlight w:val="none"/>
              </w:rPr>
              <w:t>期限：项目竣工验收合格后一月内无息返还。</w:t>
            </w:r>
          </w:p>
          <w:p>
            <w:pPr>
              <w:spacing w:line="360" w:lineRule="auto"/>
              <w:rPr>
                <w:rFonts w:hAnsi="宋体"/>
                <w:color w:val="000000"/>
                <w:highlight w:val="none"/>
              </w:rPr>
            </w:pPr>
            <w:r>
              <w:rPr>
                <w:rFonts w:hint="eastAsia" w:hAnsi="宋体"/>
                <w:color w:val="000000"/>
                <w:highlight w:val="none"/>
              </w:rPr>
              <w:t>收受方式为：</w:t>
            </w:r>
            <w:r>
              <w:rPr>
                <w:rFonts w:hint="eastAsia"/>
                <w:b/>
                <w:bCs/>
                <w:color w:val="000000"/>
                <w:highlight w:val="none"/>
                <w:u w:val="single"/>
              </w:rPr>
              <w:sym w:font="Wingdings" w:char="00FE"/>
            </w:r>
            <w:r>
              <w:rPr>
                <w:rFonts w:hint="eastAsia" w:hAnsi="宋体"/>
                <w:color w:val="000000"/>
                <w:highlight w:val="none"/>
                <w:u w:val="single"/>
              </w:rPr>
              <w:t>转账/电汇</w:t>
            </w:r>
            <w:r>
              <w:rPr>
                <w:rFonts w:hint="eastAsia" w:hAnsi="宋体"/>
                <w:color w:val="000000"/>
                <w:highlight w:val="none"/>
              </w:rPr>
              <w:t>，</w:t>
            </w:r>
          </w:p>
          <w:p>
            <w:pPr>
              <w:spacing w:line="360" w:lineRule="auto"/>
              <w:rPr>
                <w:rFonts w:hAnsi="宋体"/>
                <w:color w:val="000000"/>
                <w:szCs w:val="24"/>
                <w:highlight w:val="none"/>
              </w:rPr>
            </w:pPr>
            <w:r>
              <w:rPr>
                <w:rFonts w:hint="eastAsia" w:hAnsi="宋体"/>
                <w:color w:val="000000"/>
                <w:highlight w:val="none"/>
              </w:rPr>
              <w:t>收受人为</w:t>
            </w:r>
            <w:r>
              <w:rPr>
                <w:rFonts w:hint="eastAsia"/>
                <w:b/>
                <w:bCs/>
                <w:color w:val="000000"/>
                <w:highlight w:val="none"/>
                <w:u w:val="single"/>
              </w:rPr>
              <w:sym w:font="Wingdings" w:char="00FE"/>
            </w:r>
            <w:r>
              <w:rPr>
                <w:rFonts w:hint="eastAsia" w:hAnsi="宋体"/>
                <w:color w:val="000000"/>
                <w:highlight w:val="none"/>
                <w:u w:val="singl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447"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223"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223"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hAnsi="宋体"/>
                <w:color w:val="000000"/>
                <w:highlight w:val="none"/>
              </w:rPr>
              <w:sym w:font="Wingdings 2" w:char="0052"/>
            </w:r>
            <w:r>
              <w:rPr>
                <w:rFonts w:hint="eastAsia" w:hAnsi="宋体"/>
                <w:color w:val="000000"/>
                <w:highlight w:val="none"/>
              </w:rPr>
              <w:t>要求</w:t>
            </w:r>
            <w:r>
              <w:rPr>
                <w:rFonts w:hint="eastAsia"/>
                <w:b/>
                <w:bCs/>
                <w:color w:val="000000"/>
                <w:highlight w:val="none"/>
                <w:u w:val="single"/>
              </w:rPr>
              <w:sym w:font="Wingdings" w:char="00A8"/>
            </w:r>
            <w:r>
              <w:rPr>
                <w:rFonts w:hint="eastAsia" w:hAnsi="宋体"/>
                <w:color w:val="000000"/>
                <w:highlight w:val="none"/>
              </w:rPr>
              <w:t>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21</w:t>
            </w:r>
          </w:p>
        </w:tc>
        <w:tc>
          <w:tcPr>
            <w:tcW w:w="1447" w:type="dxa"/>
            <w:vAlign w:val="center"/>
          </w:tcPr>
          <w:p>
            <w:pPr>
              <w:ind w:firstLine="240" w:firstLineChars="100"/>
              <w:rPr>
                <w:color w:val="000000"/>
                <w:highlight w:val="none"/>
              </w:rPr>
            </w:pPr>
            <w:r>
              <w:rPr>
                <w:rFonts w:hint="eastAsia"/>
                <w:color w:val="000000"/>
                <w:highlight w:val="none"/>
              </w:rPr>
              <w:t>业绩</w:t>
            </w:r>
          </w:p>
        </w:tc>
        <w:tc>
          <w:tcPr>
            <w:tcW w:w="7223" w:type="dxa"/>
            <w:vAlign w:val="center"/>
          </w:tcPr>
          <w:p>
            <w:pPr>
              <w:rPr>
                <w:color w:val="000000"/>
                <w:highlight w:val="none"/>
              </w:rPr>
            </w:pPr>
            <w:r>
              <w:rPr>
                <w:rFonts w:hint="eastAsia" w:hAnsi="宋体"/>
                <w:color w:val="000000"/>
                <w:highlight w:val="none"/>
              </w:rPr>
              <w:t>近五年内完成不低于15万元的市政工程或市政维修业绩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22</w:t>
            </w:r>
          </w:p>
        </w:tc>
        <w:tc>
          <w:tcPr>
            <w:tcW w:w="1447" w:type="dxa"/>
            <w:vAlign w:val="center"/>
          </w:tcPr>
          <w:p>
            <w:pPr>
              <w:ind w:firstLine="240" w:firstLineChars="100"/>
              <w:rPr>
                <w:color w:val="000000"/>
                <w:highlight w:val="none"/>
              </w:rPr>
            </w:pPr>
            <w:r>
              <w:rPr>
                <w:rFonts w:hint="eastAsia"/>
                <w:color w:val="000000"/>
                <w:highlight w:val="none"/>
              </w:rPr>
              <w:t>其他</w:t>
            </w:r>
          </w:p>
        </w:tc>
        <w:tc>
          <w:tcPr>
            <w:tcW w:w="7223" w:type="dxa"/>
            <w:vAlign w:val="center"/>
          </w:tcPr>
          <w:p>
            <w:pPr>
              <w:rPr>
                <w:rFonts w:hint="eastAsia"/>
                <w:color w:val="000000"/>
                <w:highlight w:val="none"/>
              </w:rPr>
            </w:pPr>
            <w:r>
              <w:rPr>
                <w:rFonts w:hint="eastAsia"/>
                <w:color w:val="000000"/>
                <w:highlight w:val="none"/>
              </w:rPr>
              <w:t>1.包设计、包工、包料、包安装；</w:t>
            </w:r>
          </w:p>
          <w:p>
            <w:pPr>
              <w:rPr>
                <w:color w:val="000000"/>
                <w:highlight w:val="none"/>
              </w:rPr>
            </w:pPr>
            <w:r>
              <w:rPr>
                <w:rFonts w:hint="eastAsia"/>
                <w:color w:val="000000"/>
                <w:highlight w:val="none"/>
              </w:rPr>
              <w:t>2.规格、尺寸严格按照图纸设计要求施工；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447" w:type="dxa"/>
            <w:vAlign w:val="center"/>
          </w:tcPr>
          <w:p>
            <w:pPr>
              <w:jc w:val="center"/>
              <w:rPr>
                <w:rFonts w:hAnsi="宋体"/>
                <w:color w:val="000000"/>
                <w:highlight w:val="none"/>
              </w:rPr>
            </w:pPr>
            <w:r>
              <w:rPr>
                <w:rFonts w:hint="eastAsia" w:hAnsi="宋体"/>
                <w:color w:val="000000"/>
                <w:highlight w:val="none"/>
              </w:rPr>
              <w:t>备注二</w:t>
            </w:r>
          </w:p>
        </w:tc>
        <w:tc>
          <w:tcPr>
            <w:tcW w:w="7223"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24</w:t>
            </w:r>
          </w:p>
        </w:tc>
        <w:tc>
          <w:tcPr>
            <w:tcW w:w="1447" w:type="dxa"/>
            <w:vAlign w:val="center"/>
          </w:tcPr>
          <w:p>
            <w:pPr>
              <w:jc w:val="center"/>
              <w:rPr>
                <w:rFonts w:hAnsi="宋体"/>
                <w:color w:val="000000"/>
                <w:highlight w:val="none"/>
              </w:rPr>
            </w:pPr>
            <w:r>
              <w:rPr>
                <w:rFonts w:hint="eastAsia" w:hAnsi="宋体"/>
                <w:color w:val="000000"/>
                <w:highlight w:val="none"/>
              </w:rPr>
              <w:t>违约金</w:t>
            </w:r>
          </w:p>
        </w:tc>
        <w:tc>
          <w:tcPr>
            <w:tcW w:w="7223"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2"/>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3"/>
        <w:spacing w:before="0" w:after="0" w:line="360" w:lineRule="auto"/>
        <w:ind w:firstLine="482" w:firstLineChars="200"/>
        <w:rPr>
          <w:rFonts w:ascii="宋体" w:hAnsi="宋体" w:eastAsia="宋体"/>
          <w:color w:val="000000"/>
          <w:sz w:val="24"/>
          <w:szCs w:val="24"/>
          <w:highlight w:val="none"/>
        </w:rPr>
      </w:pPr>
      <w:bookmarkStart w:id="11" w:name="_Hlt509649998"/>
      <w:bookmarkEnd w:id="11"/>
      <w:bookmarkStart w:id="12" w:name="_Hlt509650955"/>
      <w:bookmarkEnd w:id="12"/>
      <w:bookmarkStart w:id="13" w:name="_Hlt509650686"/>
      <w:bookmarkEnd w:id="13"/>
      <w:bookmarkStart w:id="14" w:name="_Hlt509649722"/>
      <w:bookmarkEnd w:id="14"/>
      <w:bookmarkStart w:id="15" w:name="_Hlt526418143"/>
      <w:bookmarkEnd w:id="15"/>
      <w:bookmarkStart w:id="16" w:name="_Hlt509650126"/>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82" w:firstLineChars="200"/>
        <w:rPr>
          <w:rFonts w:hAnsi="宋体"/>
          <w:b/>
          <w:color w:val="000000"/>
          <w:szCs w:val="24"/>
          <w:highlight w:val="none"/>
        </w:rPr>
      </w:pPr>
      <w:bookmarkStart w:id="18" w:name="_Hlt509649678"/>
      <w:bookmarkEnd w:id="18"/>
      <w:bookmarkStart w:id="19" w:name="_Hlt509649669"/>
      <w:bookmarkEnd w:id="19"/>
      <w:bookmarkStart w:id="20" w:name="_Hlt509650961"/>
      <w:bookmarkEnd w:id="20"/>
      <w:bookmarkStart w:id="21" w:name="_Hlt526418153"/>
      <w:bookmarkEnd w:id="21"/>
      <w:bookmarkStart w:id="22" w:name="_Hlt509650116"/>
      <w:bookmarkEnd w:id="22"/>
      <w:bookmarkStart w:id="23" w:name="_Hlt509650936"/>
      <w:bookmarkEnd w:id="23"/>
      <w:bookmarkStart w:id="24" w:name="_Hlt509650929"/>
      <w:bookmarkEnd w:id="24"/>
      <w:bookmarkStart w:id="25" w:name="_Hlt509650333"/>
      <w:bookmarkEnd w:id="25"/>
      <w:bookmarkStart w:id="26" w:name="_Hlt509650932"/>
      <w:bookmarkEnd w:id="26"/>
      <w:bookmarkStart w:id="27" w:name="_Hlt509650690"/>
      <w:bookmarkEnd w:id="27"/>
      <w:bookmarkStart w:id="28" w:name="_Hlt509649330"/>
      <w:bookmarkEnd w:id="28"/>
      <w:bookmarkStart w:id="29" w:name="_Hlt509650103"/>
      <w:bookmarkEnd w:id="29"/>
      <w:bookmarkStart w:id="30" w:name="_Hlt509649645"/>
      <w:bookmarkEnd w:id="30"/>
      <w:bookmarkStart w:id="31" w:name="_Hlt509649795"/>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80"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80" w:firstLineChars="200"/>
        <w:rPr>
          <w:rFonts w:hAnsi="宋体"/>
          <w:color w:val="000000"/>
          <w:szCs w:val="24"/>
          <w:highlight w:val="none"/>
        </w:rPr>
      </w:pPr>
      <w:r>
        <w:rPr>
          <w:rFonts w:hint="eastAsia" w:hAnsi="宋体"/>
          <w:color w:val="000000"/>
          <w:szCs w:val="24"/>
          <w:highlight w:val="none"/>
        </w:rPr>
        <w:t>2.1采购监督管理部门：合肥经济技术开发区</w:t>
      </w:r>
      <w:r>
        <w:rPr>
          <w:rFonts w:hint="eastAsia" w:hAnsi="宋体"/>
          <w:color w:val="000000"/>
          <w:szCs w:val="24"/>
          <w:highlight w:val="none"/>
          <w:lang w:eastAsia="zh-CN"/>
        </w:rPr>
        <w:t>公用事业发展有限公司</w:t>
      </w:r>
      <w:r>
        <w:rPr>
          <w:rFonts w:hint="eastAsia" w:hAnsi="宋体"/>
          <w:color w:val="000000"/>
          <w:szCs w:val="24"/>
          <w:highlight w:val="none"/>
        </w:rPr>
        <w:t>。</w:t>
      </w:r>
    </w:p>
    <w:p>
      <w:pPr>
        <w:spacing w:line="360" w:lineRule="auto"/>
        <w:ind w:firstLine="480"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80"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80"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72"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80"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82"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80"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80"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80"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80"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80"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80"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82"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80"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80"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80"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80"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80"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80"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80"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80"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80"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80"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80"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80"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80"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80"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80"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80"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80"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80"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80"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80"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80"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80"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80"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82"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80"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82"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80"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82"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80"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80"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80"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80"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82"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80" w:firstLineChars="200"/>
        <w:rPr>
          <w:rFonts w:hAnsi="宋体"/>
          <w:color w:val="000000"/>
          <w:szCs w:val="24"/>
          <w:highlight w:val="none"/>
        </w:rPr>
      </w:pPr>
      <w:r>
        <w:rPr>
          <w:rFonts w:hint="eastAsia" w:hAnsi="宋体"/>
          <w:color w:val="000000"/>
          <w:szCs w:val="24"/>
          <w:highlight w:val="none"/>
        </w:rPr>
        <w:t>11.1与本次采购活动相关的信息，将在合肥经济技术开发区</w:t>
      </w:r>
      <w:r>
        <w:rPr>
          <w:rFonts w:hint="eastAsia" w:hAnsi="宋体"/>
          <w:color w:val="000000"/>
          <w:szCs w:val="24"/>
          <w:highlight w:val="none"/>
          <w:lang w:eastAsia="zh-CN"/>
        </w:rPr>
        <w:t>公用事业发展有限公司</w:t>
      </w:r>
      <w:r>
        <w:rPr>
          <w:rFonts w:hint="eastAsia" w:hAnsi="宋体"/>
          <w:color w:val="000000"/>
          <w:szCs w:val="24"/>
          <w:highlight w:val="none"/>
        </w:rPr>
        <w:t>网站(</w:t>
      </w:r>
      <w:r>
        <w:rPr>
          <w:rFonts w:hAnsi="宋体"/>
          <w:color w:val="000000"/>
          <w:szCs w:val="24"/>
          <w:highlight w:val="none"/>
        </w:rPr>
        <w:t>http://www.hfpudc.com/</w:t>
      </w:r>
      <w:r>
        <w:rPr>
          <w:rFonts w:hint="eastAsia" w:hAnsi="宋体"/>
          <w:color w:val="000000"/>
          <w:szCs w:val="24"/>
          <w:highlight w:val="none"/>
        </w:rPr>
        <w:t>)发布。</w:t>
      </w:r>
    </w:p>
    <w:p>
      <w:pPr>
        <w:pStyle w:val="3"/>
        <w:spacing w:before="0" w:after="0" w:line="360" w:lineRule="auto"/>
        <w:ind w:firstLine="482" w:firstLineChars="200"/>
        <w:rPr>
          <w:rFonts w:ascii="宋体" w:hAnsi="宋体" w:eastAsia="宋体"/>
          <w:color w:val="000000"/>
          <w:sz w:val="24"/>
          <w:szCs w:val="24"/>
          <w:highlight w:val="none"/>
        </w:rPr>
      </w:pPr>
      <w:bookmarkStart w:id="33" w:name="_Toc419376297"/>
      <w:bookmarkStart w:id="34" w:name="_Toc527131316"/>
      <w:r>
        <w:rPr>
          <w:rFonts w:hint="eastAsia" w:ascii="宋体" w:hAnsi="宋体" w:eastAsia="宋体"/>
          <w:color w:val="000000"/>
          <w:sz w:val="24"/>
          <w:szCs w:val="24"/>
          <w:highlight w:val="none"/>
        </w:rPr>
        <w:t>（二）招标文件</w:t>
      </w:r>
      <w:bookmarkEnd w:id="33"/>
      <w:bookmarkEnd w:id="34"/>
      <w:bookmarkStart w:id="35" w:name="_Hlt509650361"/>
      <w:bookmarkEnd w:id="35"/>
      <w:bookmarkStart w:id="36" w:name="_Hlt509649930"/>
      <w:bookmarkEnd w:id="36"/>
      <w:bookmarkStart w:id="37" w:name="_Hlt509649791"/>
      <w:bookmarkEnd w:id="37"/>
    </w:p>
    <w:p>
      <w:pPr>
        <w:spacing w:line="360" w:lineRule="auto"/>
        <w:ind w:firstLine="482"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80"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80"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80"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80"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80"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80"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80"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80" w:firstLineChars="200"/>
        <w:rPr>
          <w:rFonts w:hAnsi="宋体"/>
          <w:color w:val="000000"/>
          <w:szCs w:val="24"/>
          <w:highlight w:val="none"/>
        </w:rPr>
      </w:pPr>
      <w:r>
        <w:rPr>
          <w:rFonts w:hint="eastAsia" w:hAnsi="宋体"/>
          <w:bCs/>
          <w:color w:val="000000"/>
          <w:szCs w:val="24"/>
          <w:highlight w:val="none"/>
        </w:rPr>
        <w:t>12.1.7合肥经济技术开发区</w:t>
      </w:r>
      <w:r>
        <w:rPr>
          <w:rFonts w:hint="eastAsia" w:hAnsi="宋体"/>
          <w:bCs/>
          <w:color w:val="000000"/>
          <w:szCs w:val="24"/>
          <w:highlight w:val="none"/>
          <w:lang w:eastAsia="zh-CN"/>
        </w:rPr>
        <w:t>公用事业发展有限公司</w:t>
      </w:r>
      <w:r>
        <w:rPr>
          <w:rFonts w:hint="eastAsia" w:hAnsi="宋体"/>
          <w:bCs/>
          <w:color w:val="000000"/>
          <w:szCs w:val="24"/>
          <w:highlight w:val="none"/>
        </w:rPr>
        <w:t>发布的</w:t>
      </w:r>
      <w:r>
        <w:rPr>
          <w:rFonts w:hint="eastAsia"/>
          <w:color w:val="000000"/>
          <w:szCs w:val="24"/>
          <w:highlight w:val="none"/>
        </w:rPr>
        <w:t>图纸、工程量清单、控制价、答疑、补遗、补充通知等。</w:t>
      </w:r>
    </w:p>
    <w:p>
      <w:pPr>
        <w:spacing w:line="360" w:lineRule="auto"/>
        <w:ind w:firstLine="480"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80"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80"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rPr>
        <w:t>公用公司</w:t>
      </w:r>
      <w:r>
        <w:rPr>
          <w:rFonts w:hint="eastAsia" w:hAnsi="宋体"/>
          <w:color w:val="000000"/>
          <w:szCs w:val="24"/>
          <w:highlight w:val="none"/>
        </w:rPr>
        <w:t>提出，否则由此引起的损失由供应商自行承担。</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80"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80"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80"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80"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rPr>
        <w:t>公用公司</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80"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rPr>
        <w:t>公用公司</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80"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2"/>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82"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80"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80"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80"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80"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80"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80"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14.6供应商资质证书（或资格证明）处于年检、换证、升级、变更等期间，除非法律法规或发证机构有书面材料明确表明供应商资质（或资格)有效，否则一律不予认可。</w:t>
      </w:r>
    </w:p>
    <w:p>
      <w:pPr>
        <w:spacing w:line="360" w:lineRule="auto"/>
        <w:ind w:firstLine="480"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80"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82"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70"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70"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80"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80"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88"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90"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90"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90"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82"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80"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80"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80"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80"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70"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80"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80"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80"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80"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80"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80"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80"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80"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80"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80"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80"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80"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80"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80"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80"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80"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80"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80"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19.响应文件份数和签署</w:t>
      </w:r>
    </w:p>
    <w:p>
      <w:pPr>
        <w:pStyle w:val="104"/>
        <w:snapToGrid w:val="0"/>
        <w:spacing w:line="300" w:lineRule="auto"/>
        <w:ind w:firstLine="600"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3"/>
        <w:spacing w:before="0" w:after="0" w:line="360" w:lineRule="auto"/>
        <w:ind w:firstLine="482"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82"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600"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600"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82"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82"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80"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80"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80"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80"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80"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70"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70"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80"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41"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41"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790"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70" w:firstLineChars="196"/>
        <w:rPr>
          <w:rFonts w:hAnsi="宋体"/>
          <w:color w:val="000000"/>
          <w:highlight w:val="none"/>
        </w:rPr>
      </w:pPr>
    </w:p>
    <w:p>
      <w:pPr>
        <w:spacing w:line="360" w:lineRule="auto"/>
        <w:ind w:firstLine="470" w:firstLineChars="196"/>
        <w:rPr>
          <w:rFonts w:hAnsi="宋体"/>
          <w:color w:val="000000"/>
          <w:highlight w:val="none"/>
        </w:rPr>
      </w:pPr>
    </w:p>
    <w:p>
      <w:pPr>
        <w:spacing w:line="360" w:lineRule="auto"/>
        <w:ind w:firstLine="470" w:firstLineChars="196"/>
        <w:rPr>
          <w:rFonts w:hAnsi="宋体"/>
          <w:color w:val="000000"/>
          <w:highlight w:val="none"/>
        </w:rPr>
      </w:pPr>
    </w:p>
    <w:p>
      <w:pPr>
        <w:spacing w:line="360" w:lineRule="auto"/>
        <w:ind w:firstLine="470" w:firstLineChars="196"/>
        <w:rPr>
          <w:rFonts w:hAnsi="宋体"/>
          <w:color w:val="000000"/>
          <w:highlight w:val="none"/>
        </w:rPr>
      </w:pPr>
    </w:p>
    <w:p>
      <w:pPr>
        <w:spacing w:line="360" w:lineRule="auto"/>
        <w:ind w:firstLine="470"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2"/>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4"/>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14"/>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14"/>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14"/>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70" w:firstLineChars="196"/>
              <w:rPr>
                <w:rFonts w:hAnsi="宋体"/>
                <w:color w:val="000000"/>
                <w:highlight w:val="none"/>
              </w:rPr>
            </w:pPr>
            <w:r>
              <w:rPr>
                <w:rFonts w:hint="eastAsia" w:hAnsi="宋体"/>
                <w:color w:val="000000"/>
                <w:highlight w:val="none"/>
              </w:rPr>
              <w:t>注：</w:t>
            </w:r>
          </w:p>
          <w:p>
            <w:pPr>
              <w:spacing w:line="360" w:lineRule="auto"/>
              <w:ind w:firstLine="470"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70"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ind w:firstLine="723" w:firstLineChars="200"/>
        <w:jc w:val="center"/>
        <w:rPr>
          <w:rFonts w:hint="eastAsia"/>
          <w:b/>
          <w:bCs/>
          <w:sz w:val="36"/>
          <w:szCs w:val="36"/>
          <w:highlight w:val="none"/>
          <w:lang w:eastAsia="zh-CN"/>
        </w:rPr>
      </w:pPr>
    </w:p>
    <w:p>
      <w:pPr>
        <w:ind w:firstLine="723" w:firstLineChars="200"/>
        <w:jc w:val="center"/>
        <w:rPr>
          <w:rFonts w:hint="eastAsia"/>
          <w:b/>
          <w:bCs/>
          <w:sz w:val="36"/>
          <w:szCs w:val="36"/>
          <w:highlight w:val="none"/>
          <w:lang w:eastAsia="zh-CN"/>
        </w:rPr>
      </w:pPr>
    </w:p>
    <w:p>
      <w:pPr>
        <w:spacing w:line="360" w:lineRule="auto"/>
        <w:ind w:firstLine="482"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70"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70" w:firstLineChars="196"/>
        <w:outlineLvl w:val="1"/>
        <w:rPr>
          <w:rFonts w:hAnsi="宋体"/>
          <w:color w:val="000000"/>
          <w:szCs w:val="21"/>
          <w:highlight w:val="none"/>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1）本项目价格分权重为</w:t>
      </w:r>
      <w:r>
        <w:rPr>
          <w:rFonts w:hint="eastAsia" w:hAnsi="宋体"/>
          <w:color w:val="000000"/>
          <w:highlight w:val="none"/>
          <w:u w:val="single"/>
          <w:lang w:val="en-US" w:eastAsia="zh-CN"/>
        </w:rPr>
        <w:t xml:space="preserve">100 </w:t>
      </w:r>
      <w:r>
        <w:rPr>
          <w:rFonts w:hint="eastAsia" w:hAnsi="宋体"/>
          <w:color w:val="000000"/>
          <w:highlight w:val="none"/>
        </w:rPr>
        <w:t>%。</w:t>
      </w:r>
    </w:p>
    <w:p>
      <w:pPr>
        <w:spacing w:line="360" w:lineRule="auto"/>
        <w:ind w:firstLine="480"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80"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80"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80"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80"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80"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80"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80"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80"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82"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80"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80"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82"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82"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80"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80"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80"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70"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80"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82"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80"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80"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80"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72"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70"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80"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80"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80"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80"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80"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80"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80"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项目验收按照《合肥经济技术开发区公用公司采购管理制度》文件执行。</w:t>
      </w:r>
    </w:p>
    <w:p>
      <w:pPr>
        <w:spacing w:line="360" w:lineRule="auto"/>
        <w:ind w:firstLine="480"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70"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70"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70"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82"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82"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80"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80"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80"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80"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80"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80"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80"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80"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80"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80"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80"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80"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80"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80"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80"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80"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80"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80"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80"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80"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80"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80"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82"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80"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spacing w:line="360" w:lineRule="auto"/>
        <w:ind w:firstLine="480" w:firstLineChars="200"/>
        <w:rPr>
          <w:highlight w:val="none"/>
        </w:rPr>
      </w:pPr>
      <w:r>
        <w:rPr>
          <w:rFonts w:hAnsi="宋体"/>
          <w:bCs/>
          <w:color w:val="000000"/>
          <w:szCs w:val="24"/>
          <w:highlight w:val="none"/>
        </w:rPr>
        <w:br w:type="page"/>
      </w:r>
      <w:bookmarkStart w:id="50" w:name="_Hlt509649724"/>
      <w:bookmarkEnd w:id="50"/>
      <w:bookmarkStart w:id="51" w:name="_Hlt509650697"/>
      <w:bookmarkEnd w:id="51"/>
      <w:bookmarkStart w:id="52" w:name="_Hlt510342861"/>
      <w:bookmarkEnd w:id="52"/>
      <w:bookmarkStart w:id="53" w:name="_Toc427106476"/>
      <w:bookmarkStart w:id="54" w:name="_Toc427016287"/>
      <w:bookmarkStart w:id="55" w:name="_Toc527131321"/>
      <w:bookmarkStart w:id="56" w:name="_Toc463041898"/>
      <w:bookmarkStart w:id="57" w:name="_Toc527131324"/>
      <w:r>
        <w:rPr>
          <w:rFonts w:hint="eastAsia" w:hAnsi="宋体"/>
          <w:b/>
          <w:color w:val="000000"/>
          <w:sz w:val="30"/>
          <w:szCs w:val="30"/>
          <w:highlight w:val="none"/>
        </w:rPr>
        <w:t>四、采购合同</w:t>
      </w:r>
      <w:bookmarkEnd w:id="53"/>
      <w:bookmarkEnd w:id="54"/>
      <w:bookmarkEnd w:id="55"/>
      <w:bookmarkEnd w:id="56"/>
      <w:bookmarkStart w:id="58" w:name="_Toc527131323"/>
      <w:bookmarkStart w:id="59" w:name="_Toc527117258"/>
    </w:p>
    <w:p>
      <w:pPr>
        <w:spacing w:line="420" w:lineRule="exact"/>
        <w:jc w:val="center"/>
        <w:rPr>
          <w:rFonts w:eastAsia="黑体"/>
          <w:b/>
          <w:bCs/>
          <w:sz w:val="44"/>
          <w:highlight w:val="none"/>
        </w:rPr>
      </w:pPr>
    </w:p>
    <w:p>
      <w:pPr>
        <w:spacing w:line="420" w:lineRule="exact"/>
        <w:jc w:val="center"/>
        <w:rPr>
          <w:rFonts w:eastAsia="黑体"/>
          <w:b/>
          <w:bCs/>
          <w:sz w:val="44"/>
          <w:highlight w:val="none"/>
        </w:rPr>
      </w:pPr>
    </w:p>
    <w:p>
      <w:pPr>
        <w:spacing w:line="420" w:lineRule="exact"/>
        <w:jc w:val="center"/>
        <w:rPr>
          <w:rFonts w:eastAsia="黑体"/>
          <w:b/>
          <w:bCs/>
          <w:sz w:val="44"/>
          <w:highlight w:val="none"/>
        </w:rPr>
      </w:pPr>
    </w:p>
    <w:p>
      <w:pPr>
        <w:spacing w:line="420" w:lineRule="exact"/>
        <w:jc w:val="center"/>
        <w:rPr>
          <w:rFonts w:eastAsia="黑体"/>
          <w:b/>
          <w:bCs/>
          <w:sz w:val="44"/>
          <w:highlight w:val="none"/>
        </w:rPr>
      </w:pPr>
    </w:p>
    <w:p>
      <w:pPr>
        <w:spacing w:line="420" w:lineRule="exact"/>
        <w:jc w:val="center"/>
        <w:rPr>
          <w:rFonts w:eastAsia="黑体"/>
          <w:b/>
          <w:bCs/>
          <w:sz w:val="44"/>
          <w:highlight w:val="none"/>
        </w:rPr>
      </w:pPr>
    </w:p>
    <w:p>
      <w:pPr>
        <w:spacing w:line="420" w:lineRule="exact"/>
        <w:jc w:val="center"/>
        <w:rPr>
          <w:rFonts w:eastAsia="黑体"/>
          <w:b/>
          <w:bCs/>
          <w:sz w:val="44"/>
          <w:highlight w:val="none"/>
        </w:rPr>
      </w:pPr>
      <w:r>
        <w:rPr>
          <w:rFonts w:hint="eastAsia" w:eastAsia="黑体"/>
          <w:b/>
          <w:bCs/>
          <w:sz w:val="44"/>
          <w:highlight w:val="none"/>
        </w:rPr>
        <w:t>合同范本</w:t>
      </w:r>
    </w:p>
    <w:p>
      <w:pPr>
        <w:spacing w:line="420" w:lineRule="exact"/>
        <w:rPr>
          <w:sz w:val="30"/>
          <w:highlight w:val="none"/>
        </w:rPr>
      </w:pPr>
    </w:p>
    <w:p>
      <w:pPr>
        <w:spacing w:line="420" w:lineRule="exact"/>
        <w:jc w:val="center"/>
        <w:rPr>
          <w:sz w:val="30"/>
          <w:highlight w:val="none"/>
        </w:rPr>
      </w:pPr>
    </w:p>
    <w:p>
      <w:pPr>
        <w:spacing w:line="420" w:lineRule="exact"/>
        <w:jc w:val="center"/>
        <w:rPr>
          <w:rFonts w:eastAsia="黑体"/>
          <w:b/>
          <w:bCs/>
          <w:sz w:val="44"/>
          <w:highlight w:val="none"/>
        </w:rPr>
      </w:pPr>
      <w:r>
        <w:rPr>
          <w:rFonts w:hint="eastAsia" w:eastAsia="黑体"/>
          <w:b/>
          <w:bCs/>
          <w:sz w:val="44"/>
          <w:highlight w:val="none"/>
        </w:rPr>
        <w:t>建设工程施工专业分包合同</w:t>
      </w:r>
    </w:p>
    <w:p>
      <w:pPr>
        <w:spacing w:line="420" w:lineRule="exact"/>
        <w:jc w:val="center"/>
        <w:rPr>
          <w:rFonts w:eastAsia="黑体"/>
          <w:b/>
          <w:bCs/>
          <w:sz w:val="44"/>
          <w:highlight w:val="none"/>
        </w:rPr>
      </w:pPr>
    </w:p>
    <w:p>
      <w:pPr>
        <w:spacing w:line="420" w:lineRule="exact"/>
        <w:jc w:val="center"/>
        <w:rPr>
          <w:rFonts w:eastAsia="黑体"/>
          <w:b/>
          <w:bCs/>
          <w:sz w:val="44"/>
          <w:highlight w:val="none"/>
        </w:rPr>
      </w:pPr>
    </w:p>
    <w:p>
      <w:pPr>
        <w:spacing w:line="420" w:lineRule="exact"/>
        <w:jc w:val="center"/>
        <w:rPr>
          <w:rFonts w:eastAsia="黑体"/>
          <w:b/>
          <w:bCs/>
          <w:sz w:val="44"/>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pacing w:line="420" w:lineRule="exact"/>
        <w:jc w:val="center"/>
        <w:rPr>
          <w:rFonts w:eastAsia="黑体"/>
          <w:b/>
          <w:bCs/>
          <w:sz w:val="44"/>
          <w:highlight w:val="none"/>
        </w:rPr>
      </w:pPr>
      <w:r>
        <w:rPr>
          <w:rFonts w:hint="eastAsia" w:eastAsia="黑体" w:cs="黑体"/>
          <w:b/>
          <w:bCs/>
          <w:sz w:val="32"/>
          <w:szCs w:val="32"/>
          <w:highlight w:val="none"/>
        </w:rPr>
        <w:t>二零二</w:t>
      </w:r>
      <w:r>
        <w:rPr>
          <w:rFonts w:hint="eastAsia" w:eastAsia="黑体" w:cs="黑体"/>
          <w:b/>
          <w:bCs/>
          <w:sz w:val="32"/>
          <w:szCs w:val="32"/>
          <w:highlight w:val="none"/>
          <w:lang w:val="en-US" w:eastAsia="zh-CN"/>
        </w:rPr>
        <w:t>三</w:t>
      </w:r>
      <w:r>
        <w:rPr>
          <w:rFonts w:hint="eastAsia" w:eastAsia="黑体" w:cs="黑体"/>
          <w:b/>
          <w:bCs/>
          <w:sz w:val="32"/>
          <w:szCs w:val="32"/>
          <w:highlight w:val="none"/>
        </w:rPr>
        <w:t>年  月</w:t>
      </w: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snapToGrid w:val="0"/>
        <w:spacing w:line="400" w:lineRule="exact"/>
        <w:ind w:firstLine="480" w:firstLineChars="200"/>
        <w:rPr>
          <w:highlight w:val="none"/>
        </w:rPr>
      </w:pPr>
    </w:p>
    <w:p>
      <w:pPr>
        <w:jc w:val="center"/>
        <w:rPr>
          <w:b/>
          <w:bCs/>
          <w:sz w:val="44"/>
          <w:highlight w:val="none"/>
        </w:rPr>
      </w:pPr>
      <w:r>
        <w:rPr>
          <w:rFonts w:hint="eastAsia"/>
          <w:b/>
          <w:bCs/>
          <w:sz w:val="44"/>
          <w:highlight w:val="none"/>
        </w:rPr>
        <w:t>第一部分　　协议书</w:t>
      </w:r>
    </w:p>
    <w:p>
      <w:pPr>
        <w:spacing w:line="440" w:lineRule="exact"/>
        <w:jc w:val="center"/>
        <w:rPr>
          <w:b/>
          <w:bCs/>
          <w:sz w:val="44"/>
          <w:highlight w:val="none"/>
        </w:rPr>
      </w:pPr>
    </w:p>
    <w:p>
      <w:pPr>
        <w:spacing w:line="440" w:lineRule="exact"/>
        <w:ind w:firstLine="480" w:firstLineChars="200"/>
        <w:rPr>
          <w:highlight w:val="none"/>
        </w:rPr>
      </w:pPr>
      <w:r>
        <w:rPr>
          <w:rFonts w:hint="eastAsia"/>
          <w:highlight w:val="none"/>
        </w:rPr>
        <w:t>承包人（甲方）：</w:t>
      </w:r>
      <w:r>
        <w:rPr>
          <w:rFonts w:hint="eastAsia"/>
          <w:highlight w:val="none"/>
          <w:u w:val="single"/>
        </w:rPr>
        <w:t>合肥香怡市政园林建设有限公司</w:t>
      </w:r>
    </w:p>
    <w:p>
      <w:pPr>
        <w:spacing w:line="440" w:lineRule="exact"/>
        <w:ind w:firstLine="480" w:firstLineChars="200"/>
        <w:rPr>
          <w:highlight w:val="none"/>
        </w:rPr>
      </w:pPr>
      <w:r>
        <w:rPr>
          <w:rFonts w:hint="eastAsia"/>
          <w:highlight w:val="none"/>
        </w:rPr>
        <w:t>分包人（乙方）：</w:t>
      </w:r>
    </w:p>
    <w:p>
      <w:pPr>
        <w:spacing w:line="440" w:lineRule="exact"/>
        <w:rPr>
          <w:highlight w:val="none"/>
        </w:rPr>
      </w:pPr>
    </w:p>
    <w:p>
      <w:pPr>
        <w:spacing w:line="440" w:lineRule="exact"/>
        <w:ind w:firstLine="420"/>
        <w:rPr>
          <w:highlight w:val="none"/>
        </w:rPr>
      </w:pPr>
      <w:r>
        <w:rPr>
          <w:rFonts w:hint="eastAsia"/>
          <w:highlight w:val="none"/>
        </w:rPr>
        <w:t>依照《中华人民共和国民法典》、《中华人民共和国建筑法》及其它有关法律、行政法规，遵循平等、自愿、公平和诚实信用的原则，承包人和分包人双方就分包工程施工事项经协商达成一致，订立本合同。</w:t>
      </w:r>
    </w:p>
    <w:p>
      <w:pPr>
        <w:spacing w:line="440" w:lineRule="exact"/>
        <w:ind w:firstLine="480" w:firstLineChars="200"/>
        <w:rPr>
          <w:highlight w:val="none"/>
        </w:rPr>
      </w:pPr>
      <w:r>
        <w:rPr>
          <w:rFonts w:hint="eastAsia"/>
          <w:highlight w:val="none"/>
        </w:rPr>
        <w:t>一、分包工程概况</w:t>
      </w:r>
    </w:p>
    <w:p>
      <w:pPr>
        <w:spacing w:line="440" w:lineRule="exact"/>
        <w:rPr>
          <w:highlight w:val="none"/>
        </w:rPr>
      </w:pPr>
      <w:r>
        <w:rPr>
          <w:rFonts w:hint="eastAsia"/>
          <w:highlight w:val="none"/>
        </w:rPr>
        <w:t xml:space="preserve">    分包工程名称：</w:t>
      </w:r>
    </w:p>
    <w:p>
      <w:pPr>
        <w:spacing w:line="440" w:lineRule="exact"/>
        <w:ind w:firstLine="420"/>
        <w:rPr>
          <w:highlight w:val="none"/>
          <w:u w:val="single"/>
        </w:rPr>
      </w:pPr>
      <w:r>
        <w:rPr>
          <w:rFonts w:hint="eastAsia"/>
          <w:highlight w:val="none"/>
        </w:rPr>
        <w:t>分包工程地点：</w:t>
      </w:r>
      <w:r>
        <w:rPr>
          <w:rFonts w:hint="eastAsia"/>
          <w:highlight w:val="none"/>
          <w:u w:val="single"/>
        </w:rPr>
        <w:t xml:space="preserve">  合经区  </w:t>
      </w:r>
    </w:p>
    <w:p>
      <w:pPr>
        <w:spacing w:line="440" w:lineRule="exact"/>
        <w:ind w:firstLine="420"/>
        <w:rPr>
          <w:highlight w:val="none"/>
          <w:u w:val="single"/>
        </w:rPr>
      </w:pPr>
      <w:r>
        <w:rPr>
          <w:highlight w:val="none"/>
        </w:rPr>
        <w:t>专业分包项目：工程，详</w:t>
      </w:r>
      <w:r>
        <w:rPr>
          <w:rFonts w:hint="eastAsia"/>
          <w:highlight w:val="none"/>
        </w:rPr>
        <w:t>见</w:t>
      </w:r>
      <w:r>
        <w:rPr>
          <w:highlight w:val="none"/>
        </w:rPr>
        <w:t>合同附件</w:t>
      </w:r>
      <w:r>
        <w:rPr>
          <w:highlight w:val="none"/>
          <w:u w:val="single"/>
        </w:rPr>
        <w:t>《</w:t>
      </w:r>
      <w:r>
        <w:rPr>
          <w:i/>
          <w:iCs/>
          <w:highlight w:val="none"/>
          <w:u w:val="single"/>
        </w:rPr>
        <w:t>分包工程量清单</w:t>
      </w:r>
      <w:r>
        <w:rPr>
          <w:highlight w:val="none"/>
          <w:u w:val="single"/>
        </w:rPr>
        <w:t>》</w:t>
      </w:r>
    </w:p>
    <w:p>
      <w:pPr>
        <w:spacing w:line="440" w:lineRule="exact"/>
        <w:rPr>
          <w:highlight w:val="none"/>
          <w:u w:val="single"/>
        </w:rPr>
      </w:pPr>
      <w:r>
        <w:rPr>
          <w:rFonts w:hint="eastAsia"/>
          <w:highlight w:val="none"/>
        </w:rPr>
        <w:t xml:space="preserve">    分包工程承包范围：</w:t>
      </w:r>
    </w:p>
    <w:p>
      <w:pPr>
        <w:spacing w:line="440" w:lineRule="exact"/>
        <w:ind w:firstLine="480" w:firstLineChars="200"/>
        <w:rPr>
          <w:highlight w:val="none"/>
        </w:rPr>
      </w:pPr>
      <w:r>
        <w:rPr>
          <w:rFonts w:hint="eastAsia"/>
          <w:highlight w:val="none"/>
        </w:rPr>
        <w:t>二、分包合同价款</w:t>
      </w:r>
    </w:p>
    <w:p>
      <w:pPr>
        <w:spacing w:line="440" w:lineRule="exact"/>
        <w:ind w:firstLine="435"/>
        <w:rPr>
          <w:highlight w:val="none"/>
        </w:rPr>
      </w:pPr>
      <w:r>
        <w:rPr>
          <w:rFonts w:hint="eastAsia"/>
          <w:highlight w:val="none"/>
        </w:rPr>
        <w:t>2.1本合同为合同</w:t>
      </w:r>
    </w:p>
    <w:p>
      <w:pPr>
        <w:spacing w:line="440" w:lineRule="exact"/>
        <w:ind w:firstLine="435"/>
        <w:rPr>
          <w:highlight w:val="none"/>
        </w:rPr>
      </w:pPr>
      <w:r>
        <w:rPr>
          <w:rFonts w:hint="eastAsia"/>
          <w:highlight w:val="none"/>
        </w:rPr>
        <w:t>2.2合同总价（暂定）：（大写：人民币）含税价款，实际合同价根据审计部门审核确认的价款进行结算。增值税税率为</w:t>
      </w:r>
      <w:r>
        <w:rPr>
          <w:rFonts w:hint="eastAsia"/>
          <w:highlight w:val="none"/>
          <w:u w:val="single"/>
        </w:rPr>
        <w:t>9</w:t>
      </w:r>
      <w:r>
        <w:rPr>
          <w:rFonts w:hint="eastAsia"/>
          <w:highlight w:val="none"/>
        </w:rPr>
        <w:t xml:space="preserve"> %，合同中不含税单价不因国家税收政策变化而变化，若在合同履行期间，遇到国家税收政策调整，则未执行部分按照新税率重新计算含税价。</w:t>
      </w:r>
    </w:p>
    <w:p>
      <w:pPr>
        <w:spacing w:line="440" w:lineRule="exact"/>
        <w:ind w:firstLine="480" w:firstLineChars="200"/>
        <w:rPr>
          <w:highlight w:val="none"/>
        </w:rPr>
      </w:pPr>
      <w:r>
        <w:rPr>
          <w:rFonts w:hint="eastAsia"/>
          <w:highlight w:val="none"/>
        </w:rPr>
        <w:t>三、工期</w:t>
      </w:r>
    </w:p>
    <w:p>
      <w:pPr>
        <w:spacing w:line="440" w:lineRule="exact"/>
        <w:rPr>
          <w:highlight w:val="none"/>
        </w:rPr>
      </w:pPr>
      <w:r>
        <w:rPr>
          <w:rFonts w:hint="eastAsia"/>
          <w:highlight w:val="none"/>
        </w:rPr>
        <w:t xml:space="preserve">    开工日期：本分包工程定于</w:t>
      </w:r>
      <w:r>
        <w:rPr>
          <w:rFonts w:hint="eastAsia"/>
          <w:highlight w:val="none"/>
          <w:u w:val="single"/>
        </w:rPr>
        <w:t>2023</w:t>
      </w:r>
      <w:r>
        <w:rPr>
          <w:rFonts w:hint="eastAsia"/>
          <w:highlight w:val="none"/>
        </w:rPr>
        <w:t>年</w:t>
      </w:r>
      <w:r>
        <w:rPr>
          <w:rFonts w:hint="eastAsia"/>
          <w:highlight w:val="none"/>
          <w:u w:val="single"/>
        </w:rPr>
        <w:t xml:space="preserve">  </w:t>
      </w:r>
      <w:r>
        <w:rPr>
          <w:rFonts w:hint="eastAsia"/>
          <w:highlight w:val="none"/>
        </w:rPr>
        <w:t>月日开工；</w:t>
      </w:r>
    </w:p>
    <w:p>
      <w:pPr>
        <w:spacing w:line="440" w:lineRule="exact"/>
        <w:rPr>
          <w:highlight w:val="none"/>
        </w:rPr>
      </w:pPr>
      <w:r>
        <w:rPr>
          <w:rFonts w:hint="eastAsia"/>
          <w:highlight w:val="none"/>
        </w:rPr>
        <w:t xml:space="preserve">    竣工日期：本分包工程定于</w:t>
      </w:r>
      <w:r>
        <w:rPr>
          <w:rFonts w:hint="eastAsia"/>
          <w:highlight w:val="none"/>
          <w:u w:val="single"/>
        </w:rPr>
        <w:t xml:space="preserve">2023 </w:t>
      </w:r>
      <w:r>
        <w:rPr>
          <w:rFonts w:hint="eastAsia"/>
          <w:highlight w:val="none"/>
        </w:rPr>
        <w:t>年</w:t>
      </w:r>
      <w:r>
        <w:rPr>
          <w:rFonts w:hint="eastAsia"/>
          <w:highlight w:val="none"/>
          <w:u w:val="single"/>
          <w:lang w:val="en-US" w:eastAsia="zh-CN"/>
        </w:rPr>
        <w:t xml:space="preserve">  </w:t>
      </w:r>
      <w:r>
        <w:rPr>
          <w:rFonts w:hint="eastAsia"/>
          <w:highlight w:val="none"/>
        </w:rPr>
        <w:t>月日竣工；</w:t>
      </w:r>
    </w:p>
    <w:p>
      <w:pPr>
        <w:spacing w:line="440" w:lineRule="exact"/>
        <w:rPr>
          <w:highlight w:val="none"/>
        </w:rPr>
      </w:pPr>
      <w:r>
        <w:rPr>
          <w:rFonts w:hint="eastAsia"/>
          <w:highlight w:val="none"/>
        </w:rPr>
        <w:t xml:space="preserve">    合同工期总日历天数为： 天。</w:t>
      </w:r>
    </w:p>
    <w:p>
      <w:pPr>
        <w:spacing w:line="440" w:lineRule="exact"/>
        <w:ind w:firstLine="480" w:firstLineChars="200"/>
        <w:rPr>
          <w:highlight w:val="none"/>
        </w:rPr>
      </w:pPr>
      <w:r>
        <w:rPr>
          <w:rFonts w:hint="eastAsia"/>
          <w:highlight w:val="none"/>
        </w:rPr>
        <w:t>四、工程质量标准</w:t>
      </w:r>
    </w:p>
    <w:p>
      <w:pPr>
        <w:spacing w:line="440" w:lineRule="exact"/>
        <w:rPr>
          <w:highlight w:val="none"/>
        </w:rPr>
      </w:pPr>
      <w:r>
        <w:rPr>
          <w:rFonts w:hint="eastAsia"/>
          <w:highlight w:val="none"/>
        </w:rPr>
        <w:t xml:space="preserve">    本分包工程质量标准双方约定为：</w:t>
      </w:r>
      <w:r>
        <w:rPr>
          <w:rFonts w:hint="eastAsia"/>
          <w:i/>
          <w:iCs/>
          <w:highlight w:val="none"/>
          <w:u w:val="single"/>
        </w:rPr>
        <w:t>合格</w:t>
      </w:r>
    </w:p>
    <w:p>
      <w:pPr>
        <w:spacing w:line="440" w:lineRule="exact"/>
        <w:ind w:firstLine="480" w:firstLineChars="200"/>
        <w:rPr>
          <w:highlight w:val="none"/>
        </w:rPr>
      </w:pPr>
      <w:r>
        <w:rPr>
          <w:rFonts w:hint="eastAsia"/>
          <w:highlight w:val="none"/>
        </w:rPr>
        <w:t>五、组成分包合同的文件包括：</w:t>
      </w:r>
    </w:p>
    <w:p>
      <w:pPr>
        <w:spacing w:line="440" w:lineRule="exact"/>
        <w:ind w:firstLine="480" w:firstLineChars="200"/>
        <w:rPr>
          <w:highlight w:val="none"/>
        </w:rPr>
      </w:pPr>
      <w:r>
        <w:rPr>
          <w:rFonts w:hint="eastAsia"/>
          <w:highlight w:val="none"/>
        </w:rPr>
        <w:t>1、本合同协议书；</w:t>
      </w:r>
    </w:p>
    <w:p>
      <w:pPr>
        <w:spacing w:line="440" w:lineRule="exact"/>
        <w:ind w:firstLine="480" w:firstLineChars="200"/>
        <w:rPr>
          <w:highlight w:val="none"/>
        </w:rPr>
      </w:pPr>
      <w:r>
        <w:rPr>
          <w:rFonts w:hint="eastAsia"/>
          <w:highlight w:val="none"/>
        </w:rPr>
        <w:t>2、中标通知书（如有时）；</w:t>
      </w:r>
    </w:p>
    <w:p>
      <w:pPr>
        <w:spacing w:line="440" w:lineRule="exact"/>
        <w:ind w:firstLine="480" w:firstLineChars="200"/>
        <w:rPr>
          <w:highlight w:val="none"/>
        </w:rPr>
      </w:pPr>
      <w:r>
        <w:rPr>
          <w:rFonts w:hint="eastAsia"/>
          <w:highlight w:val="none"/>
        </w:rPr>
        <w:t>3、分包人的报价书；</w:t>
      </w:r>
    </w:p>
    <w:p>
      <w:pPr>
        <w:spacing w:line="440" w:lineRule="exact"/>
        <w:ind w:firstLine="480" w:firstLineChars="200"/>
        <w:rPr>
          <w:highlight w:val="none"/>
        </w:rPr>
      </w:pPr>
      <w:r>
        <w:rPr>
          <w:highlight w:val="none"/>
        </w:rPr>
        <w:t>4</w:t>
      </w:r>
      <w:r>
        <w:rPr>
          <w:rFonts w:hint="eastAsia"/>
          <w:highlight w:val="none"/>
        </w:rPr>
        <w:t>、本合同专用条款；</w:t>
      </w:r>
    </w:p>
    <w:p>
      <w:pPr>
        <w:spacing w:line="440" w:lineRule="exact"/>
        <w:ind w:firstLine="480" w:firstLineChars="200"/>
        <w:rPr>
          <w:highlight w:val="none"/>
        </w:rPr>
      </w:pPr>
      <w:r>
        <w:rPr>
          <w:highlight w:val="none"/>
        </w:rPr>
        <w:t>5</w:t>
      </w:r>
      <w:r>
        <w:rPr>
          <w:rFonts w:hint="eastAsia"/>
          <w:highlight w:val="none"/>
        </w:rPr>
        <w:t>、本合同通用条款；</w:t>
      </w:r>
    </w:p>
    <w:p>
      <w:pPr>
        <w:spacing w:line="440" w:lineRule="exact"/>
        <w:ind w:firstLine="480" w:firstLineChars="200"/>
        <w:rPr>
          <w:highlight w:val="none"/>
        </w:rPr>
      </w:pPr>
      <w:r>
        <w:rPr>
          <w:highlight w:val="none"/>
        </w:rPr>
        <w:t>6</w:t>
      </w:r>
      <w:r>
        <w:rPr>
          <w:rFonts w:hint="eastAsia"/>
          <w:highlight w:val="none"/>
        </w:rPr>
        <w:t>、本合同工程建设标准、图纸及有关技术文件；</w:t>
      </w:r>
    </w:p>
    <w:p>
      <w:pPr>
        <w:spacing w:line="440" w:lineRule="exact"/>
        <w:ind w:firstLine="480" w:firstLineChars="200"/>
        <w:rPr>
          <w:highlight w:val="none"/>
        </w:rPr>
      </w:pPr>
      <w:r>
        <w:rPr>
          <w:highlight w:val="none"/>
        </w:rPr>
        <w:t>7</w:t>
      </w:r>
      <w:r>
        <w:rPr>
          <w:rFonts w:hint="eastAsia"/>
          <w:highlight w:val="none"/>
        </w:rPr>
        <w:t>、合同履行过程中，承包人和分包人协商一致的其它书面文件。</w:t>
      </w:r>
    </w:p>
    <w:p>
      <w:pPr>
        <w:spacing w:line="440" w:lineRule="exact"/>
        <w:ind w:firstLine="480" w:firstLineChars="200"/>
        <w:rPr>
          <w:highlight w:val="none"/>
        </w:rPr>
      </w:pPr>
      <w:r>
        <w:rPr>
          <w:rFonts w:hint="eastAsia"/>
          <w:highlight w:val="none"/>
        </w:rPr>
        <w:t>六、本协议书中有关词语的含义与本合同第二部分《通用条款》中分别赋予它们的定义相同。</w:t>
      </w:r>
    </w:p>
    <w:p>
      <w:pPr>
        <w:spacing w:line="440" w:lineRule="exact"/>
        <w:ind w:firstLine="480" w:firstLineChars="200"/>
        <w:rPr>
          <w:highlight w:val="none"/>
        </w:rPr>
      </w:pPr>
      <w:r>
        <w:rPr>
          <w:rFonts w:hint="eastAsia"/>
          <w:highlight w:val="none"/>
        </w:rPr>
        <w:t>七、分包人向承包人承诺，按照合同约定的工期和质量标准，完成本协议书第一条约定的工程（以下简称为“分包工程”），并在质量保修期内承担保修责任。</w:t>
      </w:r>
    </w:p>
    <w:p>
      <w:pPr>
        <w:spacing w:line="440" w:lineRule="exact"/>
        <w:ind w:firstLine="480" w:firstLineChars="200"/>
        <w:rPr>
          <w:highlight w:val="none"/>
        </w:rPr>
      </w:pPr>
      <w:r>
        <w:rPr>
          <w:rFonts w:hint="eastAsia"/>
          <w:highlight w:val="none"/>
        </w:rPr>
        <w:t>八、分包人向承包人承诺，履行承包人承包合同中与分包工程有关的承包人的所有义务，并与承包人承担履行分包工程合同以及确保分包工程质量的连带责任。</w:t>
      </w:r>
    </w:p>
    <w:p>
      <w:pPr>
        <w:spacing w:line="440" w:lineRule="exact"/>
        <w:ind w:firstLine="480" w:firstLineChars="200"/>
        <w:rPr>
          <w:highlight w:val="none"/>
        </w:rPr>
      </w:pPr>
      <w:r>
        <w:rPr>
          <w:rFonts w:hint="eastAsia"/>
          <w:highlight w:val="none"/>
        </w:rPr>
        <w:t>十、合同的生效</w:t>
      </w:r>
    </w:p>
    <w:p>
      <w:pPr>
        <w:spacing w:line="440" w:lineRule="exact"/>
        <w:rPr>
          <w:highlight w:val="none"/>
        </w:rPr>
      </w:pPr>
      <w:r>
        <w:rPr>
          <w:rFonts w:hint="eastAsia"/>
          <w:highlight w:val="none"/>
        </w:rPr>
        <w:t>合同订立时间：年月日；</w:t>
      </w:r>
    </w:p>
    <w:p>
      <w:pPr>
        <w:spacing w:line="440" w:lineRule="exact"/>
        <w:rPr>
          <w:highlight w:val="none"/>
        </w:rPr>
      </w:pPr>
      <w:r>
        <w:rPr>
          <w:rFonts w:hint="eastAsia"/>
          <w:highlight w:val="none"/>
        </w:rPr>
        <w:t>合同订立地点：</w:t>
      </w:r>
      <w:r>
        <w:rPr>
          <w:rFonts w:hint="eastAsia"/>
          <w:highlight w:val="none"/>
          <w:u w:val="single"/>
        </w:rPr>
        <w:t>合经区</w:t>
      </w:r>
    </w:p>
    <w:p>
      <w:pPr>
        <w:spacing w:line="440" w:lineRule="exact"/>
        <w:rPr>
          <w:highlight w:val="none"/>
        </w:rPr>
      </w:pPr>
      <w:r>
        <w:rPr>
          <w:rFonts w:hint="eastAsia"/>
          <w:highlight w:val="none"/>
        </w:rPr>
        <w:t>本合同双方约定</w:t>
      </w:r>
      <w:r>
        <w:rPr>
          <w:rFonts w:hint="eastAsia"/>
          <w:highlight w:val="none"/>
          <w:u w:val="single"/>
        </w:rPr>
        <w:t>双方签字后</w:t>
      </w:r>
      <w:r>
        <w:rPr>
          <w:rFonts w:hint="eastAsia"/>
          <w:highlight w:val="none"/>
        </w:rPr>
        <w:t>后生效。</w:t>
      </w:r>
    </w:p>
    <w:p>
      <w:pPr>
        <w:spacing w:line="440" w:lineRule="exact"/>
        <w:rPr>
          <w:highlight w:val="none"/>
        </w:rPr>
      </w:pPr>
    </w:p>
    <w:p>
      <w:pPr>
        <w:spacing w:line="440" w:lineRule="exact"/>
        <w:rPr>
          <w:highlight w:val="none"/>
        </w:rPr>
      </w:pPr>
    </w:p>
    <w:p>
      <w:pPr>
        <w:spacing w:line="440" w:lineRule="exact"/>
        <w:rPr>
          <w:highlight w:val="none"/>
        </w:rPr>
      </w:pPr>
      <w:r>
        <w:rPr>
          <w:rFonts w:hint="eastAsia"/>
          <w:highlight w:val="none"/>
        </w:rPr>
        <w:t xml:space="preserve"> 承包人：（公章）        分包人：（公章）</w:t>
      </w:r>
    </w:p>
    <w:p>
      <w:pPr>
        <w:spacing w:line="440" w:lineRule="exact"/>
        <w:rPr>
          <w:highlight w:val="none"/>
        </w:rPr>
      </w:pPr>
      <w:r>
        <w:rPr>
          <w:rFonts w:hint="eastAsia"/>
          <w:highlight w:val="none"/>
        </w:rPr>
        <w:t>住所：        住所：</w:t>
      </w:r>
    </w:p>
    <w:p>
      <w:pPr>
        <w:spacing w:line="440" w:lineRule="exact"/>
        <w:rPr>
          <w:highlight w:val="none"/>
        </w:rPr>
      </w:pPr>
      <w:r>
        <w:rPr>
          <w:rFonts w:hint="eastAsia"/>
          <w:highlight w:val="none"/>
        </w:rPr>
        <w:t>法定代表人：</w:t>
      </w:r>
      <w:r>
        <w:rPr>
          <w:rFonts w:hint="eastAsia"/>
          <w:highlight w:val="none"/>
        </w:rPr>
        <w:tab/>
      </w:r>
      <w:r>
        <w:rPr>
          <w:rFonts w:hint="eastAsia"/>
          <w:highlight w:val="none"/>
        </w:rPr>
        <w:tab/>
      </w:r>
      <w:r>
        <w:rPr>
          <w:rFonts w:hint="eastAsia"/>
          <w:highlight w:val="none"/>
        </w:rPr>
        <w:tab/>
      </w:r>
      <w:r>
        <w:rPr>
          <w:rFonts w:hint="eastAsia"/>
          <w:highlight w:val="none"/>
        </w:rPr>
        <w:t>法定代表人：</w:t>
      </w:r>
    </w:p>
    <w:p>
      <w:pPr>
        <w:spacing w:line="440" w:lineRule="exact"/>
        <w:rPr>
          <w:highlight w:val="none"/>
        </w:rPr>
      </w:pPr>
      <w:r>
        <w:rPr>
          <w:rFonts w:hint="eastAsia"/>
          <w:highlight w:val="none"/>
        </w:rPr>
        <w:t>委托代理人：</w:t>
      </w:r>
      <w:r>
        <w:rPr>
          <w:rFonts w:hint="eastAsia"/>
          <w:highlight w:val="none"/>
        </w:rPr>
        <w:tab/>
      </w:r>
      <w:r>
        <w:rPr>
          <w:rFonts w:hint="eastAsia"/>
          <w:highlight w:val="none"/>
        </w:rPr>
        <w:tab/>
      </w:r>
      <w:r>
        <w:rPr>
          <w:rFonts w:hint="eastAsia"/>
          <w:highlight w:val="none"/>
        </w:rPr>
        <w:t>委托代理人：</w:t>
      </w:r>
    </w:p>
    <w:p>
      <w:pPr>
        <w:spacing w:line="440" w:lineRule="exact"/>
        <w:rPr>
          <w:highlight w:val="none"/>
        </w:rPr>
      </w:pPr>
      <w:r>
        <w:rPr>
          <w:rFonts w:hint="eastAsia"/>
          <w:highlight w:val="none"/>
        </w:rPr>
        <w:t>电话：</w:t>
      </w:r>
      <w:r>
        <w:rPr>
          <w:rFonts w:hint="eastAsia"/>
          <w:highlight w:val="none"/>
        </w:rPr>
        <w:tab/>
      </w:r>
      <w:r>
        <w:rPr>
          <w:rFonts w:hint="eastAsia"/>
          <w:highlight w:val="none"/>
        </w:rPr>
        <w:tab/>
      </w:r>
      <w:r>
        <w:rPr>
          <w:rFonts w:hint="eastAsia"/>
          <w:highlight w:val="none"/>
        </w:rPr>
        <w:tab/>
      </w:r>
      <w:r>
        <w:rPr>
          <w:rFonts w:hint="eastAsia"/>
          <w:highlight w:val="none"/>
        </w:rPr>
        <w:t>电话：</w:t>
      </w:r>
    </w:p>
    <w:p>
      <w:pPr>
        <w:spacing w:line="440" w:lineRule="exact"/>
        <w:rPr>
          <w:highlight w:val="none"/>
        </w:rPr>
      </w:pPr>
      <w:r>
        <w:rPr>
          <w:rFonts w:hint="eastAsia"/>
          <w:highlight w:val="none"/>
        </w:rPr>
        <w:t>传真：</w:t>
      </w:r>
      <w:r>
        <w:rPr>
          <w:rFonts w:hint="eastAsia"/>
          <w:highlight w:val="none"/>
        </w:rPr>
        <w:tab/>
      </w:r>
      <w:r>
        <w:rPr>
          <w:rFonts w:hint="eastAsia"/>
          <w:highlight w:val="none"/>
        </w:rPr>
        <w:tab/>
      </w:r>
      <w:r>
        <w:rPr>
          <w:rFonts w:hint="eastAsia"/>
          <w:highlight w:val="none"/>
        </w:rPr>
        <w:tab/>
      </w:r>
      <w:r>
        <w:rPr>
          <w:rFonts w:hint="eastAsia"/>
          <w:highlight w:val="none"/>
        </w:rPr>
        <w:t>传真：</w:t>
      </w:r>
    </w:p>
    <w:p>
      <w:pPr>
        <w:spacing w:line="440" w:lineRule="exact"/>
        <w:rPr>
          <w:highlight w:val="none"/>
        </w:rPr>
      </w:pPr>
      <w:r>
        <w:rPr>
          <w:rFonts w:hint="eastAsia"/>
          <w:highlight w:val="none"/>
        </w:rPr>
        <w:t>开户银行：</w:t>
      </w:r>
      <w:r>
        <w:rPr>
          <w:rFonts w:hint="eastAsia"/>
          <w:highlight w:val="none"/>
        </w:rPr>
        <w:tab/>
      </w:r>
      <w:r>
        <w:rPr>
          <w:rFonts w:hint="eastAsia"/>
          <w:highlight w:val="none"/>
        </w:rPr>
        <w:tab/>
      </w:r>
      <w:r>
        <w:rPr>
          <w:rFonts w:hint="eastAsia"/>
          <w:highlight w:val="none"/>
        </w:rPr>
        <w:t>开户银行：</w:t>
      </w:r>
    </w:p>
    <w:p>
      <w:pPr>
        <w:spacing w:line="440" w:lineRule="exact"/>
        <w:rPr>
          <w:highlight w:val="none"/>
        </w:rPr>
      </w:pPr>
      <w:r>
        <w:rPr>
          <w:rFonts w:hint="eastAsia"/>
          <w:highlight w:val="none"/>
        </w:rPr>
        <w:t>帐号：</w:t>
      </w:r>
      <w:r>
        <w:rPr>
          <w:rFonts w:hint="eastAsia"/>
          <w:highlight w:val="none"/>
        </w:rPr>
        <w:tab/>
      </w:r>
      <w:r>
        <w:rPr>
          <w:rFonts w:hint="eastAsia"/>
          <w:highlight w:val="none"/>
        </w:rPr>
        <w:tab/>
      </w:r>
      <w:r>
        <w:rPr>
          <w:rFonts w:hint="eastAsia"/>
          <w:highlight w:val="none"/>
        </w:rPr>
        <w:tab/>
      </w:r>
      <w:r>
        <w:rPr>
          <w:rFonts w:hint="eastAsia"/>
          <w:highlight w:val="none"/>
        </w:rPr>
        <w:t>帐号：</w:t>
      </w:r>
    </w:p>
    <w:p>
      <w:pPr>
        <w:spacing w:line="440" w:lineRule="exact"/>
        <w:rPr>
          <w:highlight w:val="none"/>
        </w:rPr>
      </w:pPr>
      <w:r>
        <w:rPr>
          <w:rFonts w:hint="eastAsia"/>
          <w:highlight w:val="none"/>
        </w:rPr>
        <w:t>邮政编码：</w:t>
      </w:r>
      <w:r>
        <w:rPr>
          <w:rFonts w:hint="eastAsia"/>
          <w:highlight w:val="none"/>
        </w:rPr>
        <w:tab/>
      </w:r>
      <w:r>
        <w:rPr>
          <w:rFonts w:hint="eastAsia"/>
          <w:highlight w:val="none"/>
        </w:rPr>
        <w:tab/>
      </w:r>
      <w:r>
        <w:rPr>
          <w:rFonts w:hint="eastAsia"/>
          <w:highlight w:val="none"/>
        </w:rPr>
        <w:t>邮政编码：</w:t>
      </w:r>
    </w:p>
    <w:p>
      <w:pPr>
        <w:spacing w:line="440" w:lineRule="exact"/>
        <w:rPr>
          <w:highlight w:val="none"/>
        </w:rPr>
      </w:pPr>
      <w:r>
        <w:rPr>
          <w:highlight w:val="none"/>
        </w:rPr>
        <w:br w:type="page"/>
      </w:r>
    </w:p>
    <w:p>
      <w:pPr>
        <w:pStyle w:val="2"/>
        <w:numPr>
          <w:ilvl w:val="0"/>
          <w:numId w:val="1"/>
        </w:numPr>
        <w:spacing w:line="440" w:lineRule="exact"/>
        <w:jc w:val="center"/>
        <w:rPr>
          <w:highlight w:val="none"/>
        </w:rPr>
      </w:pPr>
      <w:r>
        <w:rPr>
          <w:rFonts w:hint="eastAsia"/>
          <w:highlight w:val="none"/>
        </w:rPr>
        <w:t xml:space="preserve"> 通用条款</w:t>
      </w:r>
    </w:p>
    <w:p>
      <w:pPr>
        <w:spacing w:line="440" w:lineRule="exact"/>
        <w:ind w:firstLine="480" w:firstLineChars="200"/>
        <w:rPr>
          <w:highlight w:val="none"/>
        </w:rPr>
      </w:pPr>
      <w:r>
        <w:rPr>
          <w:rFonts w:hint="eastAsia"/>
          <w:highlight w:val="none"/>
        </w:rPr>
        <w:t>详见《建设工程施工专业分包合同》（示范文本）GF—2003—0213中通用条款。</w:t>
      </w:r>
    </w:p>
    <w:p>
      <w:pPr>
        <w:spacing w:line="440" w:lineRule="exact"/>
        <w:rPr>
          <w:highlight w:val="none"/>
        </w:rPr>
      </w:pPr>
    </w:p>
    <w:p>
      <w:pPr>
        <w:pStyle w:val="2"/>
        <w:spacing w:before="0" w:after="0" w:line="440" w:lineRule="exact"/>
        <w:jc w:val="center"/>
        <w:rPr>
          <w:highlight w:val="none"/>
        </w:rPr>
      </w:pPr>
      <w:r>
        <w:rPr>
          <w:rFonts w:hint="eastAsia"/>
          <w:highlight w:val="none"/>
        </w:rPr>
        <w:t>第三部分</w:t>
      </w:r>
      <w:r>
        <w:rPr>
          <w:rFonts w:hint="eastAsia"/>
          <w:highlight w:val="none"/>
        </w:rPr>
        <w:tab/>
      </w:r>
      <w:r>
        <w:rPr>
          <w:rFonts w:hint="eastAsia"/>
          <w:highlight w:val="none"/>
        </w:rPr>
        <w:tab/>
      </w:r>
      <w:r>
        <w:rPr>
          <w:rFonts w:hint="eastAsia"/>
          <w:highlight w:val="none"/>
        </w:rPr>
        <w:t>专用条款</w:t>
      </w:r>
    </w:p>
    <w:p>
      <w:pPr>
        <w:pStyle w:val="3"/>
        <w:numPr>
          <w:ilvl w:val="0"/>
          <w:numId w:val="2"/>
        </w:numPr>
        <w:spacing w:before="0" w:after="0" w:line="440" w:lineRule="exact"/>
        <w:jc w:val="both"/>
        <w:rPr>
          <w:sz w:val="30"/>
          <w:szCs w:val="30"/>
          <w:highlight w:val="none"/>
        </w:rPr>
      </w:pPr>
      <w:r>
        <w:rPr>
          <w:rFonts w:hint="eastAsia"/>
          <w:sz w:val="30"/>
          <w:szCs w:val="30"/>
          <w:highlight w:val="none"/>
        </w:rPr>
        <w:t>词语定义及合同文件</w:t>
      </w:r>
    </w:p>
    <w:p>
      <w:pPr>
        <w:pStyle w:val="4"/>
        <w:spacing w:before="0" w:after="0" w:line="440" w:lineRule="exact"/>
        <w:ind w:firstLine="301" w:firstLineChars="100"/>
        <w:jc w:val="both"/>
        <w:rPr>
          <w:sz w:val="30"/>
          <w:szCs w:val="30"/>
          <w:highlight w:val="none"/>
        </w:rPr>
      </w:pPr>
      <w:r>
        <w:rPr>
          <w:rFonts w:hint="eastAsia"/>
          <w:sz w:val="30"/>
          <w:szCs w:val="30"/>
          <w:highlight w:val="none"/>
        </w:rPr>
        <w:t>1、合同文件及解释顺序</w:t>
      </w:r>
    </w:p>
    <w:p>
      <w:pPr>
        <w:spacing w:line="440" w:lineRule="exact"/>
        <w:ind w:firstLine="480" w:firstLineChars="200"/>
        <w:rPr>
          <w:highlight w:val="none"/>
        </w:rPr>
      </w:pPr>
      <w:r>
        <w:rPr>
          <w:rFonts w:hint="eastAsia"/>
          <w:highlight w:val="none"/>
        </w:rPr>
        <w:t>合同文件应能互相解释，互为说明。组成本合同的文件及优先解释顺序如下：</w:t>
      </w:r>
    </w:p>
    <w:p>
      <w:pPr>
        <w:spacing w:line="440" w:lineRule="exact"/>
        <w:ind w:left="245" w:leftChars="102" w:firstLine="240" w:firstLineChars="100"/>
        <w:rPr>
          <w:highlight w:val="none"/>
        </w:rPr>
      </w:pPr>
      <w:r>
        <w:rPr>
          <w:rFonts w:hint="eastAsia"/>
          <w:highlight w:val="none"/>
        </w:rPr>
        <w:t>（1）、本合同协议书；</w:t>
      </w:r>
    </w:p>
    <w:p>
      <w:pPr>
        <w:spacing w:line="440" w:lineRule="exact"/>
        <w:ind w:left="245" w:leftChars="102" w:firstLine="240" w:firstLineChars="100"/>
        <w:rPr>
          <w:highlight w:val="none"/>
        </w:rPr>
      </w:pPr>
      <w:r>
        <w:rPr>
          <w:rFonts w:hint="eastAsia"/>
          <w:highlight w:val="none"/>
        </w:rPr>
        <w:t>（2）、招标文件及中标通知书（如有时）；</w:t>
      </w:r>
    </w:p>
    <w:p>
      <w:pPr>
        <w:spacing w:line="440" w:lineRule="exact"/>
        <w:ind w:left="245" w:leftChars="102" w:firstLine="240" w:firstLineChars="100"/>
        <w:rPr>
          <w:highlight w:val="none"/>
        </w:rPr>
      </w:pPr>
      <w:r>
        <w:rPr>
          <w:rFonts w:hint="eastAsia"/>
          <w:highlight w:val="none"/>
        </w:rPr>
        <w:t>（3）、分包人的投标函及报价书；</w:t>
      </w:r>
    </w:p>
    <w:p>
      <w:pPr>
        <w:spacing w:line="440" w:lineRule="exact"/>
        <w:ind w:left="245" w:leftChars="102" w:firstLine="240" w:firstLineChars="100"/>
        <w:rPr>
          <w:highlight w:val="none"/>
        </w:rPr>
      </w:pPr>
      <w:r>
        <w:rPr>
          <w:rFonts w:hint="eastAsia"/>
          <w:highlight w:val="none"/>
        </w:rPr>
        <w:t>（</w:t>
      </w:r>
      <w:r>
        <w:rPr>
          <w:highlight w:val="none"/>
        </w:rPr>
        <w:t>4</w:t>
      </w:r>
      <w:r>
        <w:rPr>
          <w:rFonts w:hint="eastAsia"/>
          <w:highlight w:val="none"/>
        </w:rPr>
        <w:t>）、本合同专用条款；</w:t>
      </w:r>
    </w:p>
    <w:p>
      <w:pPr>
        <w:spacing w:line="440" w:lineRule="exact"/>
        <w:ind w:left="245" w:leftChars="102" w:firstLine="240" w:firstLineChars="100"/>
        <w:rPr>
          <w:highlight w:val="none"/>
        </w:rPr>
      </w:pPr>
      <w:r>
        <w:rPr>
          <w:rFonts w:hint="eastAsia"/>
          <w:highlight w:val="none"/>
        </w:rPr>
        <w:t>（</w:t>
      </w:r>
      <w:r>
        <w:rPr>
          <w:highlight w:val="none"/>
        </w:rPr>
        <w:t>5</w:t>
      </w:r>
      <w:r>
        <w:rPr>
          <w:rFonts w:hint="eastAsia"/>
          <w:highlight w:val="none"/>
        </w:rPr>
        <w:t>）、本合同通用条款；</w:t>
      </w:r>
    </w:p>
    <w:p>
      <w:pPr>
        <w:spacing w:line="440" w:lineRule="exact"/>
        <w:ind w:left="245" w:leftChars="102" w:firstLine="240" w:firstLineChars="100"/>
        <w:rPr>
          <w:i/>
          <w:iCs/>
          <w:highlight w:val="none"/>
        </w:rPr>
      </w:pPr>
      <w:r>
        <w:rPr>
          <w:rFonts w:hint="eastAsia"/>
          <w:highlight w:val="none"/>
        </w:rPr>
        <w:t>（</w:t>
      </w:r>
      <w:r>
        <w:rPr>
          <w:highlight w:val="none"/>
        </w:rPr>
        <w:t>6</w:t>
      </w:r>
      <w:r>
        <w:rPr>
          <w:rFonts w:hint="eastAsia"/>
          <w:highlight w:val="none"/>
        </w:rPr>
        <w:t>）、本合同工程建设标准、图纸</w:t>
      </w:r>
      <w:r>
        <w:rPr>
          <w:rFonts w:hint="eastAsia"/>
          <w:i/>
          <w:iCs/>
          <w:highlight w:val="none"/>
        </w:rPr>
        <w:t>；</w:t>
      </w:r>
    </w:p>
    <w:p>
      <w:pPr>
        <w:spacing w:line="440" w:lineRule="exact"/>
        <w:ind w:left="245" w:leftChars="102" w:firstLine="240" w:firstLineChars="100"/>
        <w:rPr>
          <w:highlight w:val="none"/>
        </w:rPr>
      </w:pPr>
      <w:r>
        <w:rPr>
          <w:rFonts w:hint="eastAsia"/>
          <w:highlight w:val="none"/>
        </w:rPr>
        <w:t>（</w:t>
      </w:r>
      <w:r>
        <w:rPr>
          <w:highlight w:val="none"/>
        </w:rPr>
        <w:t>7</w:t>
      </w:r>
      <w:r>
        <w:rPr>
          <w:rFonts w:hint="eastAsia"/>
          <w:highlight w:val="none"/>
        </w:rPr>
        <w:t>）、</w:t>
      </w:r>
      <w:r>
        <w:rPr>
          <w:rFonts w:hint="eastAsia"/>
          <w:bCs/>
          <w:highlight w:val="none"/>
        </w:rPr>
        <w:t>合同履行过程中，承包人和分包人协商一致的其他书面文件</w:t>
      </w:r>
      <w:r>
        <w:rPr>
          <w:rFonts w:hint="eastAsia"/>
          <w:highlight w:val="none"/>
        </w:rPr>
        <w:t>；</w:t>
      </w:r>
    </w:p>
    <w:p>
      <w:pPr>
        <w:pStyle w:val="4"/>
        <w:spacing w:before="0" w:after="0" w:line="440" w:lineRule="exact"/>
        <w:ind w:firstLine="301" w:firstLineChars="100"/>
        <w:jc w:val="both"/>
        <w:rPr>
          <w:highlight w:val="none"/>
        </w:rPr>
      </w:pPr>
      <w:r>
        <w:rPr>
          <w:rFonts w:hint="eastAsia"/>
          <w:sz w:val="30"/>
          <w:szCs w:val="30"/>
          <w:highlight w:val="none"/>
        </w:rPr>
        <w:t>2、语言文字和适用法律、行政法规及工程建设标准</w:t>
      </w:r>
    </w:p>
    <w:p>
      <w:pPr>
        <w:spacing w:line="440" w:lineRule="exact"/>
        <w:rPr>
          <w:highlight w:val="none"/>
        </w:rPr>
      </w:pPr>
      <w:r>
        <w:rPr>
          <w:rFonts w:hint="eastAsia"/>
          <w:highlight w:val="none"/>
        </w:rPr>
        <w:t>2</w:t>
      </w:r>
      <w:r>
        <w:rPr>
          <w:highlight w:val="none"/>
        </w:rPr>
        <w:t>.1</w:t>
      </w:r>
      <w:r>
        <w:rPr>
          <w:rFonts w:hint="eastAsia"/>
          <w:highlight w:val="none"/>
        </w:rPr>
        <w:t xml:space="preserve"> 本合同需要明示的法律、行政法规和规章：《中华人民共和国民法典》、《中华人民共和国建筑法》及其它有关法律、行政法规、规章。</w:t>
      </w:r>
    </w:p>
    <w:p>
      <w:pPr>
        <w:spacing w:line="440" w:lineRule="exact"/>
        <w:rPr>
          <w:highlight w:val="none"/>
        </w:rPr>
      </w:pPr>
      <w:r>
        <w:rPr>
          <w:rFonts w:hint="eastAsia"/>
          <w:highlight w:val="none"/>
        </w:rPr>
        <w:t>2</w:t>
      </w:r>
      <w:r>
        <w:rPr>
          <w:highlight w:val="none"/>
        </w:rPr>
        <w:t xml:space="preserve">.2 </w:t>
      </w:r>
      <w:r>
        <w:rPr>
          <w:rFonts w:hint="eastAsia"/>
          <w:highlight w:val="none"/>
        </w:rPr>
        <w:t>本分包工程适用的工程建设标准：</w:t>
      </w:r>
      <w:r>
        <w:rPr>
          <w:rFonts w:hint="eastAsia"/>
          <w:highlight w:val="none"/>
          <w:u w:val="single"/>
        </w:rPr>
        <w:tab/>
      </w:r>
      <w:r>
        <w:rPr>
          <w:rFonts w:hint="eastAsia"/>
          <w:highlight w:val="none"/>
          <w:u w:val="single"/>
        </w:rPr>
        <w:t>合格</w:t>
      </w:r>
      <w:r>
        <w:rPr>
          <w:rFonts w:hint="eastAsia"/>
          <w:highlight w:val="none"/>
        </w:rPr>
        <w:t>，除以上工程建设标准以外，承包人承包合同中约定的与分包工程相关的工程建设标准均适用于本分包工程。</w:t>
      </w:r>
    </w:p>
    <w:p>
      <w:pPr>
        <w:spacing w:line="440" w:lineRule="exact"/>
        <w:ind w:firstLine="435"/>
        <w:rPr>
          <w:highlight w:val="none"/>
        </w:rPr>
      </w:pPr>
      <w:r>
        <w:rPr>
          <w:rFonts w:hint="eastAsia"/>
          <w:highlight w:val="none"/>
        </w:rPr>
        <w:t>承包人向分包人提出施工技术要求的内容和时间</w:t>
      </w:r>
      <w:r>
        <w:rPr>
          <w:rFonts w:hint="eastAsia"/>
          <w:highlight w:val="none"/>
          <w:u w:val="single"/>
        </w:rPr>
        <w:t>/</w:t>
      </w:r>
      <w:r>
        <w:rPr>
          <w:rFonts w:hint="eastAsia"/>
          <w:highlight w:val="none"/>
        </w:rPr>
        <w:t>年</w:t>
      </w:r>
      <w:r>
        <w:rPr>
          <w:rFonts w:hint="eastAsia"/>
          <w:highlight w:val="none"/>
          <w:u w:val="single"/>
        </w:rPr>
        <w:t>/</w:t>
      </w:r>
      <w:r>
        <w:rPr>
          <w:rFonts w:hint="eastAsia"/>
          <w:highlight w:val="none"/>
        </w:rPr>
        <w:t>月</w:t>
      </w:r>
      <w:r>
        <w:rPr>
          <w:rFonts w:hint="eastAsia"/>
          <w:highlight w:val="none"/>
          <w:u w:val="single"/>
        </w:rPr>
        <w:t>/</w:t>
      </w:r>
      <w:r>
        <w:rPr>
          <w:rFonts w:hint="eastAsia"/>
          <w:highlight w:val="none"/>
        </w:rPr>
        <w:t>日；</w:t>
      </w:r>
    </w:p>
    <w:p>
      <w:pPr>
        <w:spacing w:line="440" w:lineRule="exact"/>
        <w:ind w:firstLine="435"/>
        <w:rPr>
          <w:highlight w:val="none"/>
        </w:rPr>
      </w:pPr>
      <w:r>
        <w:rPr>
          <w:rFonts w:hint="eastAsia"/>
          <w:highlight w:val="none"/>
        </w:rPr>
        <w:t>分包人向承包人提出相应的施工工艺的时间</w:t>
      </w:r>
      <w:r>
        <w:rPr>
          <w:rFonts w:hint="eastAsia"/>
          <w:highlight w:val="none"/>
          <w:u w:val="single"/>
        </w:rPr>
        <w:t>/</w:t>
      </w:r>
      <w:r>
        <w:rPr>
          <w:rFonts w:hint="eastAsia"/>
          <w:highlight w:val="none"/>
        </w:rPr>
        <w:t>年</w:t>
      </w:r>
      <w:r>
        <w:rPr>
          <w:rFonts w:hint="eastAsia"/>
          <w:highlight w:val="none"/>
          <w:u w:val="single"/>
        </w:rPr>
        <w:t>/</w:t>
      </w:r>
      <w:r>
        <w:rPr>
          <w:rFonts w:hint="eastAsia"/>
          <w:highlight w:val="none"/>
        </w:rPr>
        <w:t>月</w:t>
      </w:r>
      <w:r>
        <w:rPr>
          <w:rFonts w:hint="eastAsia"/>
          <w:highlight w:val="none"/>
          <w:u w:val="single"/>
        </w:rPr>
        <w:t>/</w:t>
      </w:r>
      <w:r>
        <w:rPr>
          <w:rFonts w:hint="eastAsia"/>
          <w:highlight w:val="none"/>
        </w:rPr>
        <w:t>日。</w:t>
      </w:r>
    </w:p>
    <w:p>
      <w:pPr>
        <w:pStyle w:val="4"/>
        <w:spacing w:before="0" w:after="0" w:line="440" w:lineRule="exact"/>
        <w:ind w:firstLine="301" w:firstLineChars="100"/>
        <w:jc w:val="both"/>
        <w:rPr>
          <w:highlight w:val="none"/>
        </w:rPr>
      </w:pPr>
      <w:r>
        <w:rPr>
          <w:rFonts w:hint="eastAsia"/>
          <w:sz w:val="30"/>
          <w:szCs w:val="30"/>
          <w:highlight w:val="none"/>
        </w:rPr>
        <w:t>3、图纸</w:t>
      </w:r>
    </w:p>
    <w:p>
      <w:pPr>
        <w:spacing w:line="440" w:lineRule="exact"/>
        <w:ind w:firstLine="435"/>
        <w:rPr>
          <w:highlight w:val="none"/>
          <w:u w:val="single"/>
        </w:rPr>
      </w:pPr>
      <w:r>
        <w:rPr>
          <w:rFonts w:hint="eastAsia"/>
          <w:highlight w:val="none"/>
        </w:rPr>
        <w:t>3.1 承包人向分包人提供图纸的日期：年月日；</w:t>
      </w:r>
    </w:p>
    <w:p>
      <w:pPr>
        <w:spacing w:line="440" w:lineRule="exact"/>
        <w:ind w:firstLine="960" w:firstLineChars="400"/>
        <w:rPr>
          <w:highlight w:val="none"/>
        </w:rPr>
      </w:pPr>
      <w:r>
        <w:rPr>
          <w:rFonts w:hint="eastAsia"/>
          <w:highlight w:val="none"/>
        </w:rPr>
        <w:t>承包人向分包人提供图纸的套数： 。分包人应负责分包工程范围内图纸的保密工作，分包人的保密义务在分包合同终止后，应当继续履行。</w:t>
      </w:r>
    </w:p>
    <w:p>
      <w:pPr>
        <w:spacing w:line="440" w:lineRule="exact"/>
        <w:ind w:firstLine="420"/>
        <w:rPr>
          <w:highlight w:val="none"/>
        </w:rPr>
      </w:pPr>
      <w:r>
        <w:rPr>
          <w:rFonts w:hint="eastAsia"/>
          <w:highlight w:val="none"/>
        </w:rPr>
        <w:t>3.2 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w:t>
      </w:r>
    </w:p>
    <w:p>
      <w:pPr>
        <w:spacing w:line="440" w:lineRule="exact"/>
        <w:ind w:firstLine="420"/>
        <w:rPr>
          <w:highlight w:val="none"/>
          <w:u w:val="single"/>
        </w:rPr>
      </w:pPr>
      <w:r>
        <w:rPr>
          <w:rFonts w:hint="eastAsia"/>
          <w:highlight w:val="none"/>
        </w:rPr>
        <w:t>承包人委托分包人进行深化施工图设计的委托范围及费用承担：</w:t>
      </w:r>
      <w:r>
        <w:rPr>
          <w:rFonts w:hint="eastAsia"/>
          <w:highlight w:val="none"/>
          <w:u w:val="single"/>
        </w:rPr>
        <w:tab/>
      </w:r>
      <w:r>
        <w:rPr>
          <w:rFonts w:hint="eastAsia"/>
          <w:highlight w:val="none"/>
          <w:u w:val="single"/>
        </w:rPr>
        <w:t>/</w:t>
      </w:r>
      <w:r>
        <w:rPr>
          <w:rFonts w:hint="eastAsia"/>
          <w:highlight w:val="none"/>
          <w:u w:val="single"/>
        </w:rPr>
        <w:tab/>
      </w:r>
    </w:p>
    <w:p>
      <w:pPr>
        <w:spacing w:line="440" w:lineRule="exact"/>
        <w:ind w:firstLine="420"/>
        <w:rPr>
          <w:highlight w:val="none"/>
          <w:u w:val="single"/>
        </w:rPr>
      </w:pPr>
      <w:r>
        <w:rPr>
          <w:rFonts w:hint="eastAsia"/>
          <w:highlight w:val="none"/>
        </w:rPr>
        <w:t>3.3 复制、重新绘制、翻译、购买标准图纸的责任和费用承担</w:t>
      </w:r>
      <w:r>
        <w:rPr>
          <w:rFonts w:hint="eastAsia"/>
          <w:highlight w:val="none"/>
          <w:u w:val="single"/>
        </w:rPr>
        <w:tab/>
      </w:r>
      <w:r>
        <w:rPr>
          <w:rFonts w:hint="eastAsia"/>
          <w:highlight w:val="none"/>
          <w:u w:val="single"/>
        </w:rPr>
        <w:t>分包人承担</w:t>
      </w:r>
      <w:r>
        <w:rPr>
          <w:rFonts w:hint="eastAsia"/>
          <w:highlight w:val="none"/>
          <w:u w:val="single"/>
        </w:rPr>
        <w:tab/>
      </w:r>
    </w:p>
    <w:p>
      <w:pPr>
        <w:spacing w:line="440" w:lineRule="exact"/>
        <w:ind w:firstLine="480" w:firstLineChars="200"/>
        <w:rPr>
          <w:highlight w:val="none"/>
        </w:rPr>
      </w:pPr>
      <w:r>
        <w:rPr>
          <w:rFonts w:hint="eastAsia"/>
          <w:highlight w:val="none"/>
        </w:rPr>
        <w:t>3.4 关于使用国外图纸的要求及费用承担：</w:t>
      </w:r>
      <w:r>
        <w:rPr>
          <w:rFonts w:hint="eastAsia"/>
          <w:highlight w:val="none"/>
          <w:u w:val="single"/>
        </w:rPr>
        <w:tab/>
      </w:r>
      <w:r>
        <w:rPr>
          <w:rFonts w:hint="eastAsia"/>
          <w:highlight w:val="none"/>
          <w:u w:val="single"/>
        </w:rPr>
        <w:t>/</w:t>
      </w:r>
      <w:r>
        <w:rPr>
          <w:rFonts w:hint="eastAsia"/>
          <w:highlight w:val="none"/>
          <w:u w:val="single"/>
        </w:rPr>
        <w:tab/>
      </w:r>
    </w:p>
    <w:p>
      <w:pPr>
        <w:spacing w:line="440" w:lineRule="exact"/>
        <w:rPr>
          <w:highlight w:val="none"/>
        </w:rPr>
      </w:pPr>
    </w:p>
    <w:p>
      <w:pPr>
        <w:pStyle w:val="3"/>
        <w:spacing w:before="0" w:after="0" w:line="440" w:lineRule="exact"/>
        <w:rPr>
          <w:highlight w:val="none"/>
        </w:rPr>
      </w:pPr>
      <w:r>
        <w:rPr>
          <w:rFonts w:hint="eastAsia"/>
          <w:highlight w:val="none"/>
        </w:rPr>
        <w:t>二、双方一般权利和义务</w:t>
      </w:r>
    </w:p>
    <w:p>
      <w:pPr>
        <w:pStyle w:val="3"/>
        <w:spacing w:before="0" w:after="0" w:line="440" w:lineRule="exact"/>
        <w:ind w:firstLine="301" w:firstLineChars="100"/>
        <w:jc w:val="both"/>
        <w:rPr>
          <w:sz w:val="30"/>
          <w:szCs w:val="30"/>
          <w:highlight w:val="none"/>
        </w:rPr>
      </w:pPr>
      <w:r>
        <w:rPr>
          <w:rFonts w:hint="eastAsia"/>
          <w:sz w:val="30"/>
          <w:szCs w:val="30"/>
          <w:highlight w:val="none"/>
        </w:rPr>
        <w:t>4、承包合同</w:t>
      </w:r>
    </w:p>
    <w:p>
      <w:pPr>
        <w:spacing w:line="440" w:lineRule="exact"/>
        <w:ind w:firstLine="480" w:firstLineChars="200"/>
        <w:rPr>
          <w:highlight w:val="none"/>
        </w:rPr>
      </w:pPr>
      <w:r>
        <w:rPr>
          <w:rFonts w:hint="eastAsia"/>
          <w:highlight w:val="none"/>
        </w:rPr>
        <w:t>4.1 分包人对承包人承包合同的了解</w:t>
      </w:r>
    </w:p>
    <w:p>
      <w:pPr>
        <w:spacing w:line="440" w:lineRule="exact"/>
        <w:ind w:firstLine="420"/>
        <w:rPr>
          <w:highlight w:val="none"/>
        </w:rPr>
      </w:pPr>
      <w:r>
        <w:rPr>
          <w:rFonts w:hint="eastAsia"/>
          <w:highlight w:val="none"/>
        </w:rPr>
        <w:t>承包人应提供承包合同（有关承包工程的价格内容除外）供分包人查阅。当分包人要求时，承包人应向分包人提供一份承包合同（有关承包工程的价格内容除外）的副本或复印件。分包人应全面了解承包合同的各项规定（有关承包工程的价格内容除外），并严格按照承包合同与本合同约定标准施工。</w:t>
      </w:r>
    </w:p>
    <w:p>
      <w:pPr>
        <w:spacing w:line="440" w:lineRule="exact"/>
        <w:ind w:firstLine="480" w:firstLineChars="200"/>
        <w:rPr>
          <w:highlight w:val="none"/>
        </w:rPr>
      </w:pPr>
      <w:r>
        <w:rPr>
          <w:rFonts w:hint="eastAsia"/>
          <w:highlight w:val="none"/>
        </w:rPr>
        <w:t>4.2 分包人对有关分包工程的责任</w:t>
      </w:r>
    </w:p>
    <w:p>
      <w:pPr>
        <w:spacing w:line="440" w:lineRule="exact"/>
        <w:ind w:firstLine="435"/>
        <w:rPr>
          <w:highlight w:val="none"/>
        </w:rPr>
      </w:pPr>
      <w:r>
        <w:rPr>
          <w:rFonts w:hint="eastAsia"/>
          <w:highlight w:val="none"/>
        </w:rPr>
        <w:t>除本合同条款另有约定，分包人应履行并承担总包合同中与分包工程有关的承包人的所有义务与责任。</w:t>
      </w:r>
    </w:p>
    <w:p>
      <w:pPr>
        <w:spacing w:line="440" w:lineRule="exact"/>
        <w:ind w:firstLine="435"/>
        <w:rPr>
          <w:highlight w:val="none"/>
        </w:rPr>
      </w:pPr>
      <w:r>
        <w:rPr>
          <w:rFonts w:hint="eastAsia"/>
          <w:highlight w:val="none"/>
        </w:rPr>
        <w:t>4.3 分包人与发包人的关系</w:t>
      </w:r>
    </w:p>
    <w:p>
      <w:pPr>
        <w:spacing w:line="440" w:lineRule="exact"/>
        <w:ind w:firstLine="420"/>
        <w:rPr>
          <w:highlight w:val="none"/>
        </w:rPr>
      </w:pPr>
      <w:r>
        <w:rPr>
          <w:rFonts w:hint="eastAsia"/>
          <w:highlight w:val="none"/>
        </w:rPr>
        <w:t>分包人须服从承包人转发的发包人、总包单位或工程师与分包工程有关的指令。未经承包人允许，分包人不得以任何理由与发包人、总包单位或工程师发生直接工作联系，分包人不得直接致函发包人、总包单位或工程师，也不得直接接受发包人或工程师的指令。如分包人与发包人、总包单位或工程师发生直接工作联系，将被视为违约，每发现一次，处于</w:t>
      </w:r>
      <w:r>
        <w:rPr>
          <w:rFonts w:hint="eastAsia"/>
          <w:highlight w:val="none"/>
          <w:u w:val="single"/>
        </w:rPr>
        <w:t xml:space="preserve">    /   </w:t>
      </w:r>
      <w:r>
        <w:rPr>
          <w:rFonts w:hint="eastAsia"/>
          <w:highlight w:val="none"/>
        </w:rPr>
        <w:t>元的罚款，承包人有权直接从工程款中扣除。</w:t>
      </w:r>
    </w:p>
    <w:p>
      <w:pPr>
        <w:pStyle w:val="4"/>
        <w:spacing w:before="0" w:after="0" w:line="440" w:lineRule="exact"/>
        <w:ind w:firstLine="301" w:firstLineChars="100"/>
        <w:jc w:val="both"/>
        <w:rPr>
          <w:sz w:val="30"/>
          <w:szCs w:val="30"/>
          <w:highlight w:val="none"/>
        </w:rPr>
      </w:pPr>
      <w:r>
        <w:rPr>
          <w:rFonts w:hint="eastAsia"/>
          <w:sz w:val="30"/>
          <w:szCs w:val="30"/>
          <w:highlight w:val="none"/>
        </w:rPr>
        <w:t>5、指令和决定</w:t>
      </w:r>
    </w:p>
    <w:p>
      <w:pPr>
        <w:spacing w:line="440" w:lineRule="exact"/>
        <w:rPr>
          <w:highlight w:val="none"/>
        </w:rPr>
      </w:pPr>
      <w:r>
        <w:rPr>
          <w:rFonts w:hint="eastAsia"/>
          <w:highlight w:val="none"/>
        </w:rPr>
        <w:t>5.1 承包人指令与通知</w:t>
      </w:r>
    </w:p>
    <w:p>
      <w:pPr>
        <w:spacing w:line="440" w:lineRule="exact"/>
        <w:ind w:firstLine="420"/>
        <w:rPr>
          <w:highlight w:val="none"/>
        </w:rPr>
      </w:pPr>
      <w:r>
        <w:rPr>
          <w:rFonts w:hint="eastAsia"/>
          <w:highlight w:val="none"/>
        </w:rPr>
        <w:t>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pPr>
        <w:spacing w:line="440" w:lineRule="exact"/>
        <w:ind w:firstLine="420"/>
        <w:rPr>
          <w:highlight w:val="none"/>
        </w:rPr>
      </w:pPr>
      <w:r>
        <w:rPr>
          <w:rFonts w:hint="eastAsia"/>
          <w:highlight w:val="none"/>
        </w:rPr>
        <w:t>分包人接到承包人关于具体项目施工的通知后，应做好以下准备工作：在接到通知后三日内向承包人提交除分包项目经理外的项目管理机构人员配备表；开工前三日内提交符合本项目施工情况的施工组织设计或施工方案。</w:t>
      </w:r>
    </w:p>
    <w:p>
      <w:pPr>
        <w:spacing w:line="440" w:lineRule="exact"/>
        <w:rPr>
          <w:highlight w:val="none"/>
        </w:rPr>
      </w:pPr>
      <w:r>
        <w:rPr>
          <w:rFonts w:hint="eastAsia"/>
          <w:highlight w:val="none"/>
        </w:rPr>
        <w:t>5.2 发包人、总包单位或工程师指令</w:t>
      </w:r>
    </w:p>
    <w:p>
      <w:pPr>
        <w:spacing w:line="440" w:lineRule="exact"/>
        <w:ind w:firstLine="420"/>
        <w:rPr>
          <w:highlight w:val="none"/>
        </w:rPr>
      </w:pPr>
      <w:r>
        <w:rPr>
          <w:rFonts w:hint="eastAsia"/>
          <w:highlight w:val="none"/>
        </w:rPr>
        <w:t>就分包工程范围内的有关工作，分包人应执行经承包人确认和转发的发包人、总包单位或工程师发出的所有指令和决定。</w:t>
      </w:r>
    </w:p>
    <w:p>
      <w:pPr>
        <w:pStyle w:val="4"/>
        <w:spacing w:before="0" w:after="0" w:line="440" w:lineRule="exact"/>
        <w:ind w:firstLine="301" w:firstLineChars="100"/>
        <w:jc w:val="both"/>
        <w:rPr>
          <w:sz w:val="30"/>
          <w:szCs w:val="30"/>
          <w:highlight w:val="none"/>
        </w:rPr>
      </w:pPr>
      <w:r>
        <w:rPr>
          <w:rFonts w:hint="eastAsia"/>
          <w:sz w:val="30"/>
          <w:szCs w:val="30"/>
          <w:highlight w:val="none"/>
        </w:rPr>
        <w:t>6、承包人项目经理</w:t>
      </w:r>
    </w:p>
    <w:p>
      <w:pPr>
        <w:spacing w:line="440" w:lineRule="exact"/>
        <w:ind w:firstLine="420"/>
        <w:rPr>
          <w:highlight w:val="none"/>
        </w:rPr>
      </w:pPr>
      <w:r>
        <w:rPr>
          <w:rFonts w:hint="eastAsia"/>
          <w:highlight w:val="none"/>
        </w:rPr>
        <w:t>6.1姓名：公民身份号码：</w:t>
      </w:r>
    </w:p>
    <w:p>
      <w:pPr>
        <w:widowControl/>
        <w:spacing w:line="440" w:lineRule="exact"/>
        <w:ind w:firstLine="480" w:firstLineChars="200"/>
        <w:rPr>
          <w:rFonts w:hAnsi="宋体" w:cs="宋体"/>
          <w:szCs w:val="21"/>
          <w:highlight w:val="none"/>
          <w:u w:val="single"/>
        </w:rPr>
      </w:pPr>
      <w:r>
        <w:rPr>
          <w:rFonts w:hint="eastAsia"/>
          <w:highlight w:val="none"/>
        </w:rPr>
        <w:t>6.2</w:t>
      </w:r>
      <w:r>
        <w:rPr>
          <w:rFonts w:hint="eastAsia" w:hAnsi="宋体" w:cs="宋体"/>
          <w:szCs w:val="21"/>
          <w:highlight w:val="none"/>
        </w:rPr>
        <w:t>双方约定承包人应做的其他工作：</w:t>
      </w:r>
      <w:r>
        <w:rPr>
          <w:rFonts w:hint="eastAsia" w:hAnsi="宋体" w:cs="宋体"/>
          <w:szCs w:val="21"/>
          <w:highlight w:val="none"/>
          <w:u w:val="single"/>
        </w:rPr>
        <w:t>/</w:t>
      </w:r>
    </w:p>
    <w:p>
      <w:pPr>
        <w:spacing w:line="440" w:lineRule="exact"/>
        <w:ind w:firstLine="480" w:firstLineChars="200"/>
        <w:rPr>
          <w:highlight w:val="none"/>
        </w:rPr>
      </w:pPr>
      <w:r>
        <w:rPr>
          <w:rFonts w:hint="eastAsia"/>
          <w:highlight w:val="none"/>
        </w:rPr>
        <w:t>6.3</w:t>
      </w:r>
      <w:r>
        <w:rPr>
          <w:rFonts w:hint="eastAsia" w:hAnsi="宋体" w:cs="宋体"/>
          <w:szCs w:val="21"/>
          <w:highlight w:val="none"/>
        </w:rPr>
        <w:t>承包人为本分包工程的实施提供的机械设备和（或）其他设施（如有时），及费用承担：</w:t>
      </w:r>
      <w:r>
        <w:rPr>
          <w:rFonts w:hint="eastAsia" w:hAnsi="宋体" w:cs="宋体"/>
          <w:szCs w:val="21"/>
          <w:highlight w:val="none"/>
          <w:u w:val="single"/>
        </w:rPr>
        <w:t>所有设备由分包人自行解决。</w:t>
      </w:r>
    </w:p>
    <w:p>
      <w:pPr>
        <w:pStyle w:val="4"/>
        <w:spacing w:before="0" w:after="0" w:line="440" w:lineRule="exact"/>
        <w:ind w:firstLine="321" w:firstLineChars="100"/>
        <w:jc w:val="both"/>
        <w:rPr>
          <w:highlight w:val="none"/>
        </w:rPr>
      </w:pPr>
      <w:r>
        <w:rPr>
          <w:rFonts w:hint="eastAsia"/>
          <w:highlight w:val="none"/>
        </w:rPr>
        <w:t>7、分包项目经理</w:t>
      </w:r>
    </w:p>
    <w:p>
      <w:pPr>
        <w:spacing w:line="440" w:lineRule="exact"/>
        <w:ind w:firstLine="480" w:firstLineChars="200"/>
        <w:rPr>
          <w:highlight w:val="none"/>
        </w:rPr>
      </w:pPr>
      <w:r>
        <w:rPr>
          <w:rFonts w:hint="eastAsia"/>
          <w:highlight w:val="none"/>
        </w:rPr>
        <w:t>7.1姓名：公民身份号码：</w:t>
      </w:r>
    </w:p>
    <w:p>
      <w:pPr>
        <w:spacing w:line="440" w:lineRule="exact"/>
        <w:ind w:firstLine="480" w:firstLineChars="200"/>
        <w:rPr>
          <w:highlight w:val="none"/>
        </w:rPr>
      </w:pPr>
      <w:r>
        <w:rPr>
          <w:rFonts w:hint="eastAsia"/>
          <w:highlight w:val="none"/>
        </w:rPr>
        <w:t>7.2分包人依据合同发出的请求和通知，以书面形式由分包项目经理签字后送交项目经理，项目经理在回执上签署姓名和收到的时间后生效。</w:t>
      </w:r>
    </w:p>
    <w:p>
      <w:pPr>
        <w:spacing w:line="440" w:lineRule="exact"/>
        <w:ind w:firstLine="480" w:firstLineChars="200"/>
        <w:rPr>
          <w:highlight w:val="none"/>
        </w:rPr>
      </w:pPr>
      <w:r>
        <w:rPr>
          <w:rFonts w:hint="eastAsia"/>
          <w:highlight w:val="none"/>
        </w:rPr>
        <w:t>7.3分包项目经理按承包人项目经理批准的施工组织设计（或施工方案）和依据分包合同发出的指令组织施工。在情况紧急且无法与项目经理取得联系时，分包项目经理应采取保证人员生命和工程、财产安全的紧急措施，并在采取措施后48小时内向项目经理送交报告。责任在分包人，由分包人承担费用，不顺延工期，给发包人造成损失的，分包人应承担一切赔偿责任。</w:t>
      </w:r>
    </w:p>
    <w:p>
      <w:pPr>
        <w:spacing w:line="440" w:lineRule="exact"/>
        <w:ind w:firstLine="480" w:firstLineChars="200"/>
        <w:rPr>
          <w:highlight w:val="none"/>
        </w:rPr>
      </w:pPr>
      <w:r>
        <w:rPr>
          <w:rFonts w:hint="eastAsia"/>
          <w:highlight w:val="none"/>
        </w:rPr>
        <w:t>7.4合同签订后，原则上不允许分包人更换项目经理。如分包人未经承包人同意无故更换项目经理，则分包人须向承包人支付违约金人民币</w:t>
      </w:r>
      <w:r>
        <w:rPr>
          <w:rFonts w:hint="eastAsia"/>
          <w:highlight w:val="none"/>
          <w:u w:val="single"/>
        </w:rPr>
        <w:t>贰拾</w:t>
      </w:r>
      <w:r>
        <w:rPr>
          <w:rFonts w:hint="eastAsia"/>
          <w:highlight w:val="none"/>
        </w:rPr>
        <w:t>万元整，如因更换项目经理给承包人造成损失的，还应赔偿其损失；同时更换后的项目经理须经承包人考核合格后方可进场（更换后的项目经理的资格、职称、能力等不得低于更换前的项目经理）。</w:t>
      </w:r>
    </w:p>
    <w:p>
      <w:pPr>
        <w:spacing w:line="440" w:lineRule="exact"/>
        <w:ind w:firstLine="480" w:firstLineChars="200"/>
        <w:rPr>
          <w:highlight w:val="none"/>
        </w:rPr>
      </w:pPr>
      <w:r>
        <w:rPr>
          <w:rFonts w:hint="eastAsia"/>
          <w:highlight w:val="none"/>
        </w:rPr>
        <w:t>7.5 承包人有权要求分包人更换其认为不称职的分包项目经理，如分包人所承诺的分包项目经理不能按照承诺正常履约，则承包人有权要求其更换合格的分包项目经理，同时分包人须向承包人支付违约金人民币</w:t>
      </w:r>
      <w:r>
        <w:rPr>
          <w:rFonts w:hint="eastAsia"/>
          <w:highlight w:val="none"/>
          <w:u w:val="single"/>
        </w:rPr>
        <w:t>贰拾</w:t>
      </w:r>
      <w:r>
        <w:rPr>
          <w:rFonts w:hint="eastAsia"/>
          <w:highlight w:val="none"/>
        </w:rPr>
        <w:t>万元整；若分包人拒绝按照承包人要求更换分包项目经理，则承包人有权单方面终止合同，并提请行业管理部门将其记入不良行为记录名单中。</w:t>
      </w:r>
    </w:p>
    <w:p>
      <w:pPr>
        <w:spacing w:line="440" w:lineRule="exact"/>
        <w:ind w:firstLine="480" w:firstLineChars="200"/>
        <w:rPr>
          <w:highlight w:val="none"/>
        </w:rPr>
      </w:pPr>
      <w:r>
        <w:rPr>
          <w:rFonts w:hint="eastAsia"/>
          <w:highlight w:val="none"/>
        </w:rPr>
        <w:t>除分包项目经理外，若分包人所配备的项目班子人员不能满足项目需求或不能胜任项目有关工作，承包人有权要求分包人及时更换，并保障项目顺利进展；若因分包人原因造成项目损失的，分包人承担由此造成的一切责任及损失。</w:t>
      </w:r>
    </w:p>
    <w:p>
      <w:pPr>
        <w:spacing w:line="440" w:lineRule="exact"/>
        <w:ind w:firstLine="480" w:firstLineChars="200"/>
        <w:rPr>
          <w:highlight w:val="none"/>
        </w:rPr>
      </w:pPr>
      <w:r>
        <w:rPr>
          <w:rFonts w:hint="eastAsia"/>
          <w:highlight w:val="none"/>
        </w:rPr>
        <w:t>7.6合同履行过程中，分包人派遣的分包项目经理必须亲自负责现场管理，分包项目经理每月在岗天数不少于</w:t>
      </w:r>
      <w:r>
        <w:rPr>
          <w:rFonts w:hint="eastAsia"/>
          <w:highlight w:val="none"/>
          <w:u w:val="single"/>
        </w:rPr>
        <w:t>22</w:t>
      </w:r>
      <w:r>
        <w:rPr>
          <w:rFonts w:hint="eastAsia"/>
          <w:highlight w:val="none"/>
        </w:rPr>
        <w:t>天。如未经承包人允许，分包项目经理连续无故缺席三天或总计缺席达七天的，承包人有权提前终止合同并没收分包人履约保证金，同时提请行业管理部门将其记入不良行为记录名单中。</w:t>
      </w:r>
    </w:p>
    <w:p>
      <w:pPr>
        <w:spacing w:line="440" w:lineRule="exact"/>
        <w:ind w:firstLine="480" w:firstLineChars="200"/>
        <w:rPr>
          <w:highlight w:val="none"/>
        </w:rPr>
      </w:pPr>
      <w:r>
        <w:rPr>
          <w:rFonts w:hint="eastAsia"/>
          <w:highlight w:val="none"/>
        </w:rPr>
        <w:t>7.7分包人在责任期内，应当履行施工合同中约定的义务。如果由于分包项目经理或现场施工人员对设计、施工、材料和设备等方面的直接指示、违法行为造成承包人经济损失，或侵犯了第三方权益的，应当向承包人和第三方进行赔偿；触及法律的，还应当承担相应的法律责任。</w:t>
      </w:r>
    </w:p>
    <w:p>
      <w:pPr>
        <w:pStyle w:val="4"/>
        <w:spacing w:before="0" w:after="0" w:line="440" w:lineRule="exact"/>
        <w:ind w:firstLine="321" w:firstLineChars="100"/>
        <w:jc w:val="both"/>
        <w:rPr>
          <w:highlight w:val="none"/>
        </w:rPr>
      </w:pPr>
      <w:r>
        <w:rPr>
          <w:rFonts w:hint="eastAsia"/>
          <w:highlight w:val="none"/>
        </w:rPr>
        <w:t>8、承包人的权利与义务</w:t>
      </w:r>
    </w:p>
    <w:p>
      <w:pPr>
        <w:spacing w:line="440" w:lineRule="exact"/>
        <w:ind w:firstLine="435"/>
        <w:rPr>
          <w:highlight w:val="none"/>
        </w:rPr>
      </w:pPr>
      <w:r>
        <w:rPr>
          <w:rFonts w:hint="eastAsia"/>
          <w:highlight w:val="none"/>
        </w:rPr>
        <w:t xml:space="preserve">8.1 </w:t>
      </w:r>
      <w:r>
        <w:rPr>
          <w:rFonts w:hint="eastAsia"/>
          <w:highlight w:val="none"/>
          <w:lang w:val="zh-CN"/>
        </w:rPr>
        <w:t>承包人的权利</w:t>
      </w:r>
    </w:p>
    <w:p>
      <w:pPr>
        <w:spacing w:line="440" w:lineRule="exact"/>
        <w:ind w:firstLine="435"/>
        <w:rPr>
          <w:highlight w:val="none"/>
        </w:rPr>
      </w:pPr>
      <w:r>
        <w:rPr>
          <w:rFonts w:hint="eastAsia"/>
          <w:highlight w:val="none"/>
        </w:rPr>
        <w:t>8.1.1</w:t>
      </w:r>
      <w:r>
        <w:rPr>
          <w:rFonts w:hint="eastAsia"/>
          <w:highlight w:val="none"/>
          <w:lang w:val="zh-CN"/>
        </w:rPr>
        <w:t>根据分包人投标文件中有关内容，有权对分包人的施工情况进行检查。</w:t>
      </w:r>
      <w:r>
        <w:rPr>
          <w:rFonts w:hint="eastAsia" w:hAnsi="宋体" w:cs="宋体"/>
          <w:szCs w:val="21"/>
          <w:highlight w:val="none"/>
        </w:rPr>
        <w:t>如现场存在重大安全隐患，承包人有权下发安全隐患整改通知单，分包人不得拒收。视隐患严重程度及整改力度，承包人有权进行处罚，并要求分包人停工整顿，停工损失由分包人负担且工期不予顺延，由于分包人安全措施不力造成事故的责任和因此发生的一切费用由分包人承担。</w:t>
      </w:r>
    </w:p>
    <w:p>
      <w:pPr>
        <w:spacing w:line="440" w:lineRule="exact"/>
        <w:ind w:firstLine="435"/>
        <w:rPr>
          <w:highlight w:val="none"/>
        </w:rPr>
      </w:pPr>
      <w:r>
        <w:rPr>
          <w:rFonts w:hint="eastAsia"/>
          <w:highlight w:val="none"/>
        </w:rPr>
        <w:t>8.1.2</w:t>
      </w:r>
      <w:r>
        <w:rPr>
          <w:rFonts w:hint="eastAsia"/>
          <w:highlight w:val="none"/>
          <w:lang w:val="zh-CN"/>
        </w:rPr>
        <w:t>有权对施工质量进行监督和检查，对所发现的和投诉的问题进行调查和处理。</w:t>
      </w:r>
    </w:p>
    <w:p>
      <w:pPr>
        <w:spacing w:line="440" w:lineRule="exact"/>
        <w:ind w:firstLine="435"/>
        <w:rPr>
          <w:highlight w:val="none"/>
        </w:rPr>
      </w:pPr>
      <w:r>
        <w:rPr>
          <w:rFonts w:hint="eastAsia"/>
          <w:highlight w:val="none"/>
        </w:rPr>
        <w:t>8.1.3</w:t>
      </w:r>
      <w:r>
        <w:rPr>
          <w:rFonts w:hint="eastAsia"/>
          <w:highlight w:val="none"/>
          <w:lang w:val="zh-CN"/>
        </w:rPr>
        <w:t>因分包人违反合同规定给承包人造成损失时，及因分包人施工质量问题引起承包人给第三方造成损害，承包人均有权直接要求分包人赔偿全部及任何相关的经济损失，分包人承诺将不予推卸地、及时地、直接地承担全部及任何相关的损失的赔偿责任，包括第三方的相关的全部及任何损失的赔偿责任。</w:t>
      </w:r>
    </w:p>
    <w:p>
      <w:pPr>
        <w:spacing w:line="440" w:lineRule="exact"/>
        <w:ind w:firstLine="435"/>
        <w:rPr>
          <w:highlight w:val="none"/>
        </w:rPr>
      </w:pPr>
      <w:r>
        <w:rPr>
          <w:rFonts w:hint="eastAsia"/>
          <w:highlight w:val="none"/>
        </w:rPr>
        <w:t>8.1.4受理承包人对分包人违反本合同规定行为的投诉。如投诉情况属实，通知分包人及时纠正，核查属实的投诉，每次处以罚款</w:t>
      </w:r>
      <w:r>
        <w:rPr>
          <w:rFonts w:hint="eastAsia"/>
          <w:highlight w:val="none"/>
          <w:u w:val="single"/>
        </w:rPr>
        <w:t xml:space="preserve"> 5000  </w:t>
      </w:r>
      <w:r>
        <w:rPr>
          <w:rFonts w:hint="eastAsia"/>
          <w:highlight w:val="none"/>
        </w:rPr>
        <w:t>元，承包人有权直接从工程中扣除，出现</w:t>
      </w:r>
      <w:r>
        <w:rPr>
          <w:rFonts w:hint="eastAsia"/>
          <w:b/>
          <w:bCs/>
          <w:highlight w:val="none"/>
          <w:u w:val="single"/>
        </w:rPr>
        <w:t>5</w:t>
      </w:r>
      <w:r>
        <w:rPr>
          <w:rFonts w:hint="eastAsia"/>
          <w:highlight w:val="none"/>
        </w:rPr>
        <w:t>次及以上的，承包人有权直接解除合同，并扣除相应工程款。</w:t>
      </w:r>
    </w:p>
    <w:p>
      <w:pPr>
        <w:spacing w:line="440" w:lineRule="exact"/>
        <w:ind w:firstLine="435"/>
        <w:rPr>
          <w:highlight w:val="none"/>
        </w:rPr>
      </w:pPr>
      <w:r>
        <w:rPr>
          <w:rFonts w:hint="eastAsia"/>
          <w:highlight w:val="none"/>
        </w:rPr>
        <w:t>8.1.5承包人对分包人施工过程中可能出现的一切行为、后果及不良影响不承担任何连带及非连带的责任。</w:t>
      </w:r>
    </w:p>
    <w:p>
      <w:pPr>
        <w:spacing w:line="440" w:lineRule="exact"/>
        <w:ind w:firstLine="435"/>
        <w:rPr>
          <w:highlight w:val="none"/>
        </w:rPr>
      </w:pPr>
      <w:r>
        <w:rPr>
          <w:rFonts w:hint="eastAsia"/>
          <w:highlight w:val="none"/>
        </w:rPr>
        <w:t>8.2承包人的义务</w:t>
      </w:r>
    </w:p>
    <w:p>
      <w:pPr>
        <w:spacing w:line="440" w:lineRule="exact"/>
        <w:ind w:firstLine="435"/>
        <w:rPr>
          <w:highlight w:val="none"/>
        </w:rPr>
      </w:pPr>
      <w:r>
        <w:rPr>
          <w:rFonts w:hint="eastAsia"/>
          <w:highlight w:val="none"/>
        </w:rPr>
        <w:t>尽力协调分包人在各相关部门在工程方面的关系，与有关部门一起对解决和处理施工过程中所发生的纠纷予以协调。</w:t>
      </w:r>
    </w:p>
    <w:p>
      <w:pPr>
        <w:spacing w:line="440" w:lineRule="exact"/>
        <w:rPr>
          <w:highlight w:val="none"/>
        </w:rPr>
      </w:pPr>
      <w:r>
        <w:rPr>
          <w:rFonts w:hint="eastAsia"/>
          <w:highlight w:val="none"/>
        </w:rPr>
        <w:t>8.3双方约定承包人的其他工作：</w:t>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p>
    <w:p>
      <w:pPr>
        <w:pStyle w:val="4"/>
        <w:spacing w:before="0" w:after="0" w:line="440" w:lineRule="exact"/>
        <w:ind w:firstLine="321" w:firstLineChars="100"/>
        <w:jc w:val="both"/>
        <w:rPr>
          <w:highlight w:val="none"/>
        </w:rPr>
      </w:pPr>
      <w:r>
        <w:rPr>
          <w:rFonts w:hint="eastAsia"/>
          <w:highlight w:val="none"/>
        </w:rPr>
        <w:t>9、分包人的权利与义务</w:t>
      </w:r>
    </w:p>
    <w:p>
      <w:pPr>
        <w:spacing w:line="440" w:lineRule="exact"/>
        <w:ind w:firstLine="435"/>
        <w:rPr>
          <w:highlight w:val="none"/>
        </w:rPr>
      </w:pPr>
      <w:r>
        <w:rPr>
          <w:rFonts w:hint="eastAsia"/>
          <w:highlight w:val="none"/>
        </w:rPr>
        <w:t>9.1分包人的权利</w:t>
      </w:r>
    </w:p>
    <w:p>
      <w:pPr>
        <w:spacing w:line="440" w:lineRule="exact"/>
        <w:ind w:firstLine="435"/>
        <w:rPr>
          <w:highlight w:val="none"/>
        </w:rPr>
      </w:pPr>
      <w:r>
        <w:rPr>
          <w:rFonts w:hint="eastAsia"/>
          <w:highlight w:val="none"/>
        </w:rPr>
        <w:t>9.1.1依照合同约定收取施工费用。</w:t>
      </w:r>
    </w:p>
    <w:p>
      <w:pPr>
        <w:spacing w:line="440" w:lineRule="exact"/>
        <w:ind w:firstLine="435"/>
        <w:rPr>
          <w:highlight w:val="none"/>
        </w:rPr>
      </w:pPr>
      <w:r>
        <w:rPr>
          <w:rFonts w:hint="eastAsia"/>
          <w:highlight w:val="none"/>
        </w:rPr>
        <w:t>9.1.2分包人有权对承包人在施工过程中的不正当要求和违规行为进行投诉，并可以依法主张其合法权利。</w:t>
      </w:r>
    </w:p>
    <w:p>
      <w:pPr>
        <w:spacing w:line="440" w:lineRule="exact"/>
        <w:ind w:firstLine="435"/>
        <w:rPr>
          <w:highlight w:val="none"/>
        </w:rPr>
      </w:pPr>
      <w:r>
        <w:rPr>
          <w:rFonts w:hint="eastAsia"/>
          <w:highlight w:val="none"/>
        </w:rPr>
        <w:t>9.2分包人的义务</w:t>
      </w:r>
    </w:p>
    <w:p>
      <w:pPr>
        <w:spacing w:line="440" w:lineRule="exact"/>
        <w:ind w:firstLine="435"/>
        <w:rPr>
          <w:highlight w:val="none"/>
        </w:rPr>
      </w:pPr>
      <w:r>
        <w:rPr>
          <w:rFonts w:hint="eastAsia"/>
          <w:highlight w:val="none"/>
        </w:rPr>
        <w:t>9.2.1严格执行国家的法律、法规，守法经营，按章办事，自觉维护承包人及发包人的合法利益。</w:t>
      </w:r>
    </w:p>
    <w:p>
      <w:pPr>
        <w:spacing w:line="440" w:lineRule="exact"/>
        <w:ind w:firstLine="435"/>
        <w:rPr>
          <w:highlight w:val="none"/>
        </w:rPr>
      </w:pPr>
      <w:r>
        <w:rPr>
          <w:rFonts w:hint="eastAsia"/>
          <w:highlight w:val="none"/>
        </w:rPr>
        <w:t>9.2.2接受承包人的检查、监督，严格履行服务承诺，做到诚实、守信。</w:t>
      </w:r>
    </w:p>
    <w:p>
      <w:pPr>
        <w:spacing w:line="440" w:lineRule="exact"/>
        <w:ind w:firstLine="435"/>
        <w:rPr>
          <w:highlight w:val="none"/>
        </w:rPr>
      </w:pPr>
      <w:r>
        <w:rPr>
          <w:rFonts w:hint="eastAsia"/>
          <w:highlight w:val="none"/>
        </w:rPr>
        <w:t>9.2.3加强内部管理，提高施工质量，严格按照招标文件、合同等的有关规定开展施工业务，保证施工质量且保证不发生质量问题。</w:t>
      </w:r>
    </w:p>
    <w:p>
      <w:pPr>
        <w:spacing w:line="440" w:lineRule="exact"/>
        <w:ind w:firstLine="435"/>
        <w:rPr>
          <w:highlight w:val="none"/>
        </w:rPr>
      </w:pPr>
      <w:r>
        <w:rPr>
          <w:rFonts w:hint="eastAsia"/>
          <w:highlight w:val="none"/>
        </w:rPr>
        <w:t>9.2.4分包人应在规定时间内向承包人报送其项目机构主要成员名单、施工组织设计，完成施工合同专用条件中约定的施工工程范围内的施工业务。</w:t>
      </w:r>
    </w:p>
    <w:p>
      <w:pPr>
        <w:spacing w:line="440" w:lineRule="exact"/>
        <w:ind w:firstLine="435"/>
        <w:rPr>
          <w:highlight w:val="none"/>
        </w:rPr>
      </w:pPr>
      <w:r>
        <w:rPr>
          <w:rFonts w:hint="eastAsia"/>
          <w:highlight w:val="none"/>
        </w:rPr>
        <w:t>9.2.5分包人在履行本合同义务的期间，应当运用合理的技能，认真勤奋地工作。帮助承包人实现合同预定的目标，公正地维护各方的合法权益。</w:t>
      </w:r>
    </w:p>
    <w:p>
      <w:pPr>
        <w:spacing w:line="440" w:lineRule="exact"/>
        <w:ind w:firstLine="435"/>
        <w:rPr>
          <w:highlight w:val="none"/>
        </w:rPr>
      </w:pPr>
      <w:r>
        <w:rPr>
          <w:rFonts w:hint="eastAsia"/>
          <w:highlight w:val="none"/>
        </w:rPr>
        <w:t>9.2.6分包人如使用承包人提供的设施和物品，在施工工作完成或者中止时，应当将其设施和剩余的物品库存清单提交给承包人，并且按照施工合同约定的时间和方式移交此类设施和物品。</w:t>
      </w:r>
    </w:p>
    <w:p>
      <w:pPr>
        <w:spacing w:line="440" w:lineRule="exact"/>
        <w:ind w:firstLine="435"/>
        <w:rPr>
          <w:highlight w:val="none"/>
        </w:rPr>
      </w:pPr>
      <w:r>
        <w:rPr>
          <w:rFonts w:hint="eastAsia"/>
          <w:highlight w:val="none"/>
        </w:rPr>
        <w:t>9.2.7在施工合同期内或者施工合同终止后，未征得有关方同意，不得泄露与本工程、本合同业务活动有关的保密资料。</w:t>
      </w:r>
    </w:p>
    <w:p>
      <w:pPr>
        <w:spacing w:line="440" w:lineRule="exact"/>
        <w:ind w:firstLine="435"/>
        <w:rPr>
          <w:highlight w:val="none"/>
        </w:rPr>
      </w:pPr>
      <w:r>
        <w:rPr>
          <w:rFonts w:hint="eastAsia"/>
          <w:highlight w:val="none"/>
        </w:rPr>
        <w:t>9.2.8遵循诚实信用原则，认真搞好定点施工服务，杜绝不正当竞争行为。</w:t>
      </w:r>
    </w:p>
    <w:p>
      <w:pPr>
        <w:spacing w:line="440" w:lineRule="exact"/>
        <w:ind w:firstLine="435"/>
        <w:rPr>
          <w:highlight w:val="none"/>
        </w:rPr>
      </w:pPr>
      <w:r>
        <w:rPr>
          <w:rFonts w:hint="eastAsia"/>
          <w:highlight w:val="none"/>
        </w:rPr>
        <w:t>9.2.9建立定点施工档案制度。定点企业必须将有关招投标及施工全过程的材料整理归档，妥善保管，以备查用。</w:t>
      </w:r>
    </w:p>
    <w:p>
      <w:pPr>
        <w:spacing w:line="440" w:lineRule="exact"/>
        <w:ind w:firstLine="435"/>
        <w:rPr>
          <w:highlight w:val="none"/>
        </w:rPr>
      </w:pPr>
      <w:r>
        <w:rPr>
          <w:rFonts w:hint="eastAsia"/>
          <w:highlight w:val="none"/>
        </w:rPr>
        <w:t>9.2.10分包人在相关的投标活动中、合同的签订及履行过程中，其投标及签署、履行合同均意味着其已承诺，任何情况下，均将严格遵守法律、法规，并且应当独立承担全部及任何法律责任，包括对承包人或任何第三方的民事赔偿责任。</w:t>
      </w:r>
    </w:p>
    <w:p>
      <w:pPr>
        <w:spacing w:line="440" w:lineRule="exact"/>
        <w:ind w:firstLine="435"/>
        <w:rPr>
          <w:highlight w:val="none"/>
        </w:rPr>
      </w:pPr>
      <w:r>
        <w:rPr>
          <w:rFonts w:hint="eastAsia"/>
          <w:highlight w:val="none"/>
        </w:rPr>
        <w:t>9.2.11为更加有效的进行项目建设资金监管和彻底落实农民工工资专用账户的资金发放，严格执行国务院《保障农民工工资支付条例》，保障农民工工资按时发放，依据《合肥市在建工程项目保障农民工工资支付规范化管理指导手册》要求，承包人对项目农民工工资进行专用账户资金托管，实施农民工工资专用账户管理。</w:t>
      </w:r>
    </w:p>
    <w:p>
      <w:pPr>
        <w:spacing w:line="440" w:lineRule="exact"/>
        <w:ind w:firstLine="435"/>
        <w:rPr>
          <w:highlight w:val="none"/>
        </w:rPr>
      </w:pPr>
      <w:r>
        <w:rPr>
          <w:rFonts w:hint="eastAsia"/>
          <w:highlight w:val="none"/>
        </w:rPr>
        <w:t>承包人将工程款中工资性工程款转入农民工工资专用账户，参照建设工程农民工工资专用账户资金托管协议约定进行监管。</w:t>
      </w:r>
    </w:p>
    <w:p>
      <w:pPr>
        <w:spacing w:line="440" w:lineRule="exact"/>
        <w:ind w:firstLine="435"/>
        <w:rPr>
          <w:highlight w:val="none"/>
        </w:rPr>
      </w:pPr>
      <w:r>
        <w:rPr>
          <w:rFonts w:hint="eastAsia"/>
          <w:highlight w:val="none"/>
        </w:rPr>
        <w:t>双方约定设置农民工工资专用收款账户不影响原合同其他权利义务及约定事项的执行,执行期限与主合同一致；工程竣工后，经项目部农民工维权组确认无农民工工资拖欠后，按建设工程农民工工资专用账户资金托管协议实施后续程序。</w:t>
      </w:r>
    </w:p>
    <w:p>
      <w:pPr>
        <w:spacing w:line="440" w:lineRule="exact"/>
        <w:ind w:firstLine="435"/>
        <w:rPr>
          <w:highlight w:val="none"/>
        </w:rPr>
      </w:pPr>
      <w:r>
        <w:rPr>
          <w:rFonts w:hint="eastAsia"/>
          <w:highlight w:val="none"/>
        </w:rPr>
        <w:t>承包人设立的农民工工资专用账户信息</w:t>
      </w:r>
    </w:p>
    <w:p>
      <w:pPr>
        <w:spacing w:line="440" w:lineRule="exact"/>
        <w:ind w:firstLine="435"/>
        <w:rPr>
          <w:highlight w:val="none"/>
        </w:rPr>
      </w:pPr>
      <w:r>
        <w:rPr>
          <w:rFonts w:hint="eastAsia"/>
          <w:highlight w:val="none"/>
        </w:rPr>
        <w:t>开户名称：</w:t>
      </w:r>
    </w:p>
    <w:p>
      <w:pPr>
        <w:spacing w:line="440" w:lineRule="exact"/>
        <w:ind w:firstLine="435"/>
        <w:rPr>
          <w:highlight w:val="none"/>
        </w:rPr>
      </w:pPr>
      <w:r>
        <w:rPr>
          <w:rFonts w:hint="eastAsia"/>
          <w:highlight w:val="none"/>
        </w:rPr>
        <w:t>开户银行：</w:t>
      </w:r>
    </w:p>
    <w:p>
      <w:pPr>
        <w:spacing w:line="440" w:lineRule="exact"/>
        <w:ind w:firstLine="435"/>
        <w:rPr>
          <w:highlight w:val="none"/>
        </w:rPr>
      </w:pPr>
      <w:r>
        <w:rPr>
          <w:rFonts w:hint="eastAsia"/>
          <w:highlight w:val="none"/>
        </w:rPr>
        <w:t>账    号：</w:t>
      </w:r>
    </w:p>
    <w:p>
      <w:pPr>
        <w:spacing w:line="440" w:lineRule="exact"/>
        <w:ind w:firstLine="435"/>
        <w:rPr>
          <w:highlight w:val="none"/>
        </w:rPr>
      </w:pPr>
      <w:r>
        <w:rPr>
          <w:rFonts w:hint="eastAsia"/>
          <w:highlight w:val="none"/>
        </w:rPr>
        <w:t>9.3分包人还应完成下列工作：</w:t>
      </w:r>
    </w:p>
    <w:p>
      <w:pPr>
        <w:spacing w:line="440" w:lineRule="exact"/>
        <w:ind w:firstLine="435"/>
        <w:rPr>
          <w:highlight w:val="none"/>
        </w:rPr>
      </w:pPr>
      <w:r>
        <w:rPr>
          <w:rFonts w:hint="eastAsia"/>
          <w:highlight w:val="none"/>
        </w:rPr>
        <w:t>（2）需完成的设计内容和提交时间：</w:t>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p>
    <w:p>
      <w:pPr>
        <w:spacing w:line="440" w:lineRule="exact"/>
        <w:ind w:firstLine="435"/>
        <w:rPr>
          <w:highlight w:val="none"/>
        </w:rPr>
      </w:pPr>
      <w:r>
        <w:rPr>
          <w:rFonts w:hint="eastAsia"/>
          <w:highlight w:val="none"/>
        </w:rPr>
        <w:t>（3）分包人应在本合同签订生效后</w:t>
      </w:r>
      <w:r>
        <w:rPr>
          <w:rFonts w:hint="eastAsia"/>
          <w:highlight w:val="none"/>
          <w:u w:val="single"/>
        </w:rPr>
        <w:tab/>
      </w:r>
      <w:r>
        <w:rPr>
          <w:rFonts w:hint="eastAsia"/>
          <w:highlight w:val="none"/>
        </w:rPr>
        <w:t xml:space="preserve"> 天内向项目经理提交分包工程总体进度计划。分包人向承包人提交年、季度、月度、周工程进度计划及相应的进度统计报表时间为：</w:t>
      </w:r>
      <w:r>
        <w:rPr>
          <w:rFonts w:hint="eastAsia"/>
          <w:highlight w:val="none"/>
          <w:u w:val="single"/>
        </w:rPr>
        <w:tab/>
      </w:r>
      <w:r>
        <w:rPr>
          <w:rFonts w:hint="eastAsia"/>
          <w:highlight w:val="none"/>
          <w:u w:val="single"/>
        </w:rPr>
        <w:tab/>
      </w:r>
      <w:r>
        <w:rPr>
          <w:rFonts w:hint="eastAsia"/>
          <w:highlight w:val="none"/>
        </w:rPr>
        <w:t>承包人批准工程进度计划的时间：年月日。</w:t>
      </w:r>
    </w:p>
    <w:p>
      <w:pPr>
        <w:spacing w:line="440" w:lineRule="exact"/>
        <w:ind w:firstLine="435"/>
        <w:rPr>
          <w:highlight w:val="none"/>
        </w:rPr>
      </w:pPr>
      <w:r>
        <w:rPr>
          <w:rFonts w:hint="eastAsia"/>
          <w:highlight w:val="none"/>
        </w:rPr>
        <w:t>（4）向承包人提交施工组织设计的时间：年月日；</w:t>
      </w:r>
    </w:p>
    <w:p>
      <w:pPr>
        <w:spacing w:line="440" w:lineRule="exact"/>
        <w:ind w:firstLine="435"/>
        <w:rPr>
          <w:highlight w:val="none"/>
        </w:rPr>
      </w:pPr>
      <w:r>
        <w:rPr>
          <w:rFonts w:hint="eastAsia"/>
          <w:highlight w:val="none"/>
        </w:rPr>
        <w:t xml:space="preserve">  承包人批准施工组织设计的时间：年月日。</w:t>
      </w:r>
    </w:p>
    <w:p>
      <w:pPr>
        <w:spacing w:line="440" w:lineRule="exact"/>
        <w:ind w:firstLine="435"/>
        <w:rPr>
          <w:highlight w:val="none"/>
          <w:u w:val="single"/>
        </w:rPr>
      </w:pPr>
      <w:r>
        <w:rPr>
          <w:rFonts w:hint="eastAsia"/>
          <w:highlight w:val="none"/>
        </w:rPr>
        <w:t>（7）已完工程成品保护的特殊要求及费用承担：</w:t>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p>
    <w:p>
      <w:pPr>
        <w:spacing w:line="440" w:lineRule="exact"/>
        <w:ind w:firstLine="480" w:firstLineChars="200"/>
        <w:rPr>
          <w:highlight w:val="none"/>
          <w:u w:val="single"/>
        </w:rPr>
      </w:pPr>
      <w:r>
        <w:rPr>
          <w:rFonts w:hint="eastAsia"/>
          <w:highlight w:val="none"/>
        </w:rPr>
        <w:t>（8）双方约定分包人应做的其它工作：</w:t>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p>
    <w:p>
      <w:pPr>
        <w:pStyle w:val="4"/>
        <w:spacing w:before="0" w:after="0" w:line="440" w:lineRule="exact"/>
        <w:ind w:firstLine="321" w:firstLineChars="100"/>
        <w:jc w:val="both"/>
        <w:rPr>
          <w:highlight w:val="none"/>
        </w:rPr>
      </w:pPr>
      <w:r>
        <w:rPr>
          <w:rFonts w:hint="eastAsia"/>
          <w:highlight w:val="none"/>
        </w:rPr>
        <w:t>10、转包与再分包</w:t>
      </w:r>
    </w:p>
    <w:p>
      <w:pPr>
        <w:spacing w:line="440" w:lineRule="exact"/>
        <w:ind w:firstLine="435"/>
        <w:rPr>
          <w:highlight w:val="none"/>
        </w:rPr>
      </w:pPr>
      <w:r>
        <w:rPr>
          <w:rFonts w:hint="eastAsia"/>
          <w:bCs/>
          <w:highlight w:val="none"/>
        </w:rPr>
        <w:t>10.1 除11.</w:t>
      </w:r>
      <w:r>
        <w:rPr>
          <w:rFonts w:hint="eastAsia"/>
          <w:highlight w:val="none"/>
        </w:rPr>
        <w:t>2款规定的情况外，</w:t>
      </w:r>
      <w:r>
        <w:rPr>
          <w:rFonts w:hint="eastAsia"/>
          <w:bCs/>
          <w:highlight w:val="none"/>
        </w:rPr>
        <w:t>分包人不得将其承包的分包工程转包给他人，也不得将其承包的分包工程的全部或部分再分包给他人。如分包人将其承包的分包工程转包或再分包，将</w:t>
      </w:r>
      <w:r>
        <w:rPr>
          <w:rFonts w:hint="eastAsia"/>
          <w:highlight w:val="none"/>
        </w:rPr>
        <w:t>被视为违约，并承担违约责任。</w:t>
      </w:r>
    </w:p>
    <w:p>
      <w:pPr>
        <w:spacing w:line="440" w:lineRule="exact"/>
        <w:ind w:firstLine="480" w:firstLineChars="200"/>
        <w:rPr>
          <w:highlight w:val="none"/>
        </w:rPr>
      </w:pPr>
      <w:r>
        <w:rPr>
          <w:rFonts w:hint="eastAsia"/>
          <w:bCs/>
          <w:highlight w:val="none"/>
        </w:rPr>
        <w:t>10.</w:t>
      </w:r>
      <w:r>
        <w:rPr>
          <w:rFonts w:hint="eastAsia"/>
          <w:highlight w:val="none"/>
        </w:rPr>
        <w:t>2 对于专业工程，若承包人有相应资质的，不允许进行分包；若无相应资质，经承包人允许可进行专业分包，但分包人的资质应符合国家、招标文件及合同有关规定，并需报承包人及监理人审核确认。分包人经承包人同意可以将劳务作业再分包给具有相应劳务分包资质的劳务分包企业。</w:t>
      </w:r>
    </w:p>
    <w:p>
      <w:pPr>
        <w:spacing w:line="440" w:lineRule="exact"/>
        <w:ind w:firstLine="480" w:firstLineChars="200"/>
        <w:rPr>
          <w:highlight w:val="none"/>
        </w:rPr>
      </w:pPr>
      <w:r>
        <w:rPr>
          <w:rFonts w:hint="eastAsia"/>
          <w:bCs/>
          <w:highlight w:val="none"/>
        </w:rPr>
        <w:t>10.</w:t>
      </w:r>
      <w:r>
        <w:rPr>
          <w:rFonts w:hint="eastAsia"/>
          <w:highlight w:val="none"/>
        </w:rPr>
        <w:t>3 分包人应对再分包的劳务作业的质量等相关事宜进行督促和检查，并承担相关连带责任。</w:t>
      </w:r>
    </w:p>
    <w:p>
      <w:pPr>
        <w:pStyle w:val="3"/>
        <w:numPr>
          <w:ilvl w:val="0"/>
          <w:numId w:val="3"/>
        </w:numPr>
        <w:spacing w:before="0" w:after="0" w:line="440" w:lineRule="exact"/>
        <w:jc w:val="both"/>
        <w:rPr>
          <w:highlight w:val="none"/>
        </w:rPr>
      </w:pPr>
      <w:r>
        <w:rPr>
          <w:rFonts w:hint="eastAsia"/>
          <w:highlight w:val="none"/>
        </w:rPr>
        <w:t>工期</w:t>
      </w:r>
    </w:p>
    <w:p>
      <w:pPr>
        <w:pStyle w:val="4"/>
        <w:spacing w:before="0" w:after="0" w:line="440" w:lineRule="exact"/>
        <w:ind w:firstLine="321" w:firstLineChars="100"/>
        <w:jc w:val="both"/>
        <w:rPr>
          <w:highlight w:val="none"/>
        </w:rPr>
      </w:pPr>
      <w:r>
        <w:rPr>
          <w:rFonts w:hint="eastAsia"/>
          <w:highlight w:val="none"/>
        </w:rPr>
        <w:t>11、开工与延期开工</w:t>
      </w:r>
    </w:p>
    <w:p>
      <w:pPr>
        <w:spacing w:line="440" w:lineRule="exact"/>
        <w:ind w:firstLine="420"/>
        <w:rPr>
          <w:highlight w:val="none"/>
        </w:rPr>
      </w:pPr>
      <w:r>
        <w:rPr>
          <w:rFonts w:hint="eastAsia"/>
          <w:highlight w:val="none"/>
        </w:rPr>
        <w:t>11.1 分包人</w:t>
      </w:r>
      <w:r>
        <w:rPr>
          <w:rFonts w:hint="eastAsia"/>
          <w:highlight w:val="none"/>
          <w:u w:val="single"/>
        </w:rPr>
        <w:t>应当按照本合同协议书约定的开工日期开工，实际开工日期与承包人通知不一致的，以承包人通知为准。</w:t>
      </w:r>
    </w:p>
    <w:p>
      <w:pPr>
        <w:spacing w:line="440" w:lineRule="exact"/>
        <w:ind w:firstLine="420"/>
        <w:rPr>
          <w:highlight w:val="none"/>
        </w:rPr>
      </w:pPr>
      <w:r>
        <w:rPr>
          <w:rFonts w:hint="eastAsia"/>
          <w:highlight w:val="none"/>
        </w:rPr>
        <w:t>分包人不能按时开工，应当不迟于本合同协议书约定的开工日期前5天，以书面形式向承包人提出延期开工的理由，经承包人同意后工期相应顺延。承包人不同意延期要求或分包人未在规定时间内提出延期开工要求，工期不予顺延。</w:t>
      </w:r>
    </w:p>
    <w:p>
      <w:pPr>
        <w:spacing w:line="440" w:lineRule="exact"/>
        <w:ind w:firstLine="420"/>
        <w:rPr>
          <w:highlight w:val="none"/>
        </w:rPr>
      </w:pPr>
      <w:r>
        <w:rPr>
          <w:rFonts w:hint="eastAsia"/>
          <w:highlight w:val="none"/>
        </w:rPr>
        <w:t>11.</w:t>
      </w:r>
      <w:r>
        <w:rPr>
          <w:highlight w:val="none"/>
        </w:rPr>
        <w:t>2</w:t>
      </w:r>
      <w:r>
        <w:rPr>
          <w:rFonts w:hint="eastAsia"/>
          <w:highlight w:val="none"/>
        </w:rPr>
        <w:t xml:space="preserve"> 因承包人原因不能按照本合同协议书约定的开工日期开工，项目经理应以书面形式通知分包人，推迟开工日期，分包人应无条件予以配合。</w:t>
      </w:r>
    </w:p>
    <w:p>
      <w:pPr>
        <w:spacing w:line="440" w:lineRule="exact"/>
        <w:ind w:firstLine="480" w:firstLineChars="200"/>
        <w:rPr>
          <w:rFonts w:hAnsi="宋体"/>
          <w:szCs w:val="21"/>
          <w:highlight w:val="none"/>
        </w:rPr>
      </w:pPr>
      <w:r>
        <w:rPr>
          <w:rFonts w:hint="eastAsia" w:hAnsi="宋体"/>
          <w:szCs w:val="21"/>
          <w:highlight w:val="none"/>
        </w:rPr>
        <w:t>11.3承包人根据现场实际情况制定的详细施工计划（含节点计划），分包人必须严格执行。</w:t>
      </w:r>
    </w:p>
    <w:p>
      <w:pPr>
        <w:spacing w:line="440" w:lineRule="exact"/>
        <w:ind w:firstLine="480" w:firstLineChars="200"/>
        <w:rPr>
          <w:rFonts w:hAnsi="宋体"/>
          <w:szCs w:val="21"/>
          <w:highlight w:val="none"/>
        </w:rPr>
      </w:pPr>
      <w:r>
        <w:rPr>
          <w:rFonts w:hint="eastAsia" w:hAnsi="宋体"/>
          <w:szCs w:val="21"/>
          <w:highlight w:val="none"/>
        </w:rPr>
        <w:t>11.4分包人应在收到图纸5天内，根据合同要求和分阶段工期要求及现场的实际情况编制工程总体施工计划，并报承包人审核。</w:t>
      </w:r>
    </w:p>
    <w:p>
      <w:pPr>
        <w:spacing w:line="440" w:lineRule="exact"/>
        <w:ind w:firstLine="480" w:firstLineChars="200"/>
        <w:rPr>
          <w:rFonts w:hAnsi="宋体"/>
          <w:szCs w:val="21"/>
          <w:highlight w:val="none"/>
        </w:rPr>
      </w:pPr>
      <w:r>
        <w:rPr>
          <w:rFonts w:hint="eastAsia" w:hAnsi="宋体"/>
          <w:szCs w:val="21"/>
          <w:highlight w:val="none"/>
        </w:rPr>
        <w:t>11.5分包人在接到承包人下达的年度、季度施工计划5天内，向承包人以书面形式提出细化的施工进度计划和保证措施，并于每月20日前提出下一个月的工程进度计划。</w:t>
      </w:r>
    </w:p>
    <w:p>
      <w:pPr>
        <w:spacing w:line="440" w:lineRule="exact"/>
        <w:ind w:firstLine="480" w:firstLineChars="200"/>
        <w:rPr>
          <w:rFonts w:hAnsi="宋体"/>
          <w:szCs w:val="21"/>
          <w:highlight w:val="none"/>
        </w:rPr>
      </w:pPr>
      <w:r>
        <w:rPr>
          <w:rFonts w:hint="eastAsia" w:hAnsi="宋体"/>
          <w:szCs w:val="21"/>
          <w:highlight w:val="none"/>
        </w:rPr>
        <w:t>11.6分包人必须按承包人下达的施工计划完成任务，如承包人认为分包人的施工进度不能满足本合同的要求，承包人有权要求分包人采取必要的赶工措施，若分包人在接到承包人赶工要求两日内未采取或者采取的必要赶工措施明显无法达到工期要求，则承包人有权直接解除合同，自解除合同通知到达分包人，合同自动终止。由此造成的承包人损失均由分包人承担。</w:t>
      </w:r>
    </w:p>
    <w:p>
      <w:pPr>
        <w:spacing w:line="440" w:lineRule="exact"/>
        <w:ind w:firstLine="480" w:firstLineChars="200"/>
        <w:rPr>
          <w:rFonts w:hAnsi="宋体"/>
          <w:szCs w:val="21"/>
          <w:highlight w:val="none"/>
        </w:rPr>
      </w:pPr>
      <w:r>
        <w:rPr>
          <w:rFonts w:hint="eastAsia" w:hAnsi="宋体"/>
          <w:szCs w:val="21"/>
          <w:highlight w:val="none"/>
        </w:rPr>
        <w:t>11.7分包人不得以设计变更经济签证尚未确认为由，停止、延误变更部分的施工；如发生，应承担工期延误的违约责任。因分包人原因造成工期延误（包括但不限于分包人以亏损为由要求赔偿未得到满足进行的阻工、停工；分包人要求承包人承担或补偿的非由承包人原因引起的各种事故责任），承包人将追究分包人违约责任。</w:t>
      </w:r>
    </w:p>
    <w:p>
      <w:pPr>
        <w:spacing w:line="440" w:lineRule="exact"/>
        <w:ind w:firstLine="420"/>
        <w:rPr>
          <w:highlight w:val="none"/>
        </w:rPr>
      </w:pPr>
      <w:r>
        <w:rPr>
          <w:rFonts w:hint="eastAsia" w:hAnsi="宋体"/>
          <w:szCs w:val="21"/>
          <w:highlight w:val="none"/>
        </w:rPr>
        <w:t>11.8 因分包人劳动力不足、物资设备计划准备不到位、组织管理不到位等原因造成的工期延误，给承包人造成的直接或间接损失，由分包人承担。本合同执行过程中，如遇发包人调整工期，本合同工期相应调整。若分包人严重影响承包人施工目标工期的，承包人有权变更或者解除合同，并重新挑选施工队伍进场。分包人应在接到承包人退场通知书后3日内退场完毕。给承包人造成的损失、责任及承包人重新挑选施工队伍进场施工的费用以及承包人所接受的罚金、索赔等费用与责任，均由分包人承担。</w:t>
      </w:r>
    </w:p>
    <w:p>
      <w:pPr>
        <w:spacing w:line="440" w:lineRule="exact"/>
        <w:ind w:firstLine="435"/>
        <w:rPr>
          <w:highlight w:val="none"/>
        </w:rPr>
      </w:pPr>
      <w:r>
        <w:rPr>
          <w:rFonts w:hint="eastAsia"/>
          <w:highlight w:val="none"/>
        </w:rPr>
        <w:t>11.9 双方约定工期顺延的其他情况：</w:t>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p>
    <w:p>
      <w:pPr>
        <w:pStyle w:val="3"/>
        <w:spacing w:before="0" w:after="0" w:line="440" w:lineRule="exact"/>
        <w:jc w:val="both"/>
        <w:rPr>
          <w:highlight w:val="none"/>
        </w:rPr>
      </w:pPr>
      <w:r>
        <w:rPr>
          <w:rFonts w:hint="eastAsia"/>
          <w:highlight w:val="none"/>
        </w:rPr>
        <w:t>四、质量与安全</w:t>
      </w:r>
    </w:p>
    <w:p>
      <w:pPr>
        <w:pStyle w:val="4"/>
        <w:spacing w:before="0" w:after="0" w:line="440" w:lineRule="exact"/>
        <w:ind w:firstLine="321" w:firstLineChars="100"/>
        <w:jc w:val="both"/>
        <w:rPr>
          <w:highlight w:val="none"/>
        </w:rPr>
      </w:pPr>
      <w:r>
        <w:rPr>
          <w:rFonts w:hint="eastAsia"/>
          <w:highlight w:val="none"/>
        </w:rPr>
        <w:t>12、质量检查与验收</w:t>
      </w:r>
    </w:p>
    <w:p>
      <w:pPr>
        <w:spacing w:line="440" w:lineRule="exact"/>
        <w:ind w:firstLine="480" w:firstLineChars="200"/>
        <w:rPr>
          <w:rFonts w:hAnsi="宋体"/>
          <w:color w:val="000000"/>
          <w:szCs w:val="21"/>
          <w:highlight w:val="none"/>
        </w:rPr>
      </w:pPr>
      <w:r>
        <w:rPr>
          <w:rFonts w:hint="eastAsia"/>
          <w:highlight w:val="none"/>
        </w:rPr>
        <w:t xml:space="preserve">12.1 </w:t>
      </w:r>
      <w:r>
        <w:rPr>
          <w:rFonts w:hint="eastAsia" w:hAnsi="宋体" w:cs="宋体"/>
          <w:szCs w:val="21"/>
          <w:highlight w:val="none"/>
        </w:rPr>
        <w:t>工程质量应达到以下标准：须达到承包人与发包人签订的施工总承包合同约定质量标准的要求。</w:t>
      </w:r>
    </w:p>
    <w:p>
      <w:pPr>
        <w:spacing w:line="440" w:lineRule="exact"/>
        <w:ind w:firstLine="420"/>
        <w:rPr>
          <w:rFonts w:hAnsi="宋体"/>
          <w:color w:val="000000"/>
          <w:szCs w:val="21"/>
          <w:highlight w:val="none"/>
        </w:rPr>
      </w:pPr>
      <w:r>
        <w:rPr>
          <w:rFonts w:hint="eastAsia"/>
          <w:highlight w:val="none"/>
        </w:rPr>
        <w:t>双方关于分包工程质量标准的其他约定：</w:t>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p>
    <w:p>
      <w:pPr>
        <w:spacing w:line="440" w:lineRule="exact"/>
        <w:ind w:firstLine="480" w:firstLineChars="200"/>
        <w:rPr>
          <w:rFonts w:hAnsi="宋体" w:cs="宋体"/>
          <w:szCs w:val="21"/>
          <w:highlight w:val="none"/>
        </w:rPr>
      </w:pPr>
      <w:r>
        <w:rPr>
          <w:rFonts w:hint="eastAsia" w:hAnsi="宋体" w:cs="宋体"/>
          <w:szCs w:val="21"/>
          <w:highlight w:val="none"/>
        </w:rPr>
        <w:t>12.2分包人必须按本工程采用的施工技术规范、设计文件、承包人提供的施工图、承包人代表、项目经理依据合同发出的指令及技术交底精心组织施工，加强质量控制，确保工程质量，按时完成本合同工程施工及其缺陷的修复，并随时接受承包人和监理工程师的抽查和重点检查，并提供必要的检查条件，承包人和监理工程师发现分包人工程质量不合格或存在隐患时，有权下发整改通知单，分包人不得拒收并按承包人代表的要求返工、修改。承包人、现场监理进行检查和检验，不免除或减轻分包人按照合同约定应当承担的责任。</w:t>
      </w:r>
    </w:p>
    <w:p>
      <w:pPr>
        <w:spacing w:line="440" w:lineRule="exact"/>
        <w:ind w:firstLine="480" w:firstLineChars="200"/>
        <w:rPr>
          <w:rFonts w:hAnsi="宋体" w:cs="宋体"/>
          <w:szCs w:val="21"/>
          <w:highlight w:val="none"/>
        </w:rPr>
      </w:pPr>
      <w:r>
        <w:rPr>
          <w:rFonts w:hint="eastAsia" w:hAnsi="宋体" w:cs="宋体"/>
          <w:szCs w:val="21"/>
          <w:highlight w:val="none"/>
        </w:rPr>
        <w:t>12.3分包人在每道工序完成并自检合格后通知承包人，承包人验收合格后通知现场监理进行验收检查。每道工序经承包人、现场监理验收合格后方能进行下道工序施工，分包人安排人员及车辆进行配合。</w:t>
      </w:r>
    </w:p>
    <w:p>
      <w:pPr>
        <w:spacing w:line="440" w:lineRule="exact"/>
        <w:ind w:firstLine="480" w:firstLineChars="200"/>
        <w:rPr>
          <w:rFonts w:hAnsi="宋体" w:cs="宋体"/>
          <w:szCs w:val="21"/>
          <w:highlight w:val="none"/>
        </w:rPr>
      </w:pPr>
      <w:r>
        <w:rPr>
          <w:rFonts w:hint="eastAsia" w:hAnsi="宋体" w:cs="宋体"/>
          <w:szCs w:val="21"/>
          <w:highlight w:val="none"/>
        </w:rPr>
        <w:t>12.4分包人在施工现场必须按要求建立完善的质量保证体系，并设立专职质检人员，负责工程质量的管理和检查。分包人的质量管理（包括质量保证体系、质量保证措施、过程控制）及其资料要符合承包人要求。</w:t>
      </w:r>
    </w:p>
    <w:p>
      <w:pPr>
        <w:spacing w:line="440" w:lineRule="exact"/>
        <w:ind w:firstLine="480" w:firstLineChars="200"/>
        <w:rPr>
          <w:rFonts w:hAnsi="宋体" w:cs="宋体"/>
          <w:szCs w:val="21"/>
          <w:highlight w:val="none"/>
        </w:rPr>
      </w:pPr>
      <w:r>
        <w:rPr>
          <w:rFonts w:hint="eastAsia" w:hAnsi="宋体" w:cs="宋体"/>
          <w:szCs w:val="21"/>
          <w:highlight w:val="none"/>
        </w:rPr>
        <w:t>12.5分包人应积极配合承包人实施工程全面创优，分包人要服从承包人有关此方面的安排和部署（包括技术措施），由此而增加的费用，由分包人自行承担。</w:t>
      </w:r>
    </w:p>
    <w:p>
      <w:pPr>
        <w:spacing w:line="440" w:lineRule="exact"/>
        <w:ind w:firstLine="480" w:firstLineChars="200"/>
        <w:rPr>
          <w:rFonts w:hAnsi="宋体" w:cs="宋体"/>
          <w:szCs w:val="21"/>
          <w:highlight w:val="none"/>
        </w:rPr>
      </w:pPr>
      <w:r>
        <w:rPr>
          <w:rFonts w:hint="eastAsia" w:hAnsi="宋体" w:cs="宋体"/>
          <w:szCs w:val="21"/>
          <w:highlight w:val="none"/>
        </w:rPr>
        <w:t>12.6施工过程中分包人严格按样板领路施工。分包人不按样板领路施工，或样板未通过承包人验收就展开大面积施工的，视分包人违约，每发生一次，分包人承担</w:t>
      </w:r>
      <w:r>
        <w:rPr>
          <w:rFonts w:hint="eastAsia" w:hAnsi="宋体" w:cs="宋体"/>
          <w:szCs w:val="21"/>
          <w:highlight w:val="none"/>
          <w:u w:val="single"/>
        </w:rPr>
        <w:t>5000</w:t>
      </w:r>
      <w:r>
        <w:rPr>
          <w:rFonts w:hint="eastAsia" w:hAnsi="宋体" w:cs="宋体"/>
          <w:szCs w:val="21"/>
          <w:highlight w:val="none"/>
        </w:rPr>
        <w:t>元的违约金；分包人展开大面积施工后，如经承包人、监理方共同评定认为其质量水平明显低于样板水平时，分包人需承担</w:t>
      </w:r>
      <w:r>
        <w:rPr>
          <w:rFonts w:hint="eastAsia" w:hAnsi="宋体" w:cs="宋体"/>
          <w:szCs w:val="21"/>
          <w:highlight w:val="none"/>
          <w:u w:val="single"/>
        </w:rPr>
        <w:t>10000</w:t>
      </w:r>
      <w:r>
        <w:rPr>
          <w:rFonts w:hint="eastAsia" w:hAnsi="宋体" w:cs="宋体"/>
          <w:szCs w:val="21"/>
          <w:highlight w:val="none"/>
        </w:rPr>
        <w:t>元的违约金/次，同时分包人必须对该分项限期整改至达标，分包人承担所发生的全部费用，延误的工期不予顺延。</w:t>
      </w:r>
    </w:p>
    <w:p>
      <w:pPr>
        <w:spacing w:line="440" w:lineRule="exact"/>
        <w:ind w:firstLine="480" w:firstLineChars="200"/>
        <w:rPr>
          <w:rFonts w:hAnsi="宋体" w:cs="宋体"/>
          <w:szCs w:val="21"/>
          <w:highlight w:val="none"/>
        </w:rPr>
      </w:pPr>
      <w:r>
        <w:rPr>
          <w:rFonts w:hint="eastAsia" w:hAnsi="宋体" w:cs="宋体"/>
          <w:szCs w:val="21"/>
          <w:highlight w:val="none"/>
        </w:rPr>
        <w:t>12.7分包人必须按承包人要求做好单项、单位、分部、分项、检验批工程的质量记录、评定工作，保证工程质量评定的真实性、准确性、及时性。</w:t>
      </w:r>
    </w:p>
    <w:p>
      <w:pPr>
        <w:spacing w:line="440" w:lineRule="exact"/>
        <w:ind w:firstLine="480" w:firstLineChars="200"/>
        <w:rPr>
          <w:rFonts w:hAnsi="宋体" w:cs="宋体"/>
          <w:szCs w:val="21"/>
          <w:highlight w:val="none"/>
        </w:rPr>
      </w:pPr>
      <w:r>
        <w:rPr>
          <w:rFonts w:hint="eastAsia" w:hAnsi="宋体" w:cs="宋体"/>
          <w:szCs w:val="21"/>
          <w:highlight w:val="none"/>
        </w:rPr>
        <w:t>12.8分包人如果出现质量事故，必须第一时间上报承包人，同时按国家有关规定进行处理。</w:t>
      </w:r>
    </w:p>
    <w:p>
      <w:pPr>
        <w:spacing w:line="440" w:lineRule="exact"/>
        <w:ind w:firstLine="420"/>
        <w:rPr>
          <w:highlight w:val="none"/>
        </w:rPr>
      </w:pPr>
      <w:r>
        <w:rPr>
          <w:rFonts w:hint="eastAsia" w:hAnsi="宋体" w:cs="宋体"/>
          <w:szCs w:val="21"/>
          <w:highlight w:val="none"/>
        </w:rPr>
        <w:t>12.9在发包人组织的验收过程中及质保期内，发现因分包人原因造成的质量瑕疵及缺陷的，分包人应按承包人要求进行返工或修复直至消除缺陷，并承担相应返工、维修费用和违约责任。承包人也可另行安排人员进行返工修复消除缺陷，由此产生的相关费用，承包人有权自分包人工程尾款及质保金中扣除，无需经过分包人签字确认。</w:t>
      </w:r>
    </w:p>
    <w:p>
      <w:pPr>
        <w:spacing w:line="440" w:lineRule="exact"/>
        <w:rPr>
          <w:highlight w:val="none"/>
        </w:rPr>
      </w:pPr>
    </w:p>
    <w:p>
      <w:pPr>
        <w:pStyle w:val="3"/>
        <w:spacing w:before="0" w:after="0" w:line="440" w:lineRule="exact"/>
        <w:jc w:val="both"/>
        <w:rPr>
          <w:highlight w:val="none"/>
        </w:rPr>
      </w:pPr>
      <w:r>
        <w:rPr>
          <w:rFonts w:hint="eastAsia"/>
          <w:highlight w:val="none"/>
        </w:rPr>
        <w:t>五、合同价款与支付</w:t>
      </w:r>
    </w:p>
    <w:p>
      <w:pPr>
        <w:pStyle w:val="4"/>
        <w:spacing w:before="0" w:after="0" w:line="440" w:lineRule="exact"/>
        <w:ind w:firstLine="321" w:firstLineChars="100"/>
        <w:jc w:val="both"/>
        <w:rPr>
          <w:highlight w:val="none"/>
        </w:rPr>
      </w:pPr>
      <w:r>
        <w:rPr>
          <w:rFonts w:hint="eastAsia"/>
          <w:highlight w:val="none"/>
        </w:rPr>
        <w:t>13、合同价款及其调整</w:t>
      </w:r>
    </w:p>
    <w:p>
      <w:pPr>
        <w:widowControl/>
        <w:spacing w:line="440" w:lineRule="exact"/>
        <w:rPr>
          <w:rFonts w:hAnsi="宋体" w:cs="宋体"/>
          <w:szCs w:val="21"/>
          <w:highlight w:val="none"/>
        </w:rPr>
      </w:pPr>
      <w:r>
        <w:rPr>
          <w:rFonts w:hint="eastAsia"/>
          <w:highlight w:val="none"/>
        </w:rPr>
        <w:t>13.1 本合同价款采用</w:t>
      </w:r>
      <w:r>
        <w:rPr>
          <w:rFonts w:hint="eastAsia"/>
          <w:highlight w:val="none"/>
          <w:u w:val="single"/>
        </w:rPr>
        <w:t>（1）</w:t>
      </w:r>
      <w:r>
        <w:rPr>
          <w:rFonts w:hint="eastAsia"/>
          <w:highlight w:val="none"/>
        </w:rPr>
        <w:t>种方式确定，最终价款根据审计部门审核确认的价款进行结算。</w:t>
      </w:r>
    </w:p>
    <w:p>
      <w:pPr>
        <w:widowControl/>
        <w:numPr>
          <w:ilvl w:val="0"/>
          <w:numId w:val="4"/>
        </w:numPr>
        <w:spacing w:line="440" w:lineRule="exact"/>
        <w:ind w:firstLine="600" w:firstLineChars="250"/>
        <w:rPr>
          <w:rFonts w:hAnsi="宋体" w:cs="宋体"/>
          <w:szCs w:val="21"/>
          <w:highlight w:val="none"/>
        </w:rPr>
      </w:pPr>
      <w:r>
        <w:rPr>
          <w:rFonts w:hint="eastAsia" w:hAnsi="宋体" w:cs="宋体"/>
          <w:szCs w:val="21"/>
          <w:highlight w:val="none"/>
        </w:rPr>
        <w:t>采用固定综合单价承包的，合同价款包括的风险范围：人工、材料、设备的价格波动等一切风险均考虑在合同单价中，综合单价不予调整。</w:t>
      </w:r>
    </w:p>
    <w:p>
      <w:pPr>
        <w:widowControl/>
        <w:spacing w:line="440" w:lineRule="exact"/>
        <w:ind w:firstLine="720" w:firstLineChars="300"/>
        <w:rPr>
          <w:rFonts w:hAnsi="宋体" w:cs="宋体"/>
          <w:szCs w:val="21"/>
          <w:highlight w:val="none"/>
        </w:rPr>
      </w:pPr>
      <w:r>
        <w:rPr>
          <w:rFonts w:hint="eastAsia" w:hAnsi="宋体" w:cs="宋体"/>
          <w:szCs w:val="21"/>
          <w:highlight w:val="none"/>
        </w:rPr>
        <w:t>包工、包料（甲供材除外）、包机具。乙方为完成合同规定的全部工作需支付的一切费用，如人工费、材料费、机具费、调遣费、租赁费、原材料检测费、工程资料费、垃圾清运费、临时住房费、加班费、临时设施费、拆除及维护费、生活及施工水电费、炊事员工资、生活区卫生费、文明施工费、车辆进出保洁费和拟获得的利润，以及税金，并考虑应承担的风险（如安全、交通事故、社会纠纷等）的一切费用。</w:t>
      </w:r>
    </w:p>
    <w:p>
      <w:pPr>
        <w:widowControl/>
        <w:spacing w:line="440" w:lineRule="exact"/>
        <w:ind w:firstLine="600" w:firstLineChars="250"/>
        <w:rPr>
          <w:rFonts w:hAnsi="宋体" w:cs="宋体"/>
          <w:szCs w:val="21"/>
          <w:highlight w:val="none"/>
        </w:rPr>
      </w:pPr>
      <w:r>
        <w:rPr>
          <w:rFonts w:hint="eastAsia" w:hAnsi="宋体" w:cs="宋体"/>
          <w:szCs w:val="21"/>
          <w:highlight w:val="none"/>
        </w:rPr>
        <w:t>风险费用的计算方法：不采用</w:t>
      </w:r>
    </w:p>
    <w:p>
      <w:pPr>
        <w:widowControl/>
        <w:spacing w:line="440" w:lineRule="exact"/>
        <w:ind w:firstLine="600" w:firstLineChars="250"/>
        <w:rPr>
          <w:rFonts w:hAnsi="宋体" w:cs="宋体"/>
          <w:szCs w:val="21"/>
          <w:highlight w:val="none"/>
        </w:rPr>
      </w:pPr>
      <w:r>
        <w:rPr>
          <w:rFonts w:hint="eastAsia" w:hAnsi="宋体" w:cs="宋体"/>
          <w:szCs w:val="21"/>
          <w:highlight w:val="none"/>
        </w:rPr>
        <w:t>风险范围以外合同价款调整方法为：不调整</w:t>
      </w:r>
    </w:p>
    <w:p>
      <w:pPr>
        <w:widowControl/>
        <w:spacing w:line="440" w:lineRule="exact"/>
        <w:ind w:firstLine="600" w:firstLineChars="250"/>
        <w:rPr>
          <w:rFonts w:hAnsi="宋体" w:cs="宋体"/>
          <w:szCs w:val="21"/>
          <w:highlight w:val="none"/>
        </w:rPr>
      </w:pPr>
      <w:r>
        <w:rPr>
          <w:rFonts w:hint="eastAsia" w:hAnsi="宋体" w:cs="宋体"/>
          <w:szCs w:val="21"/>
          <w:highlight w:val="none"/>
        </w:rPr>
        <w:t>（2）采用可调价格的，合同价款的调整方法：不采用</w:t>
      </w:r>
    </w:p>
    <w:p>
      <w:pPr>
        <w:widowControl/>
        <w:spacing w:line="440" w:lineRule="exact"/>
        <w:ind w:firstLine="600" w:firstLineChars="250"/>
        <w:rPr>
          <w:rFonts w:hAnsi="宋体" w:cs="宋体"/>
          <w:szCs w:val="21"/>
          <w:highlight w:val="none"/>
        </w:rPr>
      </w:pPr>
      <w:r>
        <w:rPr>
          <w:rFonts w:hint="eastAsia" w:hAnsi="宋体" w:cs="宋体"/>
          <w:szCs w:val="21"/>
          <w:highlight w:val="none"/>
        </w:rPr>
        <w:t>（3）采用成本加酬金的，有关成本加酬金的约定为：不采用</w:t>
      </w:r>
    </w:p>
    <w:p>
      <w:pPr>
        <w:widowControl/>
        <w:spacing w:line="440" w:lineRule="exact"/>
        <w:rPr>
          <w:rFonts w:hAnsi="宋体" w:cs="宋体"/>
          <w:szCs w:val="21"/>
          <w:highlight w:val="none"/>
          <w:u w:val="single"/>
        </w:rPr>
      </w:pPr>
      <w:r>
        <w:rPr>
          <w:rFonts w:hint="eastAsia" w:hAnsi="宋体" w:cs="宋体"/>
          <w:szCs w:val="21"/>
          <w:highlight w:val="none"/>
        </w:rPr>
        <w:t>13.2双方约定合同价款的其他调整因素：</w:t>
      </w:r>
      <w:r>
        <w:rPr>
          <w:rFonts w:hint="eastAsia" w:hAnsi="宋体" w:cs="宋体"/>
          <w:szCs w:val="21"/>
          <w:highlight w:val="none"/>
          <w:u w:val="single"/>
        </w:rPr>
        <w:t>/          。</w:t>
      </w:r>
    </w:p>
    <w:p>
      <w:pPr>
        <w:spacing w:line="440" w:lineRule="exact"/>
        <w:ind w:left="240" w:leftChars="100" w:firstLine="482" w:firstLineChars="200"/>
        <w:rPr>
          <w:b/>
          <w:highlight w:val="none"/>
        </w:rPr>
      </w:pPr>
    </w:p>
    <w:p>
      <w:pPr>
        <w:pStyle w:val="4"/>
        <w:spacing w:before="0" w:after="0" w:line="440" w:lineRule="exact"/>
        <w:ind w:firstLine="321" w:firstLineChars="100"/>
        <w:jc w:val="both"/>
        <w:rPr>
          <w:highlight w:val="none"/>
        </w:rPr>
      </w:pPr>
      <w:r>
        <w:rPr>
          <w:rFonts w:hint="eastAsia"/>
          <w:highlight w:val="none"/>
        </w:rPr>
        <w:t>14、工程量确认</w:t>
      </w:r>
    </w:p>
    <w:p>
      <w:pPr>
        <w:spacing w:line="440" w:lineRule="exact"/>
        <w:rPr>
          <w:highlight w:val="none"/>
        </w:rPr>
      </w:pPr>
      <w:r>
        <w:rPr>
          <w:rFonts w:hint="eastAsia"/>
          <w:highlight w:val="none"/>
        </w:rPr>
        <w:t>14.1 分包人向承包人提交已完工程量报告的时间：</w:t>
      </w:r>
      <w:r>
        <w:rPr>
          <w:rFonts w:hint="eastAsia" w:hAnsi="宋体" w:cs="宋体"/>
          <w:szCs w:val="21"/>
          <w:highlight w:val="none"/>
          <w:u w:val="single"/>
        </w:rPr>
        <w:t>每月15日前</w:t>
      </w:r>
      <w:r>
        <w:rPr>
          <w:rFonts w:hint="eastAsia"/>
          <w:highlight w:val="none"/>
        </w:rPr>
        <w:t>，承包人接到报告后7天内自行按设计图纸计量或报经工程师计量。承包人在自行计量或由工程师计量前24小时应通知分包人，分包人为计量提供便利条件并派人参加。分包人收到通知后不参加计量，计量结果有效，作为工程价款支付的依据。</w:t>
      </w:r>
    </w:p>
    <w:p>
      <w:pPr>
        <w:spacing w:line="440" w:lineRule="exact"/>
        <w:ind w:firstLine="435"/>
        <w:rPr>
          <w:highlight w:val="none"/>
        </w:rPr>
      </w:pPr>
      <w:r>
        <w:rPr>
          <w:rFonts w:hint="eastAsia"/>
          <w:highlight w:val="none"/>
        </w:rPr>
        <w:t>14</w:t>
      </w:r>
      <w:r>
        <w:rPr>
          <w:highlight w:val="none"/>
        </w:rPr>
        <w:t>.</w:t>
      </w:r>
      <w:r>
        <w:rPr>
          <w:rFonts w:hint="eastAsia"/>
          <w:highlight w:val="none"/>
        </w:rPr>
        <w:t>2分包人未按约定的时间向承包人提交已完工程量报告，或其所提交的报告不符合承包人要求且未做整改的，承包人不予计量。</w:t>
      </w:r>
    </w:p>
    <w:p>
      <w:pPr>
        <w:spacing w:line="440" w:lineRule="exact"/>
        <w:ind w:firstLine="435"/>
        <w:rPr>
          <w:highlight w:val="none"/>
        </w:rPr>
      </w:pPr>
      <w:r>
        <w:rPr>
          <w:rFonts w:hint="eastAsia"/>
          <w:highlight w:val="none"/>
        </w:rPr>
        <w:t>14</w:t>
      </w:r>
      <w:r>
        <w:rPr>
          <w:highlight w:val="none"/>
        </w:rPr>
        <w:t>.</w:t>
      </w:r>
      <w:r>
        <w:rPr>
          <w:rFonts w:hint="eastAsia"/>
          <w:highlight w:val="none"/>
        </w:rPr>
        <w:t>3 对分包人自行超出设计图纸范围和因分包人原因造成返工的工程量，承包人不予计量。</w:t>
      </w:r>
    </w:p>
    <w:p>
      <w:pPr>
        <w:spacing w:line="440" w:lineRule="exact"/>
        <w:ind w:firstLine="480" w:firstLineChars="200"/>
        <w:rPr>
          <w:rFonts w:hAnsi="宋体" w:cs="宋体"/>
          <w:szCs w:val="21"/>
          <w:highlight w:val="none"/>
        </w:rPr>
      </w:pPr>
      <w:r>
        <w:rPr>
          <w:rFonts w:hint="eastAsia"/>
          <w:highlight w:val="none"/>
        </w:rPr>
        <w:t>14.4计量方式：按</w:t>
      </w:r>
      <w:r>
        <w:rPr>
          <w:rFonts w:hint="eastAsia"/>
          <w:highlight w:val="none"/>
          <w:lang w:val="zh-CN"/>
        </w:rPr>
        <w:t>实际发生的有效工程量进行计量。</w:t>
      </w:r>
      <w:r>
        <w:rPr>
          <w:rFonts w:hint="eastAsia"/>
          <w:highlight w:val="none"/>
        </w:rPr>
        <w:t>乙方不得以工程进度抢工或工期延误、法定节假日加班、工程量增减、材料价格浮动等一切因素影响而要求甲方变更合同单价。对于新增项目，合同内有相同子目的，执行原合同相同子目单价，合同内有类似子目的，参照类似子目单价，合同内没有的，由双方共同商定，但不得高于原合同单价水平及市场同类工程价格。</w:t>
      </w:r>
    </w:p>
    <w:p>
      <w:pPr>
        <w:spacing w:line="440" w:lineRule="exact"/>
        <w:ind w:firstLine="435"/>
        <w:rPr>
          <w:highlight w:val="none"/>
        </w:rPr>
      </w:pPr>
    </w:p>
    <w:p>
      <w:pPr>
        <w:pStyle w:val="4"/>
        <w:spacing w:before="0" w:after="0" w:line="440" w:lineRule="exact"/>
        <w:ind w:firstLine="321" w:firstLineChars="100"/>
        <w:jc w:val="both"/>
        <w:rPr>
          <w:highlight w:val="none"/>
        </w:rPr>
      </w:pPr>
      <w:r>
        <w:rPr>
          <w:rFonts w:hint="eastAsia"/>
          <w:highlight w:val="none"/>
        </w:rPr>
        <w:t>15、合同价款的支付</w:t>
      </w:r>
    </w:p>
    <w:p>
      <w:pPr>
        <w:tabs>
          <w:tab w:val="left" w:pos="5880"/>
        </w:tabs>
        <w:spacing w:after="120" w:line="440" w:lineRule="exact"/>
        <w:ind w:firstLine="544" w:firstLineChars="227"/>
        <w:rPr>
          <w:rFonts w:hAnsi="宋体"/>
          <w:snapToGrid w:val="0"/>
          <w:szCs w:val="21"/>
          <w:highlight w:val="none"/>
          <w:u w:val="single"/>
        </w:rPr>
      </w:pPr>
      <w:r>
        <w:rPr>
          <w:rFonts w:hint="eastAsia"/>
          <w:bCs/>
          <w:highlight w:val="none"/>
        </w:rPr>
        <w:t>15</w:t>
      </w:r>
      <w:r>
        <w:rPr>
          <w:rFonts w:hint="eastAsia"/>
          <w:highlight w:val="none"/>
        </w:rPr>
        <w:t>.1 承包人向分包人支付工程款（进度款）的时间和方式</w:t>
      </w:r>
      <w:r>
        <w:rPr>
          <w:rFonts w:hint="eastAsia"/>
          <w:highlight w:val="none"/>
          <w:u w:val="single"/>
        </w:rPr>
        <w:t>：无预付款，完工后并验收合格后付至进度产值的70%，审计结束后付至95%，余款待一年质保期满后付清。</w:t>
      </w:r>
    </w:p>
    <w:p>
      <w:pPr>
        <w:spacing w:line="440" w:lineRule="exact"/>
        <w:ind w:firstLine="542" w:firstLineChars="226"/>
        <w:rPr>
          <w:bCs/>
          <w:highlight w:val="none"/>
        </w:rPr>
      </w:pPr>
      <w:r>
        <w:rPr>
          <w:rFonts w:hint="eastAsia"/>
          <w:bCs/>
          <w:highlight w:val="none"/>
        </w:rPr>
        <w:t>15.2</w:t>
      </w:r>
      <w:r>
        <w:rPr>
          <w:rFonts w:hint="eastAsia"/>
          <w:highlight w:val="none"/>
        </w:rPr>
        <w:t>乙方应该按本协议约定向甲方提供与结算金额等额、内容一致、合法有效的增值税专用发票后付款，因乙方原因，无法向甲方开具协议约定发票，乙方应</w:t>
      </w:r>
      <w:r>
        <w:rPr>
          <w:rFonts w:hint="eastAsia"/>
          <w:highlight w:val="none"/>
          <w:lang w:val="zh-CN"/>
        </w:rPr>
        <w:t>承担因此造成的后果</w:t>
      </w:r>
      <w:r>
        <w:rPr>
          <w:rFonts w:hint="eastAsia"/>
          <w:highlight w:val="none"/>
        </w:rPr>
        <w:t>。乙方应遵守国家法律规定，不得虚开增值税专用发票，否则自行承担相应法律责任。</w:t>
      </w:r>
    </w:p>
    <w:p>
      <w:pPr>
        <w:spacing w:line="440" w:lineRule="exact"/>
        <w:rPr>
          <w:rFonts w:hAnsi="宋体" w:cs="宋体"/>
          <w:b/>
          <w:bCs/>
          <w:sz w:val="32"/>
          <w:szCs w:val="28"/>
          <w:highlight w:val="none"/>
        </w:rPr>
      </w:pPr>
      <w:r>
        <w:rPr>
          <w:rFonts w:hint="eastAsia" w:hAnsi="宋体" w:cs="宋体"/>
          <w:b/>
          <w:bCs/>
          <w:sz w:val="32"/>
          <w:szCs w:val="28"/>
          <w:highlight w:val="none"/>
        </w:rPr>
        <w:t>16、履约保证金</w:t>
      </w:r>
    </w:p>
    <w:p>
      <w:pPr>
        <w:spacing w:line="440" w:lineRule="exact"/>
        <w:ind w:firstLine="480" w:firstLineChars="200"/>
        <w:rPr>
          <w:rFonts w:hAnsi="宋体" w:cs="宋体"/>
          <w:szCs w:val="21"/>
          <w:highlight w:val="none"/>
        </w:rPr>
      </w:pPr>
      <w:r>
        <w:rPr>
          <w:rFonts w:hint="eastAsia" w:hAnsi="宋体" w:cs="宋体"/>
          <w:szCs w:val="21"/>
          <w:highlight w:val="none"/>
        </w:rPr>
        <w:t>16.1履约保证金</w:t>
      </w:r>
    </w:p>
    <w:p>
      <w:pPr>
        <w:spacing w:line="440" w:lineRule="exact"/>
        <w:ind w:firstLine="480" w:firstLineChars="200"/>
        <w:rPr>
          <w:rFonts w:hAnsi="宋体" w:cs="宋体"/>
          <w:szCs w:val="21"/>
          <w:highlight w:val="none"/>
        </w:rPr>
      </w:pPr>
      <w:r>
        <w:rPr>
          <w:rFonts w:hint="eastAsia" w:hAnsi="宋体"/>
          <w:szCs w:val="21"/>
          <w:highlight w:val="none"/>
        </w:rPr>
        <w:t>16.1.1合同签订之前，分包人必须向承包人交纳中标价的</w:t>
      </w:r>
      <w:r>
        <w:rPr>
          <w:rFonts w:hint="eastAsia" w:hAnsi="宋体"/>
          <w:szCs w:val="21"/>
          <w:highlight w:val="none"/>
          <w:u w:val="single"/>
        </w:rPr>
        <w:t>5</w:t>
      </w:r>
      <w:r>
        <w:rPr>
          <w:rFonts w:hint="eastAsia" w:hAnsi="宋体"/>
          <w:szCs w:val="21"/>
          <w:highlight w:val="none"/>
        </w:rPr>
        <w:t>%即</w:t>
      </w:r>
      <w:r>
        <w:rPr>
          <w:rFonts w:hint="eastAsia" w:hAnsi="宋体"/>
          <w:szCs w:val="21"/>
          <w:highlight w:val="none"/>
          <w:u w:val="single"/>
        </w:rPr>
        <w:t xml:space="preserve">/ </w:t>
      </w:r>
      <w:r>
        <w:rPr>
          <w:rFonts w:hint="eastAsia" w:hAnsi="宋体"/>
          <w:szCs w:val="21"/>
          <w:highlight w:val="none"/>
        </w:rPr>
        <w:t>元</w:t>
      </w:r>
      <w:r>
        <w:rPr>
          <w:rFonts w:hint="eastAsia" w:hAnsi="宋体" w:cs="宋体"/>
          <w:szCs w:val="21"/>
          <w:highlight w:val="none"/>
        </w:rPr>
        <w:t>履约保证金，未足额缴纳履约保证金的，承包人有权解除本合同。分包人全面履行合同完毕，无其他违约责任且通过发包人及承包人的工程竣工验收后，承包人不计利息返还。</w:t>
      </w:r>
    </w:p>
    <w:p>
      <w:pPr>
        <w:spacing w:line="440" w:lineRule="exact"/>
        <w:ind w:firstLine="480" w:firstLineChars="200"/>
        <w:rPr>
          <w:rFonts w:hAnsi="宋体"/>
          <w:szCs w:val="21"/>
          <w:highlight w:val="none"/>
        </w:rPr>
      </w:pPr>
      <w:r>
        <w:rPr>
          <w:rFonts w:hint="eastAsia" w:hAnsi="宋体" w:cs="宋体"/>
          <w:szCs w:val="21"/>
          <w:highlight w:val="none"/>
        </w:rPr>
        <w:t>16.1.2</w:t>
      </w:r>
      <w:r>
        <w:rPr>
          <w:rFonts w:hint="eastAsia" w:hAnsi="宋体" w:cs="宋体"/>
          <w:szCs w:val="21"/>
          <w:highlight w:val="none"/>
          <w:lang w:val="zh-CN"/>
        </w:rPr>
        <w:t>若根据合同约定或因其它任何原因使该项履约保证金被承包人扣收或经协商抵扣或用于赔偿承包人及承包人及第三方损失等情形减少而不足前一条款所指规定数目的，分包人应当在该等情形出现之日起七日内将其补足。</w:t>
      </w:r>
    </w:p>
    <w:p>
      <w:pPr>
        <w:spacing w:line="440" w:lineRule="exact"/>
        <w:ind w:firstLine="480" w:firstLineChars="200"/>
        <w:rPr>
          <w:rFonts w:hAnsi="宋体" w:cs="宋体"/>
          <w:szCs w:val="21"/>
          <w:highlight w:val="none"/>
        </w:rPr>
      </w:pPr>
      <w:r>
        <w:rPr>
          <w:rFonts w:hint="eastAsia" w:hAnsi="宋体" w:cs="宋体"/>
          <w:szCs w:val="21"/>
          <w:highlight w:val="none"/>
        </w:rPr>
        <w:t>16.1.3若因分包人原因不能按期进场、按进度计划施工、不能继续完成本工程、给承包人工程施工和企业信誉造成了损害或存在其他违约行为，承包人有权扣除相应工程款。</w:t>
      </w:r>
    </w:p>
    <w:p>
      <w:pPr>
        <w:spacing w:line="440" w:lineRule="exact"/>
        <w:ind w:firstLine="480" w:firstLineChars="200"/>
        <w:rPr>
          <w:rFonts w:hAnsi="宋体" w:cs="宋体"/>
          <w:highlight w:val="none"/>
        </w:rPr>
      </w:pPr>
      <w:r>
        <w:rPr>
          <w:rFonts w:hint="eastAsia" w:hAnsi="宋体" w:cs="宋体"/>
          <w:szCs w:val="21"/>
          <w:highlight w:val="none"/>
        </w:rPr>
        <w:t>16.2质量保证金：按暂列合同总额</w:t>
      </w:r>
      <w:r>
        <w:rPr>
          <w:rFonts w:hint="eastAsia" w:hAnsi="宋体" w:cs="宋体"/>
          <w:szCs w:val="21"/>
          <w:highlight w:val="none"/>
          <w:u w:val="single"/>
        </w:rPr>
        <w:t>/</w:t>
      </w:r>
      <w:r>
        <w:rPr>
          <w:rFonts w:hint="eastAsia" w:hAnsi="宋体" w:cs="宋体"/>
          <w:szCs w:val="21"/>
          <w:highlight w:val="none"/>
        </w:rPr>
        <w:t>％的比例预留质量保证金。分包人的工作成果在承包人与发包人约定的质量保修期满后，若无质量问题，发包人返还承包人质保金后，承包人不计利息将质保金返还分包人。若有质量问题，分包人负责无偿返修，质保期延长，质保金仍由承包人保留；如分包人拒不返修，承包人有权将质保金用于支付返修费，质保金不足支付返修费用时，由分包人补足。</w:t>
      </w:r>
    </w:p>
    <w:p>
      <w:pPr>
        <w:pStyle w:val="3"/>
        <w:spacing w:before="0" w:after="0" w:line="440" w:lineRule="exact"/>
        <w:jc w:val="both"/>
        <w:rPr>
          <w:highlight w:val="none"/>
        </w:rPr>
      </w:pPr>
      <w:r>
        <w:rPr>
          <w:rFonts w:hint="eastAsia"/>
          <w:highlight w:val="none"/>
        </w:rPr>
        <w:t>七、竣工验收及结算</w:t>
      </w:r>
    </w:p>
    <w:p>
      <w:pPr>
        <w:pStyle w:val="4"/>
        <w:spacing w:before="0" w:after="0" w:line="440" w:lineRule="exact"/>
        <w:ind w:firstLine="321" w:firstLineChars="100"/>
        <w:jc w:val="both"/>
        <w:rPr>
          <w:highlight w:val="none"/>
        </w:rPr>
      </w:pPr>
      <w:r>
        <w:rPr>
          <w:rFonts w:hint="eastAsia"/>
          <w:highlight w:val="none"/>
        </w:rPr>
        <w:t>17、竣工验收</w:t>
      </w:r>
    </w:p>
    <w:p>
      <w:pPr>
        <w:spacing w:line="440" w:lineRule="exact"/>
        <w:ind w:firstLine="480" w:firstLineChars="200"/>
        <w:rPr>
          <w:rFonts w:hAnsi="宋体" w:cs="宋体"/>
          <w:szCs w:val="21"/>
          <w:highlight w:val="none"/>
        </w:rPr>
      </w:pPr>
      <w:r>
        <w:rPr>
          <w:rFonts w:hint="eastAsia" w:hAnsi="宋体" w:cs="宋体"/>
          <w:szCs w:val="21"/>
          <w:highlight w:val="none"/>
        </w:rPr>
        <w:t>17.1施工过程验收</w:t>
      </w:r>
    </w:p>
    <w:p>
      <w:pPr>
        <w:spacing w:line="440" w:lineRule="exact"/>
        <w:ind w:firstLine="480" w:firstLineChars="200"/>
        <w:rPr>
          <w:rFonts w:hAnsi="宋体" w:cs="宋体"/>
          <w:szCs w:val="21"/>
          <w:highlight w:val="none"/>
        </w:rPr>
      </w:pPr>
      <w:r>
        <w:rPr>
          <w:rFonts w:hint="eastAsia" w:hAnsi="宋体" w:cs="宋体"/>
          <w:szCs w:val="21"/>
          <w:highlight w:val="none"/>
        </w:rPr>
        <w:t>17.1.1分包人应确保所完成施工的质量，应符合本合同约定的质量标准。分包人施工完毕，应向承包人提交完工报告，通知承包人验收；承包人应当在收到分包人的上述报告后15天内对分包人施工成果进行验收，承包人与发包人间的隐蔽工程验收结果或工程竣工验收结果表明分包人施工质量不合格时，分包人应负责无偿修复，不延长工期，并承担由此导致的承包人的相关损失。</w:t>
      </w:r>
    </w:p>
    <w:p>
      <w:pPr>
        <w:spacing w:line="440" w:lineRule="exact"/>
        <w:ind w:firstLine="480" w:firstLineChars="200"/>
        <w:rPr>
          <w:rFonts w:hAnsi="宋体" w:cs="宋体"/>
          <w:szCs w:val="21"/>
          <w:highlight w:val="none"/>
        </w:rPr>
      </w:pPr>
      <w:r>
        <w:rPr>
          <w:rFonts w:hint="eastAsia" w:hAnsi="宋体" w:cs="宋体"/>
          <w:szCs w:val="21"/>
          <w:highlight w:val="none"/>
        </w:rPr>
        <w:t>17.1.2分包人应配合承包人对其工作进行的初步验收，以及承包人按发包人或建设行政主管部门要求进行的涉及分包人工作内容、施工场地的检查、隐蔽工程验收及工程竣工验收；甲乙或施工场地内第三方的工作必须由分包人配合时，分包人应按承包人的指令予以无偿配合。应配合而未配合或未尽到配合责任的，所产生的责任和后果由分包人负全责，按比例直接在当期进度款中扣除，每次不低于合同总造价的1‰。</w:t>
      </w:r>
    </w:p>
    <w:p>
      <w:pPr>
        <w:spacing w:line="440" w:lineRule="exact"/>
        <w:ind w:firstLine="480" w:firstLineChars="200"/>
        <w:rPr>
          <w:rFonts w:hAnsi="宋体" w:cs="宋体"/>
          <w:szCs w:val="21"/>
          <w:highlight w:val="none"/>
        </w:rPr>
      </w:pPr>
      <w:r>
        <w:rPr>
          <w:rFonts w:hint="eastAsia" w:hAnsi="宋体" w:cs="宋体"/>
          <w:szCs w:val="21"/>
          <w:highlight w:val="none"/>
        </w:rPr>
        <w:t>17.1.3分包人在每道工序完成并自检合格后通知承包人，承包人验收合格后通知现场监理进行验收检查。每道工序经承包人、现场监理验收合格后方能进行下道工序施工，同时分包人必须积极配合；施工现场发生违规行为，承包人有权制止和下发暂停施工令。承包人、现场监理进行检查和检验，不免除或减轻分包人按照合同约定应当承担的责任。</w:t>
      </w:r>
    </w:p>
    <w:p>
      <w:pPr>
        <w:spacing w:line="440" w:lineRule="exact"/>
        <w:ind w:firstLine="480" w:firstLineChars="200"/>
        <w:rPr>
          <w:rFonts w:hAnsi="宋体" w:cs="宋体"/>
          <w:szCs w:val="21"/>
          <w:highlight w:val="none"/>
        </w:rPr>
      </w:pPr>
      <w:r>
        <w:rPr>
          <w:rFonts w:hint="eastAsia" w:hAnsi="宋体" w:cs="宋体"/>
          <w:szCs w:val="21"/>
          <w:highlight w:val="none"/>
        </w:rPr>
        <w:t>17.2竣工验收</w:t>
      </w:r>
    </w:p>
    <w:p>
      <w:pPr>
        <w:spacing w:line="440" w:lineRule="exact"/>
        <w:ind w:firstLine="480" w:firstLineChars="200"/>
        <w:rPr>
          <w:rFonts w:hAnsi="宋体" w:cs="宋体"/>
          <w:szCs w:val="21"/>
          <w:highlight w:val="none"/>
        </w:rPr>
      </w:pPr>
      <w:r>
        <w:rPr>
          <w:rFonts w:hint="eastAsia" w:hAnsi="宋体" w:cs="宋体"/>
          <w:szCs w:val="21"/>
          <w:highlight w:val="none"/>
        </w:rPr>
        <w:t>17.2.1分包工程具备竣工验收条件的，分包人应在具备竣工验收条件后 28 日内向承包人提供完整的竣工资料及竣工总结并配合承包人完成竣工验收。</w:t>
      </w:r>
      <w:r>
        <w:rPr>
          <w:rFonts w:hint="eastAsia" w:hAnsi="宋体" w:cs="宋体"/>
          <w:szCs w:val="21"/>
          <w:highlight w:val="none"/>
        </w:rPr>
        <w:br w:type="textWrapping"/>
      </w:r>
      <w:r>
        <w:rPr>
          <w:rFonts w:hint="eastAsia" w:hAnsi="宋体" w:cs="宋体"/>
          <w:szCs w:val="21"/>
          <w:highlight w:val="none"/>
        </w:rPr>
        <w:t>17.2.2承包人应在收到分包人提供的竣工资料后通知发包人进行验收，分包人应配合承包人进行验收。</w:t>
      </w:r>
    </w:p>
    <w:p>
      <w:pPr>
        <w:spacing w:line="440" w:lineRule="exact"/>
        <w:ind w:firstLine="480" w:firstLineChars="200"/>
        <w:rPr>
          <w:rFonts w:hAnsi="宋体" w:cs="宋体"/>
          <w:szCs w:val="21"/>
          <w:highlight w:val="none"/>
        </w:rPr>
      </w:pPr>
      <w:r>
        <w:rPr>
          <w:rFonts w:hint="eastAsia" w:hAnsi="宋体" w:cs="宋体"/>
          <w:szCs w:val="21"/>
          <w:highlight w:val="none"/>
        </w:rPr>
        <w:t>17.2.3由于分包人原因导致分包工程竣工验收未能通过的，分包人应负责修复相应缺陷并承担相应的费用和责任。</w:t>
      </w:r>
    </w:p>
    <w:p>
      <w:pPr>
        <w:spacing w:line="440" w:lineRule="exact"/>
        <w:ind w:firstLine="321" w:firstLineChars="100"/>
        <w:rPr>
          <w:rFonts w:hAnsi="宋体"/>
          <w:b/>
          <w:bCs/>
          <w:kern w:val="44"/>
          <w:szCs w:val="24"/>
          <w:highlight w:val="none"/>
        </w:rPr>
      </w:pPr>
      <w:r>
        <w:rPr>
          <w:rFonts w:hint="eastAsia" w:hAnsi="宋体" w:cs="宋体"/>
          <w:b/>
          <w:sz w:val="32"/>
          <w:szCs w:val="32"/>
          <w:highlight w:val="none"/>
        </w:rPr>
        <w:t>18、</w:t>
      </w:r>
      <w:r>
        <w:rPr>
          <w:rFonts w:hint="eastAsia" w:hAnsi="宋体" w:cs="宋体"/>
          <w:b/>
          <w:bCs/>
          <w:kern w:val="44"/>
          <w:sz w:val="32"/>
          <w:szCs w:val="32"/>
          <w:highlight w:val="none"/>
        </w:rPr>
        <w:t>质量保修期</w:t>
      </w:r>
    </w:p>
    <w:p>
      <w:pPr>
        <w:spacing w:line="440" w:lineRule="exact"/>
        <w:ind w:firstLine="480" w:firstLineChars="200"/>
        <w:rPr>
          <w:rFonts w:hAnsi="宋体"/>
          <w:szCs w:val="21"/>
          <w:highlight w:val="none"/>
        </w:rPr>
      </w:pPr>
      <w:r>
        <w:rPr>
          <w:rFonts w:hint="eastAsia" w:hAnsi="宋体"/>
          <w:szCs w:val="21"/>
          <w:highlight w:val="none"/>
        </w:rPr>
        <w:t>18.1质量保修期</w:t>
      </w:r>
    </w:p>
    <w:p>
      <w:pPr>
        <w:spacing w:line="440" w:lineRule="exact"/>
        <w:ind w:firstLine="480" w:firstLineChars="200"/>
        <w:rPr>
          <w:rFonts w:hAnsi="宋体"/>
          <w:szCs w:val="21"/>
          <w:highlight w:val="none"/>
          <w:u w:val="single"/>
        </w:rPr>
      </w:pPr>
      <w:r>
        <w:rPr>
          <w:rFonts w:hint="eastAsia" w:hAnsi="宋体"/>
          <w:szCs w:val="21"/>
          <w:highlight w:val="none"/>
        </w:rPr>
        <w:t>质量保修期从本工程通过正式竣工验收之日起算一年。分包人及其人员对本合同工程质量终身负责。</w:t>
      </w:r>
    </w:p>
    <w:p>
      <w:pPr>
        <w:spacing w:line="440" w:lineRule="exact"/>
        <w:ind w:firstLine="480" w:firstLineChars="200"/>
        <w:rPr>
          <w:rFonts w:hAnsi="宋体" w:cs="宋体"/>
          <w:szCs w:val="21"/>
          <w:highlight w:val="none"/>
        </w:rPr>
      </w:pPr>
      <w:r>
        <w:rPr>
          <w:rFonts w:hint="eastAsia" w:hAnsi="宋体"/>
          <w:szCs w:val="21"/>
          <w:highlight w:val="none"/>
        </w:rPr>
        <w:t>18.2</w:t>
      </w:r>
      <w:r>
        <w:rPr>
          <w:rFonts w:hint="eastAsia" w:hAnsi="宋体" w:cs="宋体"/>
          <w:szCs w:val="21"/>
          <w:highlight w:val="none"/>
        </w:rPr>
        <w:t>分包人应按法律、法规和国家有关规定，对交付使用的工程在质量保修期内承担工程质量缺陷保修责任。分包人承诺：承包人对发包人所承诺的质量保修义务在分包工程范围内同样适用于分包人。</w:t>
      </w:r>
    </w:p>
    <w:p>
      <w:pPr>
        <w:spacing w:line="440" w:lineRule="exact"/>
        <w:ind w:firstLine="480" w:firstLineChars="200"/>
        <w:rPr>
          <w:rFonts w:hAnsi="宋体" w:cs="宋体"/>
          <w:szCs w:val="21"/>
          <w:highlight w:val="none"/>
        </w:rPr>
      </w:pPr>
      <w:r>
        <w:rPr>
          <w:rFonts w:hint="eastAsia" w:hAnsi="宋体" w:cs="宋体"/>
          <w:szCs w:val="21"/>
          <w:highlight w:val="none"/>
        </w:rPr>
        <w:t>18.3在质量保修期内，承包人有权随时对本合同工程进行检查，如果在本合同工程中出现任何缺陷或其他不合格之处，则承包人可指令分包人进行修补、修复及重建。分包人应在接到指令后在24小时内进场施工，并在指令规定的时间内完成修补、修复及重建工作。</w:t>
      </w:r>
    </w:p>
    <w:p>
      <w:pPr>
        <w:spacing w:line="440" w:lineRule="exact"/>
        <w:ind w:firstLine="480" w:firstLineChars="200"/>
        <w:rPr>
          <w:rFonts w:hAnsi="宋体" w:cs="宋体"/>
          <w:szCs w:val="21"/>
          <w:highlight w:val="none"/>
        </w:rPr>
      </w:pPr>
      <w:r>
        <w:rPr>
          <w:rFonts w:hint="eastAsia" w:hAnsi="宋体" w:cs="宋体"/>
          <w:szCs w:val="21"/>
          <w:highlight w:val="none"/>
        </w:rPr>
        <w:t>18.4当工程出现上述约定的保修事宜时，承包人用电话或书面通知，分包人必须在24小时内派人进场维修。若承包人无法联系到分包人或分包人在接到通知后的24小时不派人维修，则承包人有权直接委托第三方进行维修，其与维修相关的一切费用和损失均由分包人承担，由承包人在质量保修金中予以扣除，超出部分仍由分包人承担。</w:t>
      </w:r>
    </w:p>
    <w:p>
      <w:pPr>
        <w:spacing w:line="440" w:lineRule="exact"/>
        <w:ind w:firstLine="480" w:firstLineChars="200"/>
        <w:rPr>
          <w:rFonts w:hAnsi="宋体" w:cs="宋体"/>
          <w:szCs w:val="21"/>
          <w:highlight w:val="none"/>
        </w:rPr>
      </w:pPr>
      <w:r>
        <w:rPr>
          <w:rFonts w:hint="eastAsia" w:hAnsi="宋体" w:cs="宋体"/>
          <w:szCs w:val="21"/>
          <w:highlight w:val="none"/>
        </w:rPr>
        <w:t>18.5在质量保修期内经过维修的工程的质量保修期自维修完成之日起在原质量保修期基础上再往后顺延六个月，在顺延的期间内同一工程再次发生的维修费用仍由分包人承担。承包人将视维修工作量的多少，决定质量保修金延后支付的时间。</w:t>
      </w:r>
    </w:p>
    <w:p>
      <w:pPr>
        <w:pStyle w:val="3"/>
        <w:spacing w:before="0" w:after="0" w:line="440" w:lineRule="exact"/>
        <w:ind w:firstLine="321" w:firstLineChars="100"/>
        <w:jc w:val="both"/>
        <w:rPr>
          <w:highlight w:val="none"/>
        </w:rPr>
      </w:pPr>
      <w:r>
        <w:rPr>
          <w:rFonts w:hint="eastAsia"/>
          <w:highlight w:val="none"/>
        </w:rPr>
        <w:t>八、违约、索赔及争议</w:t>
      </w:r>
    </w:p>
    <w:p>
      <w:pPr>
        <w:pStyle w:val="4"/>
        <w:spacing w:before="0" w:after="0" w:line="440" w:lineRule="exact"/>
        <w:ind w:firstLine="321" w:firstLineChars="100"/>
        <w:jc w:val="both"/>
        <w:rPr>
          <w:highlight w:val="none"/>
        </w:rPr>
      </w:pPr>
      <w:r>
        <w:rPr>
          <w:rFonts w:hint="eastAsia"/>
          <w:highlight w:val="none"/>
        </w:rPr>
        <w:t>19、违约责任</w:t>
      </w:r>
    </w:p>
    <w:p>
      <w:pPr>
        <w:spacing w:line="440" w:lineRule="exact"/>
        <w:ind w:firstLine="435"/>
        <w:rPr>
          <w:bCs/>
          <w:highlight w:val="none"/>
        </w:rPr>
      </w:pPr>
      <w:r>
        <w:rPr>
          <w:rFonts w:hint="eastAsia"/>
          <w:bCs/>
          <w:highlight w:val="none"/>
        </w:rPr>
        <w:t>19.1本合同有效期内有下列情形之一的，承包人有权解除合同工程款：</w:t>
      </w:r>
    </w:p>
    <w:p>
      <w:pPr>
        <w:spacing w:line="440" w:lineRule="exact"/>
        <w:ind w:firstLine="435"/>
        <w:rPr>
          <w:bCs/>
          <w:highlight w:val="none"/>
        </w:rPr>
      </w:pPr>
      <w:r>
        <w:rPr>
          <w:rFonts w:hint="eastAsia"/>
          <w:bCs/>
          <w:highlight w:val="none"/>
        </w:rPr>
        <w:t>1）分包人未经承包人认可擅自更换派驻现场的分包项目经理、安全员等主要施工管理人员的；</w:t>
      </w:r>
    </w:p>
    <w:p>
      <w:pPr>
        <w:spacing w:line="440" w:lineRule="exact"/>
        <w:ind w:firstLine="435"/>
        <w:rPr>
          <w:bCs/>
          <w:highlight w:val="none"/>
        </w:rPr>
      </w:pPr>
      <w:r>
        <w:rPr>
          <w:rFonts w:hint="eastAsia"/>
          <w:bCs/>
          <w:highlight w:val="none"/>
        </w:rPr>
        <w:t>2）发生挂靠、违法转包、违法分包等行为的；</w:t>
      </w:r>
    </w:p>
    <w:p>
      <w:pPr>
        <w:spacing w:line="440" w:lineRule="exact"/>
        <w:ind w:firstLine="435"/>
        <w:rPr>
          <w:bCs/>
          <w:highlight w:val="none"/>
        </w:rPr>
      </w:pPr>
      <w:r>
        <w:rPr>
          <w:rFonts w:hint="eastAsia"/>
          <w:bCs/>
          <w:highlight w:val="none"/>
        </w:rPr>
        <w:t>3）采取偷工减料、以次充好等方式降低质量标准的；</w:t>
      </w:r>
    </w:p>
    <w:p>
      <w:pPr>
        <w:spacing w:line="440" w:lineRule="exact"/>
        <w:ind w:firstLine="435"/>
        <w:rPr>
          <w:bCs/>
          <w:highlight w:val="none"/>
        </w:rPr>
      </w:pPr>
      <w:r>
        <w:rPr>
          <w:rFonts w:hint="eastAsia"/>
          <w:bCs/>
          <w:highlight w:val="none"/>
        </w:rPr>
        <w:t>5）分包人向承包人提供任何形式的回扣；</w:t>
      </w:r>
    </w:p>
    <w:p>
      <w:pPr>
        <w:spacing w:line="440" w:lineRule="exact"/>
        <w:ind w:firstLine="435"/>
        <w:rPr>
          <w:bCs/>
          <w:highlight w:val="none"/>
        </w:rPr>
      </w:pPr>
      <w:r>
        <w:rPr>
          <w:rFonts w:hint="eastAsia"/>
          <w:bCs/>
          <w:highlight w:val="none"/>
        </w:rPr>
        <w:t>6）分包人拒绝接受监督、检查的，或经承包人通知建议后拒不改正的；</w:t>
      </w:r>
    </w:p>
    <w:p>
      <w:pPr>
        <w:spacing w:line="440" w:lineRule="exact"/>
        <w:ind w:firstLine="435"/>
        <w:rPr>
          <w:bCs/>
          <w:highlight w:val="none"/>
        </w:rPr>
      </w:pPr>
      <w:r>
        <w:rPr>
          <w:rFonts w:hint="eastAsia"/>
          <w:bCs/>
          <w:highlight w:val="none"/>
        </w:rPr>
        <w:t>7）不如实反映情况，提供虚假材料被承包人或第三方发现的；</w:t>
      </w:r>
    </w:p>
    <w:p>
      <w:pPr>
        <w:spacing w:line="440" w:lineRule="exact"/>
        <w:ind w:firstLine="435"/>
        <w:rPr>
          <w:bCs/>
          <w:highlight w:val="none"/>
        </w:rPr>
      </w:pPr>
      <w:r>
        <w:rPr>
          <w:rFonts w:hint="eastAsia"/>
          <w:bCs/>
          <w:highlight w:val="none"/>
        </w:rPr>
        <w:t>8）出现重大安全责任事故的；</w:t>
      </w:r>
    </w:p>
    <w:p>
      <w:pPr>
        <w:spacing w:line="440" w:lineRule="exact"/>
        <w:ind w:firstLine="435"/>
        <w:rPr>
          <w:bCs/>
          <w:highlight w:val="none"/>
        </w:rPr>
      </w:pPr>
      <w:r>
        <w:rPr>
          <w:rFonts w:hint="eastAsia"/>
          <w:bCs/>
          <w:highlight w:val="none"/>
        </w:rPr>
        <w:t>9）不按规定发放工人工资或因分包人其它原因造成工地工人群体性上访的；</w:t>
      </w:r>
    </w:p>
    <w:p>
      <w:pPr>
        <w:spacing w:line="440" w:lineRule="exact"/>
        <w:ind w:firstLine="435"/>
        <w:rPr>
          <w:bCs/>
          <w:highlight w:val="none"/>
        </w:rPr>
      </w:pPr>
      <w:r>
        <w:rPr>
          <w:rFonts w:hint="eastAsia"/>
          <w:bCs/>
          <w:highlight w:val="none"/>
        </w:rPr>
        <w:t>10）被行业主管部门暂停或取消工程施工资质的；</w:t>
      </w:r>
    </w:p>
    <w:p>
      <w:pPr>
        <w:spacing w:line="440" w:lineRule="exact"/>
        <w:ind w:firstLine="435"/>
        <w:rPr>
          <w:bCs/>
          <w:highlight w:val="none"/>
        </w:rPr>
      </w:pPr>
      <w:r>
        <w:rPr>
          <w:rFonts w:hint="eastAsia"/>
          <w:bCs/>
          <w:highlight w:val="none"/>
        </w:rPr>
        <w:t>11）被招标投标监管部门暂停或取消投标资格的；</w:t>
      </w:r>
    </w:p>
    <w:p>
      <w:pPr>
        <w:spacing w:line="440" w:lineRule="exact"/>
        <w:ind w:firstLine="435"/>
        <w:rPr>
          <w:bCs/>
          <w:highlight w:val="none"/>
        </w:rPr>
      </w:pPr>
      <w:r>
        <w:rPr>
          <w:rFonts w:hint="eastAsia"/>
          <w:bCs/>
          <w:highlight w:val="none"/>
        </w:rPr>
        <w:t>12）分包人擅自变更、转让、租借施工定点资格的；</w:t>
      </w:r>
    </w:p>
    <w:p>
      <w:pPr>
        <w:spacing w:line="440" w:lineRule="exact"/>
        <w:ind w:firstLine="435"/>
        <w:rPr>
          <w:bCs/>
          <w:highlight w:val="none"/>
        </w:rPr>
      </w:pPr>
      <w:r>
        <w:rPr>
          <w:rFonts w:hint="eastAsia"/>
          <w:bCs/>
          <w:highlight w:val="none"/>
        </w:rPr>
        <w:t>13）拒不履行投标承诺及合同中明确的职责与义务的；</w:t>
      </w:r>
    </w:p>
    <w:p>
      <w:pPr>
        <w:spacing w:line="440" w:lineRule="exact"/>
        <w:ind w:firstLine="435"/>
        <w:rPr>
          <w:bCs/>
          <w:highlight w:val="none"/>
        </w:rPr>
      </w:pPr>
      <w:r>
        <w:rPr>
          <w:rFonts w:hint="eastAsia"/>
          <w:bCs/>
          <w:highlight w:val="none"/>
        </w:rPr>
        <w:t>14）合同履行过程中，项目经理每月在岗天数不足22天；或未经招标人允许，项目经理连续无故缺席三天或总计缺席达七天的；</w:t>
      </w:r>
    </w:p>
    <w:p>
      <w:pPr>
        <w:spacing w:line="440" w:lineRule="exact"/>
        <w:ind w:firstLine="435"/>
        <w:rPr>
          <w:bCs/>
          <w:highlight w:val="none"/>
        </w:rPr>
      </w:pPr>
      <w:r>
        <w:rPr>
          <w:rFonts w:hint="eastAsia"/>
          <w:bCs/>
          <w:highlight w:val="none"/>
        </w:rPr>
        <w:t>15）其他违反法律、法规和合同约定的。</w:t>
      </w:r>
    </w:p>
    <w:p>
      <w:pPr>
        <w:pStyle w:val="2"/>
        <w:spacing w:before="0" w:after="0" w:line="440" w:lineRule="exact"/>
        <w:ind w:firstLine="420" w:firstLineChars="200"/>
        <w:rPr>
          <w:rFonts w:ascii="宋体" w:hAnsi="宋体"/>
          <w:sz w:val="24"/>
          <w:szCs w:val="24"/>
          <w:highlight w:val="none"/>
        </w:rPr>
      </w:pPr>
      <w:bookmarkStart w:id="60" w:name="_Toc9464"/>
      <w:bookmarkStart w:id="61" w:name="_Toc31776"/>
      <w:r>
        <w:rPr>
          <w:rFonts w:hint="eastAsia" w:ascii="宋体" w:hAnsi="宋体"/>
          <w:b w:val="0"/>
          <w:bCs w:val="0"/>
          <w:sz w:val="21"/>
          <w:szCs w:val="21"/>
          <w:highlight w:val="none"/>
        </w:rPr>
        <w:t>19.2 承包人违约责任</w:t>
      </w:r>
      <w:bookmarkEnd w:id="60"/>
      <w:bookmarkEnd w:id="61"/>
    </w:p>
    <w:p>
      <w:pPr>
        <w:spacing w:line="440" w:lineRule="exact"/>
        <w:ind w:firstLine="480" w:firstLineChars="200"/>
        <w:rPr>
          <w:rFonts w:hAnsi="宋体" w:cs="宋体"/>
          <w:szCs w:val="21"/>
          <w:highlight w:val="none"/>
        </w:rPr>
      </w:pPr>
      <w:r>
        <w:rPr>
          <w:rFonts w:hint="eastAsia" w:hAnsi="宋体" w:cs="宋体"/>
          <w:szCs w:val="21"/>
          <w:highlight w:val="none"/>
        </w:rPr>
        <w:t>19.2.1鉴于工程施工的实际状况，承包人未能及时支付分包人专业分包工程款时，分包人应首先与承包人项目经理沟通；</w:t>
      </w:r>
    </w:p>
    <w:p>
      <w:pPr>
        <w:spacing w:line="440" w:lineRule="exact"/>
        <w:ind w:firstLine="480" w:firstLineChars="200"/>
        <w:rPr>
          <w:rFonts w:hAnsi="宋体" w:cs="宋体"/>
          <w:szCs w:val="21"/>
          <w:highlight w:val="none"/>
        </w:rPr>
      </w:pPr>
      <w:r>
        <w:rPr>
          <w:rFonts w:hint="eastAsia" w:hAnsi="宋体" w:cs="宋体"/>
          <w:szCs w:val="21"/>
          <w:highlight w:val="none"/>
        </w:rPr>
        <w:t>19.2.2分包人沟通无效后应向承包人发出催款函并附付款依据，告知承包人已经逾期支付的工程款及金额，催促承包人在合理的期限内支付应付款项；</w:t>
      </w:r>
    </w:p>
    <w:p>
      <w:pPr>
        <w:spacing w:line="440" w:lineRule="exact"/>
        <w:ind w:firstLine="480" w:firstLineChars="200"/>
        <w:rPr>
          <w:rFonts w:hAnsi="宋体" w:cs="宋体"/>
          <w:szCs w:val="21"/>
          <w:highlight w:val="none"/>
        </w:rPr>
      </w:pPr>
      <w:r>
        <w:rPr>
          <w:rFonts w:hint="eastAsia" w:hAnsi="宋体" w:cs="宋体"/>
          <w:szCs w:val="21"/>
          <w:highlight w:val="none"/>
        </w:rPr>
        <w:t>19.2.3承包人对分包人催款函载明的逾期付款金额没有异议的，应当立即支付，未能在催款函载明的期限内支付款项的，应从催款函载明的期限届满之日起按欠付款金额日万分之一的标准支付违约金直至付款时止，违约金总额不超过到期欠款金额的1%；但合同约定承包人不承担违约责任的除外。</w:t>
      </w:r>
    </w:p>
    <w:p>
      <w:pPr>
        <w:spacing w:line="440" w:lineRule="exact"/>
        <w:ind w:firstLine="480" w:firstLineChars="200"/>
        <w:rPr>
          <w:rFonts w:hAnsi="宋体" w:cs="宋体"/>
          <w:szCs w:val="21"/>
          <w:highlight w:val="none"/>
        </w:rPr>
      </w:pPr>
      <w:r>
        <w:rPr>
          <w:rFonts w:hint="eastAsia" w:hAnsi="宋体" w:cs="宋体"/>
          <w:szCs w:val="21"/>
          <w:highlight w:val="none"/>
        </w:rPr>
        <w:t>19.2.4承包人对分包人催款函载明的逾期付款金额有异议的，双方应在承包人收到催款函后7日内完成对账，承包人支付确认无误款项，双方无法完成对账或承包人仍拒绝支付的，分包人可通过司法途径解决，承包人从催款函载明的付款期限届满后第8日开始按照欠付款日万分之一的标准支付违约金直至付款时止，违约金总额不超过到期欠款金额的1%；但合同约定承包人不承担违约责任的除外。</w:t>
      </w:r>
    </w:p>
    <w:p>
      <w:pPr>
        <w:spacing w:line="440" w:lineRule="exact"/>
        <w:ind w:firstLine="480" w:firstLineChars="200"/>
        <w:rPr>
          <w:rFonts w:hAnsi="宋体" w:cs="宋体"/>
          <w:szCs w:val="21"/>
          <w:highlight w:val="none"/>
        </w:rPr>
      </w:pPr>
      <w:r>
        <w:rPr>
          <w:rFonts w:hint="eastAsia" w:hAnsi="宋体" w:cs="宋体"/>
          <w:szCs w:val="21"/>
          <w:highlight w:val="none"/>
        </w:rPr>
        <w:t>19.2.5分包人不得以承包人未及时、足额付款为由拒绝履行合同义务。如因发包人、总包单位不履行、不完全履行或迟延履行总包合同义务导致承包人不履行、不完全履行或迟延履行本合同约定义务的，分包人表示理解并承诺不视为承包人违约。</w:t>
      </w:r>
    </w:p>
    <w:p>
      <w:pPr>
        <w:spacing w:line="440" w:lineRule="exact"/>
        <w:ind w:firstLine="480" w:firstLineChars="200"/>
        <w:rPr>
          <w:rFonts w:hAnsi="宋体"/>
          <w:i/>
          <w:iCs/>
          <w:color w:val="FF0000"/>
          <w:szCs w:val="21"/>
          <w:highlight w:val="none"/>
        </w:rPr>
      </w:pPr>
      <w:r>
        <w:rPr>
          <w:rFonts w:hint="eastAsia" w:hAnsi="宋体"/>
          <w:kern w:val="44"/>
          <w:szCs w:val="21"/>
          <w:highlight w:val="none"/>
        </w:rPr>
        <w:t>19.3 分包人违约责任</w:t>
      </w:r>
    </w:p>
    <w:p>
      <w:pPr>
        <w:spacing w:line="440" w:lineRule="exact"/>
        <w:ind w:firstLine="480" w:firstLineChars="200"/>
        <w:rPr>
          <w:rFonts w:hAnsi="宋体" w:cs="宋体"/>
          <w:szCs w:val="21"/>
          <w:highlight w:val="none"/>
        </w:rPr>
      </w:pPr>
      <w:r>
        <w:rPr>
          <w:rFonts w:hint="eastAsia" w:hAnsi="宋体" w:cs="宋体"/>
          <w:szCs w:val="21"/>
          <w:highlight w:val="none"/>
        </w:rPr>
        <w:t>19.3.1若分包人未经承包人同意而擅自停工、撤场、终止合同、明确表示不履行或实质上己停止履行或其他无法继续履行合同的，合同解除，分包人必须无条件撤场。</w:t>
      </w:r>
    </w:p>
    <w:p>
      <w:pPr>
        <w:spacing w:line="440" w:lineRule="exact"/>
        <w:ind w:firstLine="480" w:firstLineChars="200"/>
        <w:rPr>
          <w:rFonts w:hAnsi="宋体" w:cs="宋体"/>
          <w:szCs w:val="21"/>
          <w:highlight w:val="none"/>
        </w:rPr>
      </w:pPr>
      <w:r>
        <w:rPr>
          <w:rFonts w:hint="eastAsia" w:hAnsi="宋体" w:cs="宋体"/>
          <w:szCs w:val="21"/>
          <w:highlight w:val="none"/>
        </w:rPr>
        <w:t>19.3.2工期违约责任：</w:t>
      </w:r>
    </w:p>
    <w:p>
      <w:pPr>
        <w:spacing w:line="440" w:lineRule="exact"/>
        <w:ind w:firstLine="480" w:firstLineChars="200"/>
        <w:rPr>
          <w:rFonts w:hAnsi="宋体" w:cs="宋体"/>
          <w:szCs w:val="21"/>
          <w:highlight w:val="none"/>
        </w:rPr>
      </w:pPr>
      <w:r>
        <w:rPr>
          <w:rFonts w:hint="eastAsia" w:hAnsi="宋体" w:cs="宋体"/>
          <w:szCs w:val="21"/>
          <w:highlight w:val="none"/>
        </w:rPr>
        <w:t>（1）分包人不能按合同规定日期竣工或未能按承包人及发包人阶段性工期要求完成全部或部分工程应承担工期延误责任，按结算值的</w:t>
      </w:r>
      <w:r>
        <w:rPr>
          <w:rFonts w:hint="eastAsia" w:hAnsi="宋体" w:cs="宋体"/>
          <w:szCs w:val="21"/>
          <w:highlight w:val="none"/>
          <w:u w:val="single"/>
        </w:rPr>
        <w:t>0.5</w:t>
      </w:r>
      <w:r>
        <w:rPr>
          <w:rFonts w:hint="eastAsia" w:hAnsi="宋体" w:cs="宋体"/>
          <w:szCs w:val="21"/>
          <w:highlight w:val="none"/>
        </w:rPr>
        <w:t>%/天或</w:t>
      </w:r>
      <w:r>
        <w:rPr>
          <w:rFonts w:hint="eastAsia" w:hAnsi="宋体" w:cs="宋体"/>
          <w:szCs w:val="21"/>
          <w:highlight w:val="none"/>
          <w:u w:val="single"/>
        </w:rPr>
        <w:t>20000</w:t>
      </w:r>
      <w:r>
        <w:rPr>
          <w:rFonts w:hint="eastAsia" w:hAnsi="宋体" w:cs="宋体"/>
          <w:szCs w:val="21"/>
          <w:highlight w:val="none"/>
        </w:rPr>
        <w:t>元/天向承包人支付工期违约金，承包人有权视情况另行委托其他施工单位参加抢工，由此发生的一切抢工费用由分包人承担，结算时从分包人结算值中加倍扣除。</w:t>
      </w:r>
    </w:p>
    <w:p>
      <w:pPr>
        <w:spacing w:line="440" w:lineRule="exact"/>
        <w:ind w:firstLine="480" w:firstLineChars="200"/>
        <w:rPr>
          <w:rFonts w:hAnsi="宋体" w:cs="宋体"/>
          <w:szCs w:val="21"/>
          <w:highlight w:val="none"/>
        </w:rPr>
      </w:pPr>
      <w:r>
        <w:rPr>
          <w:rFonts w:hint="eastAsia" w:hAnsi="宋体" w:cs="宋体"/>
          <w:szCs w:val="21"/>
          <w:highlight w:val="none"/>
        </w:rPr>
        <w:t>（2）分包人在施工过程中以行为证明不能完成分包工程或工期拖延7天以上的，承包人有权提前解除合同。</w:t>
      </w:r>
    </w:p>
    <w:p>
      <w:pPr>
        <w:spacing w:line="440" w:lineRule="exact"/>
        <w:ind w:firstLine="480" w:firstLineChars="200"/>
        <w:rPr>
          <w:rFonts w:hAnsi="宋体" w:cs="宋体"/>
          <w:szCs w:val="21"/>
          <w:highlight w:val="none"/>
        </w:rPr>
      </w:pPr>
      <w:r>
        <w:rPr>
          <w:rFonts w:hint="eastAsia" w:hAnsi="宋体" w:cs="宋体"/>
          <w:szCs w:val="21"/>
          <w:highlight w:val="none"/>
        </w:rPr>
        <w:t>19.3.3质量违约责任：</w:t>
      </w:r>
    </w:p>
    <w:p>
      <w:pPr>
        <w:spacing w:line="440" w:lineRule="exact"/>
        <w:ind w:firstLine="480" w:firstLineChars="200"/>
        <w:rPr>
          <w:rFonts w:hAnsi="宋体" w:cs="宋体"/>
          <w:szCs w:val="21"/>
          <w:highlight w:val="none"/>
        </w:rPr>
      </w:pPr>
      <w:r>
        <w:rPr>
          <w:rFonts w:hint="eastAsia" w:hAnsi="宋体" w:cs="宋体"/>
          <w:szCs w:val="21"/>
          <w:highlight w:val="none"/>
        </w:rPr>
        <w:t>（1）施工中发现不合格项目时，承包人有权对分包人进行处罚，分包人应及时进行整改，同时把整改措施以书面形式报承包人存档备查。不合格项目整改工作应在当月申请进度款之前完成，并请承包人复查通过，否则相应分包工程款顺延至下月拨付。不合格项目不计入当月完成工作总量内，即不能申报支付进度款。</w:t>
      </w:r>
    </w:p>
    <w:p>
      <w:pPr>
        <w:spacing w:line="440" w:lineRule="exact"/>
        <w:ind w:firstLine="480" w:firstLineChars="200"/>
        <w:rPr>
          <w:rFonts w:hAnsi="宋体" w:cs="宋体"/>
          <w:szCs w:val="21"/>
          <w:highlight w:val="none"/>
        </w:rPr>
      </w:pPr>
      <w:r>
        <w:rPr>
          <w:rFonts w:hint="eastAsia" w:hAnsi="宋体" w:cs="宋体"/>
          <w:szCs w:val="21"/>
          <w:highlight w:val="none"/>
        </w:rPr>
        <w:t>（2）因分包人施工存在质量问题或存在其他问题可能影响施工质量导致承包人被政府主管部门、发包人、监理单位等通报、批评、处罚，或未达到一次性验收合格的，由此产生的费用由分包人全部承担，并追究分包人相关责任。</w:t>
      </w:r>
    </w:p>
    <w:p>
      <w:pPr>
        <w:spacing w:line="440" w:lineRule="exact"/>
        <w:ind w:firstLine="480" w:firstLineChars="200"/>
        <w:rPr>
          <w:rFonts w:hAnsi="宋体" w:cs="宋体"/>
          <w:szCs w:val="21"/>
          <w:highlight w:val="none"/>
        </w:rPr>
      </w:pPr>
      <w:r>
        <w:rPr>
          <w:rFonts w:hint="eastAsia" w:hAnsi="宋体" w:cs="宋体"/>
          <w:szCs w:val="21"/>
          <w:highlight w:val="none"/>
        </w:rPr>
        <w:t>（3）分包人施工过程中及竣工验收阶段存在施工质量问题，未在指定期限内完成整改，或二次验收不合格，承包人有权解除合同，并扣合同总额的1%作为违约金，同时承包人有权另行委托其它有资质的单位完成整改，所发生的费用加倍从分包人结算款项中扣除。</w:t>
      </w:r>
    </w:p>
    <w:p>
      <w:pPr>
        <w:spacing w:line="440" w:lineRule="exact"/>
        <w:ind w:firstLine="480" w:firstLineChars="200"/>
        <w:rPr>
          <w:rFonts w:hAnsi="宋体" w:cs="宋体"/>
          <w:szCs w:val="21"/>
          <w:highlight w:val="none"/>
        </w:rPr>
      </w:pPr>
      <w:r>
        <w:rPr>
          <w:rFonts w:hint="eastAsia" w:hAnsi="宋体" w:cs="宋体"/>
          <w:szCs w:val="21"/>
          <w:highlight w:val="none"/>
        </w:rPr>
        <w:t>（4）因分包人工程质量不合格给承包人以及与本工程有关的第三方造成的所有经济损失，分包人应负责全额赔偿，且工期不予顺延。</w:t>
      </w:r>
    </w:p>
    <w:p>
      <w:pPr>
        <w:spacing w:line="440" w:lineRule="exact"/>
        <w:ind w:firstLine="480" w:firstLineChars="200"/>
        <w:rPr>
          <w:rFonts w:hAnsi="宋体" w:cs="宋体"/>
          <w:szCs w:val="21"/>
          <w:highlight w:val="none"/>
        </w:rPr>
      </w:pPr>
      <w:r>
        <w:rPr>
          <w:rFonts w:hint="eastAsia" w:hAnsi="宋体" w:cs="宋体"/>
          <w:szCs w:val="21"/>
          <w:highlight w:val="none"/>
        </w:rPr>
        <w:t>19.3.4关于农民工工资的违约责任：</w:t>
      </w:r>
    </w:p>
    <w:p>
      <w:pPr>
        <w:spacing w:line="440" w:lineRule="exact"/>
        <w:ind w:firstLine="480" w:firstLineChars="200"/>
        <w:rPr>
          <w:rFonts w:hAnsi="宋体" w:cs="宋体"/>
          <w:szCs w:val="21"/>
          <w:highlight w:val="none"/>
        </w:rPr>
      </w:pPr>
      <w:r>
        <w:rPr>
          <w:rFonts w:hint="eastAsia" w:hAnsi="宋体" w:cs="宋体"/>
          <w:szCs w:val="21"/>
          <w:highlight w:val="none"/>
        </w:rPr>
        <w:t xml:space="preserve">（1）分包人未及时支付工人工资，导致发生三人及以上群体性上访或投诉事件，分包人承担合同总价10%的违约金。上述违约金由承包人在下次付款中扣除，分包人如能根据承包人要求按时改正，承包人将视情节减、免违约金。分包人如拒不改正，承包人除扣除违约金、解除合同外，保留直接支付工人工资的权力，工人签字的工资发放表视为分包人认可，作为双方工程款结算依据。 </w:t>
      </w:r>
    </w:p>
    <w:p>
      <w:pPr>
        <w:spacing w:line="440" w:lineRule="exact"/>
        <w:ind w:firstLine="480" w:firstLineChars="200"/>
        <w:rPr>
          <w:rFonts w:hAnsi="宋体" w:cs="宋体"/>
          <w:szCs w:val="21"/>
          <w:highlight w:val="none"/>
        </w:rPr>
      </w:pPr>
      <w:r>
        <w:rPr>
          <w:rFonts w:hint="eastAsia" w:hAnsi="宋体" w:cs="宋体"/>
          <w:szCs w:val="21"/>
          <w:highlight w:val="none"/>
        </w:rPr>
        <w:t>（2）分包人不按要求提交所有工人工资表和相关文件或弄虚作假的，承包人有权每次要求分包人支付5万元违约金。</w:t>
      </w:r>
    </w:p>
    <w:p>
      <w:pPr>
        <w:spacing w:line="440" w:lineRule="exact"/>
        <w:ind w:firstLine="480" w:firstLineChars="200"/>
        <w:rPr>
          <w:rFonts w:hAnsi="宋体" w:cs="宋体"/>
          <w:szCs w:val="21"/>
          <w:highlight w:val="none"/>
        </w:rPr>
      </w:pPr>
      <w:r>
        <w:rPr>
          <w:rFonts w:hint="eastAsia" w:hAnsi="宋体" w:cs="宋体"/>
          <w:szCs w:val="21"/>
          <w:highlight w:val="none"/>
        </w:rPr>
        <w:t>19.3.5若分包人机械设备不能依约、按时进场、不能满足施工进度而分包人未按承包人要求增加机械设备的，按分包人违约处理，承包人将视情节按分包人未进场机械每台套每天对分包人处以不低于</w:t>
      </w:r>
      <w:r>
        <w:rPr>
          <w:rFonts w:hint="eastAsia" w:hAnsi="宋体" w:cs="宋体"/>
          <w:szCs w:val="21"/>
          <w:highlight w:val="none"/>
          <w:u w:val="single"/>
        </w:rPr>
        <w:t>2000</w:t>
      </w:r>
      <w:r>
        <w:rPr>
          <w:rFonts w:hint="eastAsia" w:hAnsi="宋体" w:cs="宋体"/>
          <w:szCs w:val="21"/>
          <w:highlight w:val="none"/>
        </w:rPr>
        <w:t>元的罚款，并至直将分包人清理出场，由此而产生的责任和费用由分包人承担。若分包人在施工过程中的，分包人必须按要求增加。承包人可根据工程进度的要求，必要时有权对分包人的人员、材料、机械设备进行统一调配，分包人必须无条件执行，拒不执行的，分包人支付给承包人人民币5000元/ 次违约金。分包人如不能按承包人要求增加人员等，承包人则按照1000元/ 人次收取违约金（缺到人数）。上述费用直接在分包人当月工程款中扣除，分包人不得有任何异议。</w:t>
      </w:r>
    </w:p>
    <w:p>
      <w:pPr>
        <w:spacing w:line="440" w:lineRule="exact"/>
        <w:ind w:firstLine="480" w:firstLineChars="200"/>
        <w:rPr>
          <w:rFonts w:hAnsi="宋体" w:cs="宋体"/>
          <w:szCs w:val="21"/>
          <w:highlight w:val="none"/>
        </w:rPr>
      </w:pPr>
      <w:r>
        <w:rPr>
          <w:rFonts w:hint="eastAsia" w:hAnsi="宋体" w:cs="宋体"/>
          <w:szCs w:val="21"/>
          <w:highlight w:val="none"/>
        </w:rPr>
        <w:t>19.3.6分包人不经承包人同意不得随意更换分包项目经理，分包项目经理如不能积极履行分包人责任或在现场工作日低于约定要求的，承包人有权要求分包人及时调整，如分包人拒不调整，承包人有权解除合同，违约责任由分包人承担。</w:t>
      </w:r>
    </w:p>
    <w:p>
      <w:pPr>
        <w:spacing w:line="440" w:lineRule="exact"/>
        <w:ind w:firstLine="480" w:firstLineChars="200"/>
        <w:rPr>
          <w:rFonts w:hAnsi="宋体" w:cs="宋体"/>
          <w:szCs w:val="21"/>
          <w:highlight w:val="none"/>
        </w:rPr>
      </w:pPr>
      <w:r>
        <w:rPr>
          <w:rFonts w:hint="eastAsia" w:hAnsi="宋体" w:cs="宋体"/>
          <w:szCs w:val="21"/>
          <w:highlight w:val="none"/>
        </w:rPr>
        <w:t>19.3.7以上各项中约定的违约金均为惩罚性违约金，与承包人的损失数额无关，各部分违约金分别计算、累计计取。该违约金未及时扣除的，承包人仍有权随时主张。</w:t>
      </w:r>
    </w:p>
    <w:p>
      <w:pPr>
        <w:pStyle w:val="4"/>
        <w:spacing w:before="0" w:after="0" w:line="440" w:lineRule="exact"/>
        <w:ind w:firstLine="321" w:firstLineChars="100"/>
        <w:jc w:val="both"/>
        <w:rPr>
          <w:highlight w:val="none"/>
        </w:rPr>
      </w:pPr>
      <w:r>
        <w:rPr>
          <w:rFonts w:hint="eastAsia"/>
          <w:highlight w:val="none"/>
        </w:rPr>
        <w:t>20、争议解决</w:t>
      </w:r>
    </w:p>
    <w:p>
      <w:pPr>
        <w:spacing w:line="440" w:lineRule="exact"/>
        <w:ind w:firstLine="480" w:firstLineChars="200"/>
        <w:rPr>
          <w:highlight w:val="none"/>
        </w:rPr>
      </w:pPr>
      <w:r>
        <w:rPr>
          <w:rFonts w:hint="eastAsia"/>
          <w:highlight w:val="none"/>
        </w:rPr>
        <w:t>20.1 双方约定，在履行分包合同过程中发生争议，双方协商解决或者调解不成时，按下列第</w:t>
      </w:r>
      <w:r>
        <w:rPr>
          <w:rFonts w:hint="eastAsia"/>
          <w:highlight w:val="none"/>
          <w:u w:val="single"/>
        </w:rPr>
        <w:t>（2）</w:t>
      </w:r>
      <w:r>
        <w:rPr>
          <w:rFonts w:hint="eastAsia"/>
          <w:highlight w:val="none"/>
        </w:rPr>
        <w:t>种方式解决争议：</w:t>
      </w:r>
    </w:p>
    <w:p>
      <w:pPr>
        <w:spacing w:line="440" w:lineRule="exact"/>
        <w:ind w:firstLine="480" w:firstLineChars="200"/>
        <w:rPr>
          <w:highlight w:val="none"/>
        </w:rPr>
      </w:pPr>
      <w:r>
        <w:rPr>
          <w:rFonts w:hint="eastAsia"/>
          <w:highlight w:val="none"/>
        </w:rPr>
        <w:t>（1）将争议提交</w:t>
      </w:r>
      <w:r>
        <w:rPr>
          <w:rFonts w:hint="eastAsia"/>
          <w:highlight w:val="none"/>
          <w:u w:val="single"/>
        </w:rPr>
        <w:t>合肥</w:t>
      </w:r>
      <w:r>
        <w:rPr>
          <w:rFonts w:hint="eastAsia"/>
          <w:highlight w:val="none"/>
        </w:rPr>
        <w:t xml:space="preserve"> 仲裁委员会申请仲裁；</w:t>
      </w:r>
    </w:p>
    <w:p>
      <w:pPr>
        <w:spacing w:line="440" w:lineRule="exact"/>
        <w:ind w:firstLine="480" w:firstLineChars="200"/>
        <w:rPr>
          <w:rFonts w:hAnsi="宋体"/>
          <w:szCs w:val="24"/>
          <w:highlight w:val="none"/>
        </w:rPr>
      </w:pPr>
      <w:r>
        <w:rPr>
          <w:rFonts w:hint="eastAsia"/>
          <w:highlight w:val="none"/>
        </w:rPr>
        <w:t>（2）依法向</w:t>
      </w:r>
      <w:r>
        <w:rPr>
          <w:rFonts w:hint="eastAsia"/>
          <w:highlight w:val="none"/>
          <w:u w:val="single"/>
        </w:rPr>
        <w:t>工程所在地</w:t>
      </w:r>
      <w:r>
        <w:rPr>
          <w:rFonts w:hint="eastAsia"/>
          <w:highlight w:val="none"/>
        </w:rPr>
        <w:t>有管辖权的人民法院提起诉讼。</w:t>
      </w:r>
      <w:bookmarkStart w:id="62" w:name="_Toc25288"/>
      <w:bookmarkStart w:id="63" w:name="_Toc26125"/>
    </w:p>
    <w:p>
      <w:pPr>
        <w:pStyle w:val="2"/>
        <w:spacing w:before="0" w:after="0" w:line="440" w:lineRule="exact"/>
        <w:ind w:firstLine="321" w:firstLineChars="100"/>
        <w:rPr>
          <w:rFonts w:ascii="宋体" w:hAnsi="宋体" w:cs="宋体"/>
          <w:szCs w:val="21"/>
          <w:highlight w:val="none"/>
        </w:rPr>
      </w:pPr>
      <w:r>
        <w:rPr>
          <w:rFonts w:hint="eastAsia" w:ascii="宋体" w:hAnsi="宋体"/>
          <w:sz w:val="32"/>
          <w:szCs w:val="32"/>
          <w:highlight w:val="none"/>
        </w:rPr>
        <w:t>21、合同终止解除</w:t>
      </w:r>
      <w:bookmarkEnd w:id="62"/>
      <w:bookmarkEnd w:id="63"/>
    </w:p>
    <w:p>
      <w:pPr>
        <w:spacing w:line="440" w:lineRule="exact"/>
        <w:ind w:firstLine="480" w:firstLineChars="200"/>
        <w:rPr>
          <w:rFonts w:hAnsi="宋体" w:cs="宋体"/>
          <w:szCs w:val="21"/>
          <w:highlight w:val="none"/>
        </w:rPr>
      </w:pPr>
      <w:r>
        <w:rPr>
          <w:rFonts w:hint="eastAsia" w:hAnsi="宋体" w:cs="宋体"/>
          <w:szCs w:val="21"/>
          <w:highlight w:val="none"/>
        </w:rPr>
        <w:t>21.1 甲乙双方协商一致，可以解除合同；</w:t>
      </w:r>
    </w:p>
    <w:p>
      <w:pPr>
        <w:spacing w:line="440" w:lineRule="exact"/>
        <w:ind w:firstLine="480" w:firstLineChars="200"/>
        <w:rPr>
          <w:rFonts w:hAnsi="宋体" w:cs="宋体"/>
          <w:szCs w:val="21"/>
          <w:highlight w:val="none"/>
        </w:rPr>
      </w:pPr>
      <w:r>
        <w:rPr>
          <w:rFonts w:hint="eastAsia" w:hAnsi="宋体" w:cs="宋体"/>
          <w:szCs w:val="21"/>
          <w:highlight w:val="none"/>
        </w:rPr>
        <w:t>21.2 因不可抗力致使合同无法履行，可以解除合同；</w:t>
      </w:r>
    </w:p>
    <w:p>
      <w:pPr>
        <w:spacing w:line="440" w:lineRule="exact"/>
        <w:ind w:firstLine="480" w:firstLineChars="200"/>
        <w:rPr>
          <w:rFonts w:hAnsi="宋体" w:cs="宋体"/>
          <w:szCs w:val="21"/>
          <w:highlight w:val="none"/>
        </w:rPr>
      </w:pPr>
      <w:r>
        <w:rPr>
          <w:rFonts w:hint="eastAsia" w:hAnsi="宋体" w:cs="宋体"/>
          <w:szCs w:val="21"/>
          <w:highlight w:val="none"/>
        </w:rPr>
        <w:t>21.3 本合同其他条款约定的合同解除条款。</w:t>
      </w:r>
    </w:p>
    <w:p>
      <w:pPr>
        <w:spacing w:line="440" w:lineRule="exact"/>
        <w:ind w:firstLine="480" w:firstLineChars="200"/>
        <w:rPr>
          <w:rFonts w:hAnsi="宋体" w:cs="宋体"/>
          <w:szCs w:val="21"/>
          <w:highlight w:val="none"/>
        </w:rPr>
      </w:pPr>
      <w:r>
        <w:rPr>
          <w:rFonts w:hint="eastAsia" w:hAnsi="宋体" w:cs="宋体"/>
          <w:szCs w:val="21"/>
          <w:highlight w:val="none"/>
        </w:rPr>
        <w:t>21.4 一方要求解除合同应以书面形式告知对方。合同解除后有过错的一方应当赔偿因合同解除给对方造成的损失。</w:t>
      </w:r>
    </w:p>
    <w:p>
      <w:pPr>
        <w:spacing w:line="440" w:lineRule="exact"/>
        <w:ind w:firstLine="480" w:firstLineChars="200"/>
        <w:rPr>
          <w:rFonts w:hAnsi="宋体" w:cs="宋体"/>
          <w:szCs w:val="21"/>
          <w:highlight w:val="none"/>
        </w:rPr>
      </w:pPr>
      <w:r>
        <w:rPr>
          <w:rFonts w:hint="eastAsia" w:hAnsi="宋体" w:cs="宋体"/>
          <w:szCs w:val="21"/>
          <w:highlight w:val="none"/>
        </w:rPr>
        <w:t>21.5当承包人依据法律规定或合同约定解除本合同时，分包人在接到解除合同的通知后应立即采取措施撤离劳务作业现场。超过 3 天未撤离的，承包人有权采取应对措施，由此产生的损失和责任均由分包人承担。</w:t>
      </w:r>
    </w:p>
    <w:p>
      <w:pPr>
        <w:spacing w:line="440" w:lineRule="exact"/>
        <w:ind w:firstLine="480" w:firstLineChars="200"/>
        <w:rPr>
          <w:rFonts w:hAnsi="宋体"/>
          <w:szCs w:val="21"/>
          <w:highlight w:val="none"/>
        </w:rPr>
      </w:pPr>
      <w:r>
        <w:rPr>
          <w:rFonts w:hint="eastAsia" w:hAnsi="宋体"/>
          <w:szCs w:val="21"/>
          <w:highlight w:val="none"/>
        </w:rPr>
        <w:t>21.6合同终止后的结算和付款</w:t>
      </w:r>
    </w:p>
    <w:p>
      <w:pPr>
        <w:spacing w:line="440" w:lineRule="exact"/>
        <w:ind w:firstLine="480" w:firstLineChars="200"/>
        <w:rPr>
          <w:rFonts w:hAnsi="宋体"/>
          <w:szCs w:val="21"/>
          <w:highlight w:val="none"/>
        </w:rPr>
      </w:pPr>
      <w:r>
        <w:rPr>
          <w:rFonts w:hint="eastAsia" w:hAnsi="宋体"/>
          <w:szCs w:val="21"/>
          <w:highlight w:val="none"/>
        </w:rPr>
        <w:t>(1）合同终止后，双方应按照承包人核定金额办理清算，清算完成前分包人应按承包人要求在规定时间内将施工现场的人员、材料、施工设备及临时工程等撤场，若拒不撤场承包人有权代为撤场，抛弃所有遗留在现场的物资、机械设备等，抛弃费用均由分包人承担，并支付承包人</w:t>
      </w:r>
      <w:r>
        <w:rPr>
          <w:rFonts w:hint="eastAsia" w:hAnsi="宋体"/>
          <w:szCs w:val="21"/>
          <w:highlight w:val="none"/>
          <w:u w:val="single"/>
        </w:rPr>
        <w:t>20000</w:t>
      </w:r>
      <w:r>
        <w:rPr>
          <w:rFonts w:hint="eastAsia" w:hAnsi="宋体"/>
          <w:szCs w:val="21"/>
          <w:highlight w:val="none"/>
        </w:rPr>
        <w:t>元管理费；承包人不承担代为撤场造成的分包人损失。</w:t>
      </w:r>
    </w:p>
    <w:p>
      <w:pPr>
        <w:spacing w:line="440" w:lineRule="exact"/>
        <w:ind w:firstLine="480" w:firstLineChars="200"/>
        <w:rPr>
          <w:rFonts w:hAnsi="宋体"/>
          <w:szCs w:val="21"/>
          <w:highlight w:val="none"/>
        </w:rPr>
      </w:pPr>
      <w:r>
        <w:rPr>
          <w:rFonts w:hint="eastAsia" w:hAnsi="宋体"/>
          <w:szCs w:val="21"/>
          <w:highlight w:val="none"/>
        </w:rPr>
        <w:t>(2）合同终止后，承包人暂停对分包人的一切付款，承包人查清付款情况和分包人违约金在内的扣款情况。</w:t>
      </w:r>
    </w:p>
    <w:p>
      <w:pPr>
        <w:spacing w:line="440" w:lineRule="exact"/>
        <w:ind w:firstLine="480" w:firstLineChars="200"/>
        <w:rPr>
          <w:highlight w:val="none"/>
        </w:rPr>
      </w:pPr>
      <w:r>
        <w:rPr>
          <w:rFonts w:hint="eastAsia" w:hAnsi="宋体"/>
          <w:szCs w:val="21"/>
          <w:highlight w:val="none"/>
        </w:rPr>
        <w:t>(3）合同终止后，承包人另行选择施工方的，所产生的工程款增加部分，由分包人按照2倍的标准赔偿，在项目全部竣工验收、结算后，承包人与分包人办理最终价款结算，承包人仍应支付分包人工程款的，继续支付，扣除赔偿款项不足部分，由分包人支付给承包人。</w:t>
      </w:r>
    </w:p>
    <w:p>
      <w:pPr>
        <w:pStyle w:val="4"/>
        <w:spacing w:before="0" w:after="0" w:line="440" w:lineRule="exact"/>
        <w:ind w:firstLine="321" w:firstLineChars="100"/>
        <w:jc w:val="both"/>
        <w:rPr>
          <w:highlight w:val="none"/>
        </w:rPr>
      </w:pPr>
      <w:r>
        <w:rPr>
          <w:rFonts w:hint="eastAsia"/>
          <w:highlight w:val="none"/>
        </w:rPr>
        <w:t>22、合同份数</w:t>
      </w:r>
    </w:p>
    <w:p>
      <w:pPr>
        <w:spacing w:line="440" w:lineRule="exact"/>
        <w:ind w:firstLine="480" w:firstLineChars="200"/>
        <w:rPr>
          <w:highlight w:val="none"/>
        </w:rPr>
      </w:pPr>
      <w:r>
        <w:rPr>
          <w:rFonts w:hint="eastAsia"/>
          <w:highlight w:val="none"/>
        </w:rPr>
        <w:t>双方约定本合同</w:t>
      </w:r>
      <w:r>
        <w:rPr>
          <w:rFonts w:hint="eastAsia"/>
          <w:highlight w:val="none"/>
          <w:u w:val="single"/>
        </w:rPr>
        <w:t>6</w:t>
      </w:r>
      <w:r>
        <w:rPr>
          <w:rFonts w:hint="eastAsia"/>
          <w:highlight w:val="none"/>
        </w:rPr>
        <w:t>份，其中，承包人</w:t>
      </w:r>
      <w:r>
        <w:rPr>
          <w:rFonts w:hint="eastAsia"/>
          <w:highlight w:val="none"/>
          <w:u w:val="single"/>
        </w:rPr>
        <w:t>3</w:t>
      </w:r>
      <w:r>
        <w:rPr>
          <w:rFonts w:hint="eastAsia"/>
          <w:highlight w:val="none"/>
        </w:rPr>
        <w:t>份，分包人</w:t>
      </w:r>
      <w:r>
        <w:rPr>
          <w:rFonts w:hint="eastAsia"/>
          <w:highlight w:val="none"/>
          <w:u w:val="single"/>
        </w:rPr>
        <w:t>3</w:t>
      </w:r>
      <w:r>
        <w:rPr>
          <w:rFonts w:hint="eastAsia"/>
          <w:highlight w:val="none"/>
        </w:rPr>
        <w:t>份。</w:t>
      </w:r>
    </w:p>
    <w:p>
      <w:pPr>
        <w:pStyle w:val="4"/>
        <w:spacing w:before="0" w:after="0" w:line="440" w:lineRule="exact"/>
        <w:ind w:firstLine="321" w:firstLineChars="100"/>
        <w:jc w:val="both"/>
        <w:rPr>
          <w:highlight w:val="none"/>
        </w:rPr>
      </w:pPr>
      <w:r>
        <w:rPr>
          <w:rFonts w:hint="eastAsia"/>
          <w:highlight w:val="none"/>
        </w:rPr>
        <w:t>23、补充条款</w:t>
      </w:r>
    </w:p>
    <w:p>
      <w:pPr>
        <w:spacing w:line="440" w:lineRule="exact"/>
        <w:ind w:firstLine="480" w:firstLineChars="200"/>
        <w:rPr>
          <w:highlight w:val="none"/>
        </w:rPr>
      </w:pPr>
      <w:r>
        <w:rPr>
          <w:rFonts w:hint="eastAsia"/>
          <w:highlight w:val="none"/>
        </w:rPr>
        <w:t>就本合同未尽事宜，双方可另行协商后签订补充协议，补充协议与本合同具有相同法律效力。</w:t>
      </w:r>
    </w:p>
    <w:p>
      <w:pPr>
        <w:spacing w:line="420" w:lineRule="exact"/>
        <w:ind w:firstLine="480" w:firstLineChars="200"/>
        <w:rPr>
          <w:highlight w:val="none"/>
        </w:rPr>
      </w:pPr>
    </w:p>
    <w:tbl>
      <w:tblPr>
        <w:tblStyle w:val="62"/>
        <w:tblW w:w="8552" w:type="dxa"/>
        <w:tblInd w:w="0" w:type="dxa"/>
        <w:tblLayout w:type="fixed"/>
        <w:tblCellMar>
          <w:top w:w="0" w:type="dxa"/>
          <w:left w:w="108" w:type="dxa"/>
          <w:bottom w:w="0" w:type="dxa"/>
          <w:right w:w="108" w:type="dxa"/>
        </w:tblCellMar>
      </w:tblPr>
      <w:tblGrid>
        <w:gridCol w:w="4276"/>
        <w:gridCol w:w="4276"/>
      </w:tblGrid>
      <w:tr>
        <w:tblPrEx>
          <w:tblCellMar>
            <w:top w:w="0" w:type="dxa"/>
            <w:left w:w="108" w:type="dxa"/>
            <w:bottom w:w="0" w:type="dxa"/>
            <w:right w:w="108" w:type="dxa"/>
          </w:tblCellMar>
        </w:tblPrEx>
        <w:trPr>
          <w:trHeight w:val="863" w:hRule="atLeast"/>
        </w:trPr>
        <w:tc>
          <w:tcPr>
            <w:tcW w:w="4276" w:type="dxa"/>
            <w:noWrap/>
          </w:tcPr>
          <w:p>
            <w:pPr>
              <w:spacing w:line="360" w:lineRule="exact"/>
              <w:rPr>
                <w:rFonts w:hAnsi="宋体" w:cs="宋体"/>
                <w:szCs w:val="21"/>
                <w:highlight w:val="none"/>
              </w:rPr>
            </w:pPr>
            <w:r>
              <w:rPr>
                <w:rFonts w:hint="eastAsia" w:hAnsi="宋体" w:cs="宋体"/>
                <w:szCs w:val="21"/>
                <w:highlight w:val="none"/>
              </w:rPr>
              <w:t>承包人（盖章）：</w:t>
            </w:r>
          </w:p>
        </w:tc>
        <w:tc>
          <w:tcPr>
            <w:tcW w:w="4276" w:type="dxa"/>
            <w:noWrap/>
          </w:tcPr>
          <w:p>
            <w:pPr>
              <w:spacing w:line="360" w:lineRule="exact"/>
              <w:rPr>
                <w:rFonts w:hAnsi="宋体" w:cs="宋体"/>
                <w:szCs w:val="21"/>
                <w:highlight w:val="none"/>
              </w:rPr>
            </w:pPr>
            <w:r>
              <w:rPr>
                <w:rFonts w:hint="eastAsia" w:hAnsi="宋体" w:cs="宋体"/>
                <w:szCs w:val="21"/>
                <w:highlight w:val="none"/>
              </w:rPr>
              <w:t>分包人（盖章）：</w:t>
            </w:r>
          </w:p>
        </w:tc>
      </w:tr>
      <w:tr>
        <w:tblPrEx>
          <w:tblCellMar>
            <w:top w:w="0" w:type="dxa"/>
            <w:left w:w="108" w:type="dxa"/>
            <w:bottom w:w="0" w:type="dxa"/>
            <w:right w:w="108" w:type="dxa"/>
          </w:tblCellMar>
        </w:tblPrEx>
        <w:trPr>
          <w:trHeight w:val="863" w:hRule="atLeast"/>
        </w:trPr>
        <w:tc>
          <w:tcPr>
            <w:tcW w:w="4276" w:type="dxa"/>
            <w:noWrap/>
          </w:tcPr>
          <w:p>
            <w:pPr>
              <w:spacing w:line="360" w:lineRule="exact"/>
              <w:ind w:left="1200" w:hanging="1200" w:hangingChars="500"/>
              <w:rPr>
                <w:rFonts w:hAnsi="宋体" w:cs="宋体"/>
                <w:szCs w:val="21"/>
                <w:highlight w:val="none"/>
              </w:rPr>
            </w:pPr>
            <w:r>
              <w:rPr>
                <w:rFonts w:hint="eastAsia" w:hAnsi="宋体" w:cs="宋体"/>
                <w:szCs w:val="21"/>
                <w:highlight w:val="none"/>
              </w:rPr>
              <w:t>住所地址：</w:t>
            </w:r>
          </w:p>
        </w:tc>
        <w:tc>
          <w:tcPr>
            <w:tcW w:w="4276" w:type="dxa"/>
            <w:noWrap/>
          </w:tcPr>
          <w:p>
            <w:pPr>
              <w:spacing w:line="360" w:lineRule="exact"/>
              <w:rPr>
                <w:rFonts w:hAnsi="宋体" w:cs="宋体"/>
                <w:szCs w:val="21"/>
                <w:highlight w:val="none"/>
              </w:rPr>
            </w:pPr>
            <w:r>
              <w:rPr>
                <w:rFonts w:hint="eastAsia" w:hAnsi="宋体" w:cs="宋体"/>
                <w:szCs w:val="21"/>
                <w:highlight w:val="none"/>
              </w:rPr>
              <w:t>住所地址：</w:t>
            </w:r>
          </w:p>
        </w:tc>
      </w:tr>
      <w:tr>
        <w:tblPrEx>
          <w:tblCellMar>
            <w:top w:w="0" w:type="dxa"/>
            <w:left w:w="108" w:type="dxa"/>
            <w:bottom w:w="0" w:type="dxa"/>
            <w:right w:w="108" w:type="dxa"/>
          </w:tblCellMar>
        </w:tblPrEx>
        <w:trPr>
          <w:trHeight w:val="863" w:hRule="atLeast"/>
        </w:trPr>
        <w:tc>
          <w:tcPr>
            <w:tcW w:w="4276" w:type="dxa"/>
            <w:noWrap/>
          </w:tcPr>
          <w:p>
            <w:pPr>
              <w:spacing w:line="360" w:lineRule="exact"/>
              <w:rPr>
                <w:rFonts w:hAnsi="宋体" w:cs="宋体"/>
                <w:szCs w:val="21"/>
                <w:highlight w:val="none"/>
              </w:rPr>
            </w:pPr>
            <w:r>
              <w:rPr>
                <w:rFonts w:hint="eastAsia" w:hAnsi="宋体" w:cs="宋体"/>
                <w:szCs w:val="21"/>
                <w:highlight w:val="none"/>
              </w:rPr>
              <w:t>法定代表人：</w:t>
            </w:r>
          </w:p>
        </w:tc>
        <w:tc>
          <w:tcPr>
            <w:tcW w:w="4276" w:type="dxa"/>
            <w:noWrap/>
          </w:tcPr>
          <w:p>
            <w:pPr>
              <w:spacing w:line="360" w:lineRule="exact"/>
              <w:rPr>
                <w:rFonts w:hAnsi="宋体" w:cs="宋体"/>
                <w:szCs w:val="21"/>
                <w:highlight w:val="none"/>
              </w:rPr>
            </w:pPr>
            <w:r>
              <w:rPr>
                <w:rFonts w:hint="eastAsia" w:hAnsi="宋体" w:cs="宋体"/>
                <w:szCs w:val="21"/>
                <w:highlight w:val="none"/>
              </w:rPr>
              <w:t>法定代表人：</w:t>
            </w:r>
          </w:p>
        </w:tc>
      </w:tr>
      <w:tr>
        <w:tblPrEx>
          <w:tblCellMar>
            <w:top w:w="0" w:type="dxa"/>
            <w:left w:w="108" w:type="dxa"/>
            <w:bottom w:w="0" w:type="dxa"/>
            <w:right w:w="108" w:type="dxa"/>
          </w:tblCellMar>
        </w:tblPrEx>
        <w:trPr>
          <w:trHeight w:val="1178" w:hRule="atLeast"/>
        </w:trPr>
        <w:tc>
          <w:tcPr>
            <w:tcW w:w="4276" w:type="dxa"/>
            <w:noWrap/>
          </w:tcPr>
          <w:p>
            <w:pPr>
              <w:spacing w:line="360" w:lineRule="exact"/>
              <w:rPr>
                <w:rFonts w:hAnsi="宋体" w:cs="宋体"/>
                <w:szCs w:val="21"/>
                <w:highlight w:val="none"/>
              </w:rPr>
            </w:pPr>
            <w:r>
              <w:rPr>
                <w:rFonts w:hint="eastAsia" w:hAnsi="宋体" w:cs="宋体"/>
                <w:szCs w:val="21"/>
                <w:highlight w:val="none"/>
              </w:rPr>
              <w:t>委托代理人：</w:t>
            </w:r>
          </w:p>
        </w:tc>
        <w:tc>
          <w:tcPr>
            <w:tcW w:w="4276" w:type="dxa"/>
            <w:noWrap/>
          </w:tcPr>
          <w:p>
            <w:pPr>
              <w:spacing w:line="360" w:lineRule="exact"/>
              <w:rPr>
                <w:rFonts w:hAnsi="宋体" w:cs="宋体"/>
                <w:szCs w:val="21"/>
                <w:highlight w:val="none"/>
              </w:rPr>
            </w:pPr>
            <w:r>
              <w:rPr>
                <w:rFonts w:hint="eastAsia" w:hAnsi="宋体" w:cs="宋体"/>
                <w:szCs w:val="21"/>
                <w:highlight w:val="none"/>
              </w:rPr>
              <w:t>委托代理人：</w:t>
            </w:r>
          </w:p>
        </w:tc>
      </w:tr>
      <w:tr>
        <w:tblPrEx>
          <w:tblCellMar>
            <w:top w:w="0" w:type="dxa"/>
            <w:left w:w="108" w:type="dxa"/>
            <w:bottom w:w="0" w:type="dxa"/>
            <w:right w:w="108" w:type="dxa"/>
          </w:tblCellMar>
        </w:tblPrEx>
        <w:trPr>
          <w:trHeight w:val="1148" w:hRule="atLeast"/>
        </w:trPr>
        <w:tc>
          <w:tcPr>
            <w:tcW w:w="4276" w:type="dxa"/>
            <w:noWrap/>
          </w:tcPr>
          <w:p>
            <w:pPr>
              <w:spacing w:line="360" w:lineRule="exact"/>
              <w:rPr>
                <w:rFonts w:hAnsi="宋体" w:cs="宋体"/>
                <w:szCs w:val="21"/>
                <w:highlight w:val="none"/>
              </w:rPr>
            </w:pPr>
            <w:r>
              <w:rPr>
                <w:rFonts w:hint="eastAsia" w:hAnsi="宋体" w:cs="宋体"/>
                <w:szCs w:val="21"/>
                <w:highlight w:val="none"/>
              </w:rPr>
              <w:t>电话：</w:t>
            </w:r>
          </w:p>
        </w:tc>
        <w:tc>
          <w:tcPr>
            <w:tcW w:w="4276" w:type="dxa"/>
            <w:noWrap/>
          </w:tcPr>
          <w:p>
            <w:pPr>
              <w:spacing w:line="360" w:lineRule="exact"/>
              <w:rPr>
                <w:rFonts w:hAnsi="宋体" w:cs="宋体"/>
                <w:szCs w:val="21"/>
                <w:highlight w:val="none"/>
              </w:rPr>
            </w:pPr>
            <w:r>
              <w:rPr>
                <w:rFonts w:hint="eastAsia" w:hAnsi="宋体" w:cs="宋体"/>
                <w:szCs w:val="21"/>
                <w:highlight w:val="none"/>
              </w:rPr>
              <w:t>电话：</w:t>
            </w:r>
          </w:p>
        </w:tc>
      </w:tr>
    </w:tbl>
    <w:p>
      <w:pPr>
        <w:numPr>
          <w:ilvl w:val="0"/>
          <w:numId w:val="5"/>
        </w:numPr>
        <w:snapToGrid w:val="0"/>
        <w:spacing w:line="520" w:lineRule="exact"/>
        <w:ind w:firstLine="643" w:firstLineChars="200"/>
        <w:rPr>
          <w:rFonts w:ascii="仿宋_GB2312" w:eastAsia="仿宋_GB2312"/>
          <w:b/>
          <w:bCs/>
          <w:sz w:val="32"/>
          <w:szCs w:val="32"/>
          <w:highlight w:val="none"/>
        </w:rPr>
      </w:pPr>
      <w:r>
        <w:rPr>
          <w:rFonts w:hint="eastAsia" w:ascii="仿宋_GB2312" w:eastAsia="仿宋_GB2312"/>
          <w:b/>
          <w:bCs/>
          <w:sz w:val="32"/>
          <w:szCs w:val="32"/>
          <w:highlight w:val="none"/>
        </w:rPr>
        <w:t>采购需求</w:t>
      </w:r>
    </w:p>
    <w:p>
      <w:pPr>
        <w:snapToGrid w:val="0"/>
        <w:spacing w:line="520" w:lineRule="exact"/>
        <w:rPr>
          <w:rFonts w:ascii="仿宋_GB2312" w:eastAsia="仿宋_GB2312"/>
          <w:b/>
          <w:bCs/>
          <w:sz w:val="32"/>
          <w:szCs w:val="32"/>
          <w:highlight w:val="none"/>
        </w:rPr>
      </w:pPr>
    </w:p>
    <w:p>
      <w:pPr>
        <w:spacing w:line="360" w:lineRule="auto"/>
        <w:ind w:firstLine="465" w:firstLineChars="194"/>
        <w:rPr>
          <w:rFonts w:hAnsi="宋体"/>
          <w:snapToGrid w:val="0"/>
          <w:color w:val="000000"/>
          <w:szCs w:val="28"/>
          <w:highlight w:val="none"/>
        </w:rPr>
      </w:pPr>
      <w:r>
        <w:rPr>
          <w:rFonts w:hint="eastAsia" w:hAnsi="宋体"/>
          <w:snapToGrid w:val="0"/>
          <w:color w:val="000000"/>
          <w:szCs w:val="28"/>
          <w:highlight w:val="none"/>
        </w:rPr>
        <w:t>投标人应当在响应文件中列出完成本项目所需的所有各项明细及全部费用。投标人应自行勘察项目现场，如投标人因未及时勘察现场而导致的报价缺项漏项废标、或中标后无法完工，投标人自行承担一切后果。</w:t>
      </w:r>
    </w:p>
    <w:p>
      <w:pPr>
        <w:keepNext/>
        <w:keepLines/>
        <w:spacing w:before="240" w:after="120"/>
        <w:outlineLvl w:val="2"/>
        <w:rPr>
          <w:b/>
          <w:bCs/>
          <w:snapToGrid w:val="0"/>
          <w:szCs w:val="24"/>
          <w:highlight w:val="none"/>
        </w:rPr>
      </w:pPr>
      <w:bookmarkStart w:id="64" w:name="_Toc518051945"/>
      <w:bookmarkStart w:id="65" w:name="_Toc515874689"/>
      <w:bookmarkStart w:id="66" w:name="_Toc14567"/>
      <w:r>
        <w:rPr>
          <w:rFonts w:hint="eastAsia"/>
          <w:b/>
          <w:bCs/>
          <w:snapToGrid w:val="0"/>
          <w:szCs w:val="24"/>
          <w:highlight w:val="none"/>
        </w:rPr>
        <w:t>（一）工程量清单</w:t>
      </w:r>
      <w:bookmarkEnd w:id="64"/>
      <w:bookmarkEnd w:id="65"/>
      <w:bookmarkEnd w:id="66"/>
    </w:p>
    <w:p>
      <w:pPr>
        <w:tabs>
          <w:tab w:val="left" w:pos="720"/>
        </w:tabs>
        <w:spacing w:line="360" w:lineRule="auto"/>
        <w:ind w:firstLine="504" w:firstLineChars="210"/>
        <w:rPr>
          <w:snapToGrid w:val="0"/>
          <w:szCs w:val="24"/>
          <w:highlight w:val="none"/>
        </w:rPr>
      </w:pPr>
      <w:r>
        <w:rPr>
          <w:rFonts w:hint="eastAsia"/>
          <w:snapToGrid w:val="0"/>
          <w:szCs w:val="24"/>
          <w:highlight w:val="none"/>
        </w:rPr>
        <w:t>1.1、详见附件《工程预算表》。</w:t>
      </w:r>
    </w:p>
    <w:p>
      <w:pPr>
        <w:keepNext/>
        <w:keepLines/>
        <w:spacing w:line="360" w:lineRule="auto"/>
        <w:outlineLvl w:val="2"/>
        <w:rPr>
          <w:b/>
          <w:bCs/>
          <w:snapToGrid w:val="0"/>
          <w:szCs w:val="32"/>
          <w:highlight w:val="none"/>
        </w:rPr>
      </w:pPr>
      <w:bookmarkStart w:id="67" w:name="_Toc518051946"/>
      <w:bookmarkStart w:id="68" w:name="_Toc29696"/>
      <w:r>
        <w:rPr>
          <w:rFonts w:hint="eastAsia"/>
          <w:b/>
          <w:bCs/>
          <w:snapToGrid w:val="0"/>
          <w:szCs w:val="32"/>
          <w:highlight w:val="none"/>
        </w:rPr>
        <w:t>（二）投标报价</w:t>
      </w:r>
      <w:bookmarkEnd w:id="67"/>
      <w:bookmarkEnd w:id="68"/>
    </w:p>
    <w:p>
      <w:pPr>
        <w:spacing w:line="440" w:lineRule="exact"/>
        <w:ind w:firstLine="489" w:firstLineChars="204"/>
        <w:rPr>
          <w:rFonts w:hAnsi="宋体"/>
          <w:snapToGrid w:val="0"/>
          <w:szCs w:val="24"/>
          <w:highlight w:val="none"/>
        </w:rPr>
      </w:pPr>
      <w:r>
        <w:rPr>
          <w:rFonts w:hint="eastAsia" w:hAnsi="宋体"/>
          <w:snapToGrid w:val="0"/>
          <w:szCs w:val="24"/>
          <w:highlight w:val="none"/>
        </w:rPr>
        <w:t>2.1、投标人必须填报工程量清单附表中各项单价、合价和投标报价汇总。</w:t>
      </w:r>
    </w:p>
    <w:p>
      <w:pPr>
        <w:spacing w:line="360" w:lineRule="auto"/>
        <w:ind w:firstLine="489" w:firstLineChars="204"/>
        <w:rPr>
          <w:rFonts w:hAnsi="宋体"/>
          <w:snapToGrid w:val="0"/>
          <w:szCs w:val="24"/>
          <w:highlight w:val="none"/>
        </w:rPr>
      </w:pPr>
      <w:r>
        <w:rPr>
          <w:rFonts w:hint="eastAsia" w:hAnsi="宋体"/>
          <w:snapToGrid w:val="0"/>
          <w:szCs w:val="24"/>
          <w:highlight w:val="none"/>
        </w:rPr>
        <w:t>2.2、综合单价包含内容：包工、包料（甲供材除外）、包机具。中标人为完成合同规定的全部工作需支付的一切费用，如人工费、材料费、机具费、调遣费、租赁费、原材料检测费、工程资料费、垃圾清运费 、往返差旅费、临时住房费、加班费、临时设施费、拆除及维护费、生活及施工水电费、炊事员工资、生活区卫生费、文明施工费、车辆进出保洁费和拟获得的利润，以及税金，并考虑应承担的风险（如安全、交通事故、社会纠纷等）的一切费用。</w:t>
      </w:r>
    </w:p>
    <w:p>
      <w:pPr>
        <w:spacing w:line="440" w:lineRule="exact"/>
        <w:ind w:firstLine="489" w:firstLineChars="204"/>
        <w:rPr>
          <w:rFonts w:hAnsi="宋体"/>
          <w:snapToGrid w:val="0"/>
          <w:szCs w:val="24"/>
          <w:highlight w:val="none"/>
        </w:rPr>
      </w:pPr>
      <w:r>
        <w:rPr>
          <w:rFonts w:hint="eastAsia" w:hAnsi="宋体"/>
          <w:snapToGrid w:val="0"/>
          <w:szCs w:val="24"/>
          <w:highlight w:val="none"/>
        </w:rPr>
        <w:t>2.3、中标人安全防护用品和劳保用品自行采购配备并且要符合国家、行业、地方及招标人安全规定。若中标人不按招标人有关规定执行，招标人将统一办理，发生的费用从中标人工程款中扣除。</w:t>
      </w:r>
    </w:p>
    <w:p>
      <w:pPr>
        <w:spacing w:line="440" w:lineRule="exact"/>
        <w:ind w:firstLine="489" w:firstLineChars="204"/>
        <w:rPr>
          <w:rFonts w:hAnsi="宋体"/>
          <w:snapToGrid w:val="0"/>
          <w:szCs w:val="24"/>
          <w:highlight w:val="none"/>
        </w:rPr>
      </w:pPr>
      <w:r>
        <w:rPr>
          <w:rFonts w:hint="eastAsia" w:hAnsi="宋体"/>
          <w:snapToGrid w:val="0"/>
          <w:szCs w:val="24"/>
          <w:highlight w:val="none"/>
        </w:rPr>
        <w:t>2.4、投标报价按清单列表填写含税价格</w:t>
      </w:r>
      <w:r>
        <w:rPr>
          <w:rFonts w:hint="eastAsia" w:hAnsi="宋体" w:cs="宋体"/>
          <w:snapToGrid w:val="0"/>
          <w:szCs w:val="24"/>
          <w:highlight w:val="none"/>
        </w:rPr>
        <w:t>。</w:t>
      </w:r>
      <w:r>
        <w:rPr>
          <w:rFonts w:hint="eastAsia" w:hAnsi="宋体"/>
          <w:snapToGrid w:val="0"/>
          <w:szCs w:val="24"/>
          <w:highlight w:val="none"/>
        </w:rPr>
        <w:t>附加税含在综合单价内。</w:t>
      </w:r>
    </w:p>
    <w:p>
      <w:pPr>
        <w:spacing w:line="440" w:lineRule="exact"/>
        <w:ind w:firstLine="489" w:firstLineChars="204"/>
        <w:rPr>
          <w:rFonts w:hAnsi="宋体"/>
          <w:snapToGrid w:val="0"/>
          <w:szCs w:val="24"/>
          <w:highlight w:val="none"/>
        </w:rPr>
      </w:pPr>
      <w:r>
        <w:rPr>
          <w:rFonts w:hint="eastAsia" w:hAnsi="宋体" w:cs="宋体"/>
          <w:snapToGrid w:val="0"/>
          <w:szCs w:val="24"/>
          <w:highlight w:val="none"/>
        </w:rPr>
        <w:t>2.5、</w:t>
      </w:r>
      <w:r>
        <w:rPr>
          <w:rFonts w:hint="eastAsia" w:hAnsi="宋体" w:cs="仿宋"/>
          <w:snapToGrid w:val="0"/>
          <w:szCs w:val="24"/>
          <w:highlight w:val="none"/>
        </w:rPr>
        <w:t>投标人须认真研究招标文件的所有资料，一经承诺，必须履行</w:t>
      </w:r>
      <w:r>
        <w:rPr>
          <w:rFonts w:hint="eastAsia" w:hAnsi="宋体" w:cs="宋体"/>
          <w:snapToGrid w:val="0"/>
          <w:szCs w:val="24"/>
          <w:highlight w:val="none"/>
        </w:rPr>
        <w:t>。</w:t>
      </w:r>
    </w:p>
    <w:p>
      <w:pPr>
        <w:spacing w:line="440" w:lineRule="exact"/>
        <w:ind w:firstLine="489" w:firstLineChars="204"/>
        <w:rPr>
          <w:rFonts w:hAnsi="宋体"/>
          <w:snapToGrid w:val="0"/>
          <w:szCs w:val="24"/>
          <w:highlight w:val="none"/>
        </w:rPr>
      </w:pPr>
      <w:r>
        <w:rPr>
          <w:rFonts w:hint="eastAsia" w:hAnsi="宋体"/>
          <w:snapToGrid w:val="0"/>
          <w:szCs w:val="24"/>
          <w:highlight w:val="none"/>
        </w:rPr>
        <w:t>2.6、勘察现场研究：投标人应认真对现场进行勘查，对工程的地理位置、周围环境、施工现场情况及工作内容和工程量进行综合考虑，作出自己的判断结论和估价，并考虑在投标报价中，中标后不得再以没有进行现场勘察或不了解等原因调整单价，或提出索赔（包括工期和价格）要求。</w:t>
      </w:r>
    </w:p>
    <w:p>
      <w:pPr>
        <w:keepNext/>
        <w:keepLines/>
        <w:spacing w:line="360" w:lineRule="auto"/>
        <w:outlineLvl w:val="2"/>
        <w:rPr>
          <w:b/>
          <w:bCs/>
          <w:snapToGrid w:val="0"/>
          <w:szCs w:val="32"/>
          <w:highlight w:val="none"/>
        </w:rPr>
      </w:pPr>
      <w:bookmarkStart w:id="69" w:name="_Toc32738"/>
      <w:bookmarkStart w:id="70" w:name="_Toc518051947"/>
      <w:r>
        <w:rPr>
          <w:rFonts w:hint="eastAsia"/>
          <w:b/>
          <w:bCs/>
          <w:snapToGrid w:val="0"/>
          <w:szCs w:val="32"/>
          <w:highlight w:val="none"/>
        </w:rPr>
        <w:t>（三）质量要求</w:t>
      </w:r>
      <w:bookmarkEnd w:id="69"/>
      <w:bookmarkEnd w:id="70"/>
    </w:p>
    <w:p>
      <w:pPr>
        <w:spacing w:line="440" w:lineRule="exact"/>
        <w:ind w:firstLine="480" w:firstLineChars="200"/>
        <w:rPr>
          <w:rFonts w:hAnsi="宋体"/>
          <w:snapToGrid w:val="0"/>
          <w:szCs w:val="24"/>
          <w:highlight w:val="none"/>
        </w:rPr>
      </w:pPr>
      <w:r>
        <w:rPr>
          <w:rFonts w:hint="eastAsia" w:hAnsi="宋体"/>
          <w:snapToGrid w:val="0"/>
          <w:szCs w:val="24"/>
          <w:highlight w:val="none"/>
        </w:rPr>
        <w:t>3.1中标人需组建项目质量管理机构，配备专职质检员，并到岗履责。</w:t>
      </w:r>
    </w:p>
    <w:p>
      <w:pPr>
        <w:spacing w:line="440" w:lineRule="exact"/>
        <w:ind w:firstLine="480" w:firstLineChars="200"/>
        <w:rPr>
          <w:rFonts w:hAnsi="宋体"/>
          <w:snapToGrid w:val="0"/>
          <w:szCs w:val="24"/>
          <w:highlight w:val="none"/>
        </w:rPr>
      </w:pPr>
      <w:r>
        <w:rPr>
          <w:rFonts w:hint="eastAsia" w:hAnsi="宋体"/>
          <w:snapToGrid w:val="0"/>
          <w:szCs w:val="24"/>
          <w:highlight w:val="none"/>
        </w:rPr>
        <w:t>3.2中标人应配备相应的质量检查工具、与承包工程内容相适应的验收标准、规范等。</w:t>
      </w:r>
    </w:p>
    <w:p>
      <w:pPr>
        <w:spacing w:line="440" w:lineRule="exact"/>
        <w:ind w:firstLine="480" w:firstLineChars="200"/>
        <w:rPr>
          <w:rFonts w:hAnsi="宋体"/>
          <w:snapToGrid w:val="0"/>
          <w:szCs w:val="24"/>
          <w:highlight w:val="none"/>
        </w:rPr>
      </w:pPr>
      <w:r>
        <w:rPr>
          <w:rFonts w:hint="eastAsia" w:hAnsi="宋体"/>
          <w:snapToGrid w:val="0"/>
          <w:szCs w:val="24"/>
          <w:highlight w:val="none"/>
        </w:rPr>
        <w:t>3.3中标人在施工过程中严格执行国家、行业、地方及承包方在建设工程中相关的法律、法规、验收标准及规范。</w:t>
      </w:r>
    </w:p>
    <w:p>
      <w:pPr>
        <w:spacing w:line="440" w:lineRule="exact"/>
        <w:ind w:firstLine="482" w:firstLineChars="200"/>
        <w:rPr>
          <w:rFonts w:hAnsi="宋体"/>
          <w:b/>
          <w:snapToGrid w:val="0"/>
          <w:szCs w:val="24"/>
          <w:highlight w:val="none"/>
        </w:rPr>
      </w:pPr>
      <w:r>
        <w:rPr>
          <w:rFonts w:hint="eastAsia" w:hAnsi="宋体"/>
          <w:b/>
          <w:snapToGrid w:val="0"/>
          <w:szCs w:val="24"/>
          <w:highlight w:val="none"/>
        </w:rPr>
        <w:t>3.4中标人提供的用于工程的材料、设备必须经检测合格后方可投入使用。中标人必须在招标人的见证下按规定抽取样本并送有资质的检测单位进行试验，且检测（试验）委托人则必须为招标人。</w:t>
      </w:r>
    </w:p>
    <w:p>
      <w:pPr>
        <w:spacing w:line="440" w:lineRule="exact"/>
        <w:ind w:firstLine="482" w:firstLineChars="200"/>
        <w:rPr>
          <w:rFonts w:hAnsi="宋体"/>
          <w:b/>
          <w:snapToGrid w:val="0"/>
          <w:szCs w:val="24"/>
          <w:highlight w:val="none"/>
        </w:rPr>
      </w:pPr>
      <w:r>
        <w:rPr>
          <w:rFonts w:hint="eastAsia" w:hAnsi="宋体"/>
          <w:b/>
          <w:snapToGrid w:val="0"/>
          <w:szCs w:val="24"/>
          <w:highlight w:val="none"/>
        </w:rPr>
        <w:t>3.5中标人施工的每道工序（检验批）施工完成后，根据设计图纸、验收标准及规范等进行自检，自检优良后报承包方复验，并经公司验收优良后才允许转序施工。</w:t>
      </w:r>
    </w:p>
    <w:p>
      <w:pPr>
        <w:spacing w:line="440" w:lineRule="exact"/>
        <w:ind w:firstLine="480" w:firstLineChars="200"/>
        <w:rPr>
          <w:rFonts w:hAnsi="宋体"/>
          <w:snapToGrid w:val="0"/>
          <w:szCs w:val="24"/>
          <w:highlight w:val="none"/>
        </w:rPr>
      </w:pPr>
      <w:r>
        <w:rPr>
          <w:rFonts w:hint="eastAsia" w:hAnsi="宋体"/>
          <w:snapToGrid w:val="0"/>
          <w:szCs w:val="24"/>
          <w:highlight w:val="none"/>
        </w:rPr>
        <w:t>3.6</w:t>
      </w:r>
      <w:r>
        <w:rPr>
          <w:rFonts w:hint="eastAsia" w:hAnsi="宋体"/>
          <w:b/>
          <w:snapToGrid w:val="0"/>
          <w:szCs w:val="24"/>
          <w:highlight w:val="none"/>
        </w:rPr>
        <w:t>杜绝发生任何质量事故。</w:t>
      </w:r>
      <w:r>
        <w:rPr>
          <w:rFonts w:hint="eastAsia" w:hAnsi="宋体"/>
          <w:snapToGrid w:val="0"/>
          <w:szCs w:val="24"/>
          <w:highlight w:val="none"/>
        </w:rPr>
        <w:t>如发生质量事故或由质量事故引起的安全事故</w:t>
      </w:r>
      <w:r>
        <w:rPr>
          <w:rFonts w:hAnsi="宋体"/>
          <w:snapToGrid w:val="0"/>
          <w:szCs w:val="24"/>
          <w:highlight w:val="none"/>
        </w:rPr>
        <w:t>，</w:t>
      </w:r>
      <w:r>
        <w:rPr>
          <w:rFonts w:hint="eastAsia" w:hAnsi="宋体"/>
          <w:b/>
          <w:snapToGrid w:val="0"/>
          <w:szCs w:val="24"/>
          <w:highlight w:val="none"/>
        </w:rPr>
        <w:t>按国家、行业、地方相关的制度按责任处理，费用自理，并承担由此给招标人带来的影响与损失。</w:t>
      </w:r>
    </w:p>
    <w:p>
      <w:pPr>
        <w:spacing w:line="440" w:lineRule="exact"/>
        <w:ind w:firstLine="482" w:firstLineChars="200"/>
        <w:rPr>
          <w:rFonts w:hAnsi="宋体"/>
          <w:snapToGrid w:val="0"/>
          <w:szCs w:val="24"/>
          <w:highlight w:val="none"/>
        </w:rPr>
      </w:pPr>
      <w:r>
        <w:rPr>
          <w:rFonts w:hint="eastAsia" w:hAnsi="宋体"/>
          <w:b/>
          <w:snapToGrid w:val="0"/>
          <w:szCs w:val="24"/>
          <w:highlight w:val="none"/>
        </w:rPr>
        <w:t>3.7</w:t>
      </w:r>
      <w:r>
        <w:rPr>
          <w:rFonts w:hint="eastAsia" w:hAnsi="宋体"/>
          <w:snapToGrid w:val="0"/>
          <w:szCs w:val="24"/>
          <w:highlight w:val="none"/>
        </w:rPr>
        <w:t>工程完工后，由招标人组织人员，根据合同、设计文件等对中标人施工的工程进行验收，符合且待工程竣工验收备案后，按《工程质量保修办法》签订质量保修书，保修期及质量保证金的退还按保修书实施。</w:t>
      </w:r>
    </w:p>
    <w:p>
      <w:pPr>
        <w:keepNext/>
        <w:keepLines/>
        <w:spacing w:line="360" w:lineRule="auto"/>
        <w:outlineLvl w:val="2"/>
        <w:rPr>
          <w:b/>
          <w:bCs/>
          <w:snapToGrid w:val="0"/>
          <w:szCs w:val="32"/>
          <w:highlight w:val="none"/>
        </w:rPr>
      </w:pPr>
      <w:bookmarkStart w:id="71" w:name="_Toc10987"/>
      <w:bookmarkStart w:id="72" w:name="_Toc518051948"/>
      <w:r>
        <w:rPr>
          <w:rFonts w:hint="eastAsia"/>
          <w:b/>
          <w:bCs/>
          <w:snapToGrid w:val="0"/>
          <w:szCs w:val="32"/>
          <w:highlight w:val="none"/>
        </w:rPr>
        <w:t>（四）安全生产要求</w:t>
      </w:r>
      <w:bookmarkEnd w:id="71"/>
      <w:bookmarkEnd w:id="72"/>
    </w:p>
    <w:p>
      <w:pPr>
        <w:spacing w:line="440" w:lineRule="exact"/>
        <w:ind w:firstLine="480" w:firstLineChars="200"/>
        <w:rPr>
          <w:rFonts w:hAnsi="宋体"/>
          <w:snapToGrid w:val="0"/>
          <w:szCs w:val="24"/>
          <w:highlight w:val="none"/>
        </w:rPr>
      </w:pPr>
      <w:r>
        <w:rPr>
          <w:rFonts w:hint="eastAsia" w:hAnsi="宋体"/>
          <w:snapToGrid w:val="0"/>
          <w:szCs w:val="24"/>
          <w:highlight w:val="none"/>
        </w:rPr>
        <w:t>4.1、中标人组建项目安全管理机构，配备专职安全员，并到岗履责。</w:t>
      </w:r>
    </w:p>
    <w:p>
      <w:pPr>
        <w:spacing w:line="440" w:lineRule="exact"/>
        <w:ind w:firstLine="480" w:firstLineChars="200"/>
        <w:rPr>
          <w:rFonts w:hAnsi="宋体"/>
          <w:snapToGrid w:val="0"/>
          <w:szCs w:val="24"/>
          <w:highlight w:val="none"/>
        </w:rPr>
      </w:pPr>
      <w:r>
        <w:rPr>
          <w:rFonts w:hint="eastAsia" w:hAnsi="宋体"/>
          <w:snapToGrid w:val="0"/>
          <w:szCs w:val="24"/>
          <w:highlight w:val="none"/>
        </w:rPr>
        <w:t>4.2、项目安全文明设施严格按照招标人《安全文明施工标准化图册》及项目所在地建设主管部门要求实施，劳务分包安全文明设施是招标人配置，劳务人员不得破坏或拆除等。安全劳保用品正确佩戴</w:t>
      </w:r>
      <w:r>
        <w:rPr>
          <w:rFonts w:hAnsi="宋体"/>
          <w:snapToGrid w:val="0"/>
          <w:szCs w:val="24"/>
          <w:highlight w:val="none"/>
        </w:rPr>
        <w:t>。</w:t>
      </w:r>
    </w:p>
    <w:p>
      <w:pPr>
        <w:spacing w:line="440" w:lineRule="exact"/>
        <w:ind w:firstLine="482" w:firstLineChars="200"/>
        <w:rPr>
          <w:rFonts w:hAnsi="宋体"/>
          <w:b/>
          <w:snapToGrid w:val="0"/>
          <w:szCs w:val="24"/>
          <w:highlight w:val="none"/>
        </w:rPr>
      </w:pPr>
      <w:r>
        <w:rPr>
          <w:rFonts w:hint="eastAsia" w:hAnsi="宋体"/>
          <w:b/>
          <w:snapToGrid w:val="0"/>
          <w:szCs w:val="24"/>
          <w:highlight w:val="none"/>
        </w:rPr>
        <w:t>4.3、本分包工程安全目标除满足招标文件要求外，不发生重伤及以上生产安全事故。中标人应当服从招标人的安全生产管理，中标人不服从管理导致生产安全事故的，由中标人承担主要责任,所发生的一切费用均由中标人支付，并没收3万~5万元违约金，消除社会影响。</w:t>
      </w:r>
    </w:p>
    <w:p>
      <w:pPr>
        <w:keepNext/>
        <w:keepLines/>
        <w:tabs>
          <w:tab w:val="left" w:pos="5292"/>
        </w:tabs>
        <w:spacing w:line="360" w:lineRule="auto"/>
        <w:outlineLvl w:val="2"/>
        <w:rPr>
          <w:bCs/>
          <w:snapToGrid w:val="0"/>
          <w:szCs w:val="32"/>
          <w:highlight w:val="none"/>
        </w:rPr>
      </w:pPr>
      <w:bookmarkStart w:id="73" w:name="_Toc518051949"/>
      <w:bookmarkStart w:id="74" w:name="_Toc27449"/>
      <w:r>
        <w:rPr>
          <w:rFonts w:hint="eastAsia"/>
          <w:b/>
          <w:snapToGrid w:val="0"/>
          <w:szCs w:val="32"/>
          <w:highlight w:val="none"/>
        </w:rPr>
        <w:t>（五）文明施工要求</w:t>
      </w:r>
      <w:bookmarkEnd w:id="73"/>
      <w:bookmarkEnd w:id="74"/>
      <w:r>
        <w:rPr>
          <w:bCs/>
          <w:snapToGrid w:val="0"/>
          <w:szCs w:val="32"/>
          <w:highlight w:val="none"/>
        </w:rPr>
        <w:tab/>
      </w:r>
    </w:p>
    <w:p>
      <w:pPr>
        <w:spacing w:line="440" w:lineRule="exact"/>
        <w:ind w:firstLine="504" w:firstLineChars="210"/>
        <w:rPr>
          <w:snapToGrid w:val="0"/>
          <w:szCs w:val="24"/>
          <w:highlight w:val="none"/>
        </w:rPr>
      </w:pPr>
      <w:r>
        <w:rPr>
          <w:rFonts w:hint="eastAsia" w:hAnsi="宋体"/>
          <w:snapToGrid w:val="0"/>
          <w:szCs w:val="24"/>
          <w:highlight w:val="none"/>
        </w:rPr>
        <w:t>5.1、</w:t>
      </w:r>
      <w:r>
        <w:rPr>
          <w:rFonts w:hAnsi="宋体"/>
          <w:snapToGrid w:val="0"/>
          <w:szCs w:val="24"/>
          <w:highlight w:val="none"/>
        </w:rPr>
        <w:t>按国家、</w:t>
      </w:r>
      <w:r>
        <w:rPr>
          <w:rFonts w:hint="eastAsia" w:hAnsi="宋体"/>
          <w:snapToGrid w:val="0"/>
          <w:szCs w:val="24"/>
          <w:highlight w:val="none"/>
        </w:rPr>
        <w:t>行业、</w:t>
      </w:r>
      <w:r>
        <w:rPr>
          <w:rFonts w:hAnsi="宋体"/>
          <w:snapToGrid w:val="0"/>
          <w:szCs w:val="24"/>
          <w:highlight w:val="none"/>
        </w:rPr>
        <w:t>地方建设行政管理部门</w:t>
      </w:r>
      <w:r>
        <w:rPr>
          <w:rFonts w:hint="eastAsia" w:hAnsi="宋体"/>
          <w:snapToGrid w:val="0"/>
          <w:szCs w:val="24"/>
          <w:highlight w:val="none"/>
        </w:rPr>
        <w:t>、招标人</w:t>
      </w:r>
      <w:r>
        <w:rPr>
          <w:rFonts w:hAnsi="宋体"/>
          <w:snapToGrid w:val="0"/>
          <w:szCs w:val="24"/>
          <w:highlight w:val="none"/>
        </w:rPr>
        <w:t>有关规定执行。</w:t>
      </w:r>
    </w:p>
    <w:p>
      <w:pPr>
        <w:keepNext/>
        <w:keepLines/>
        <w:spacing w:line="360" w:lineRule="auto"/>
        <w:outlineLvl w:val="2"/>
        <w:rPr>
          <w:b/>
          <w:bCs/>
          <w:snapToGrid w:val="0"/>
          <w:szCs w:val="32"/>
          <w:highlight w:val="none"/>
        </w:rPr>
      </w:pPr>
      <w:r>
        <w:rPr>
          <w:rFonts w:hint="eastAsia"/>
          <w:b/>
          <w:bCs/>
          <w:snapToGrid w:val="0"/>
          <w:szCs w:val="32"/>
          <w:highlight w:val="none"/>
        </w:rPr>
        <w:t>（六）计量与付款</w:t>
      </w:r>
    </w:p>
    <w:p>
      <w:pPr>
        <w:spacing w:line="440" w:lineRule="exact"/>
        <w:ind w:firstLine="422" w:firstLineChars="176"/>
        <w:rPr>
          <w:rFonts w:hAnsi="宋体"/>
          <w:snapToGrid w:val="0"/>
          <w:szCs w:val="24"/>
          <w:highlight w:val="none"/>
        </w:rPr>
      </w:pPr>
      <w:r>
        <w:rPr>
          <w:rFonts w:hint="eastAsia" w:hAnsi="宋体"/>
          <w:snapToGrid w:val="0"/>
          <w:szCs w:val="24"/>
          <w:highlight w:val="none"/>
        </w:rPr>
        <w:t>6.1、计量</w:t>
      </w:r>
    </w:p>
    <w:p>
      <w:pPr>
        <w:spacing w:line="440" w:lineRule="exact"/>
        <w:ind w:firstLine="542" w:firstLineChars="226"/>
        <w:rPr>
          <w:rFonts w:hAnsi="宋体"/>
          <w:snapToGrid w:val="0"/>
          <w:szCs w:val="24"/>
          <w:highlight w:val="none"/>
        </w:rPr>
      </w:pPr>
      <w:r>
        <w:rPr>
          <w:rFonts w:hint="eastAsia" w:hAnsi="宋体"/>
          <w:snapToGrid w:val="0"/>
          <w:szCs w:val="24"/>
          <w:highlight w:val="none"/>
        </w:rPr>
        <w:t>按实际发生的经招标人认可的有效工程量结算。中标人不得以工程进度抢工或工期延误、法定节假日加班、工程量增减、材料价格浮动等一切因素影响而要求招标人变更合同单价。</w:t>
      </w:r>
    </w:p>
    <w:p>
      <w:pPr>
        <w:tabs>
          <w:tab w:val="left" w:pos="5880"/>
        </w:tabs>
        <w:spacing w:after="120" w:line="440" w:lineRule="exact"/>
        <w:ind w:firstLine="424" w:firstLineChars="177"/>
        <w:rPr>
          <w:rFonts w:hAnsi="宋体"/>
          <w:snapToGrid w:val="0"/>
          <w:szCs w:val="24"/>
          <w:highlight w:val="none"/>
        </w:rPr>
      </w:pPr>
      <w:r>
        <w:rPr>
          <w:rFonts w:hint="eastAsia" w:hAnsi="宋体"/>
          <w:snapToGrid w:val="0"/>
          <w:szCs w:val="24"/>
          <w:highlight w:val="none"/>
        </w:rPr>
        <w:t>6.2、结算与付款</w:t>
      </w:r>
    </w:p>
    <w:p>
      <w:pPr>
        <w:tabs>
          <w:tab w:val="left" w:pos="5880"/>
        </w:tabs>
        <w:spacing w:after="120" w:line="440" w:lineRule="exact"/>
        <w:ind w:firstLine="547" w:firstLineChars="227"/>
        <w:rPr>
          <w:rFonts w:hAnsi="宋体"/>
          <w:b/>
          <w:snapToGrid w:val="0"/>
          <w:szCs w:val="24"/>
          <w:highlight w:val="none"/>
        </w:rPr>
      </w:pPr>
      <w:r>
        <w:rPr>
          <w:rFonts w:hint="eastAsia" w:hAnsi="宋体"/>
          <w:b/>
          <w:snapToGrid w:val="0"/>
          <w:szCs w:val="24"/>
          <w:highlight w:val="none"/>
        </w:rPr>
        <w:t>付款方式：无预付款，完工后并验收合格后付至进度产值的70%，审计结束后付至95%，余款待一年质保期满后付清。</w:t>
      </w:r>
    </w:p>
    <w:p>
      <w:pPr>
        <w:widowControl/>
        <w:spacing w:line="360" w:lineRule="auto"/>
        <w:ind w:firstLine="482" w:firstLineChars="200"/>
        <w:jc w:val="left"/>
        <w:rPr>
          <w:rFonts w:hAnsi="宋体"/>
          <w:b/>
          <w:snapToGrid w:val="0"/>
          <w:szCs w:val="24"/>
          <w:highlight w:val="none"/>
        </w:rPr>
      </w:pPr>
      <w:r>
        <w:rPr>
          <w:rFonts w:hint="eastAsia" w:hAnsi="宋体"/>
          <w:b/>
          <w:snapToGrid w:val="0"/>
          <w:szCs w:val="24"/>
          <w:highlight w:val="none"/>
        </w:rPr>
        <w:t>中标人</w:t>
      </w:r>
      <w:r>
        <w:rPr>
          <w:rFonts w:hAnsi="宋体"/>
          <w:b/>
          <w:snapToGrid w:val="0"/>
          <w:szCs w:val="24"/>
          <w:highlight w:val="none"/>
        </w:rPr>
        <w:t>必须先提供与结算金额等额、</w:t>
      </w:r>
      <w:r>
        <w:rPr>
          <w:rFonts w:hint="eastAsia" w:hAnsi="宋体"/>
          <w:b/>
          <w:snapToGrid w:val="0"/>
          <w:szCs w:val="24"/>
          <w:highlight w:val="none"/>
        </w:rPr>
        <w:t>内容一致、</w:t>
      </w:r>
      <w:r>
        <w:rPr>
          <w:rFonts w:hAnsi="宋体"/>
          <w:b/>
          <w:snapToGrid w:val="0"/>
          <w:szCs w:val="24"/>
          <w:highlight w:val="none"/>
        </w:rPr>
        <w:t>合法有效的增值税</w:t>
      </w:r>
      <w:r>
        <w:rPr>
          <w:rFonts w:hint="eastAsia" w:hAnsi="宋体"/>
          <w:b/>
          <w:snapToGrid w:val="0"/>
          <w:szCs w:val="24"/>
          <w:highlight w:val="none"/>
        </w:rPr>
        <w:t>专用</w:t>
      </w:r>
      <w:r>
        <w:rPr>
          <w:rFonts w:hAnsi="宋体"/>
          <w:b/>
          <w:snapToGrid w:val="0"/>
          <w:szCs w:val="24"/>
          <w:highlight w:val="none"/>
        </w:rPr>
        <w:t>发票后</w:t>
      </w:r>
      <w:r>
        <w:rPr>
          <w:rFonts w:hint="eastAsia" w:hAnsi="宋体"/>
          <w:b/>
          <w:snapToGrid w:val="0"/>
          <w:szCs w:val="24"/>
          <w:highlight w:val="none"/>
        </w:rPr>
        <w:t>方可</w:t>
      </w:r>
      <w:r>
        <w:rPr>
          <w:rFonts w:hAnsi="宋体"/>
          <w:b/>
          <w:snapToGrid w:val="0"/>
          <w:szCs w:val="24"/>
          <w:highlight w:val="none"/>
        </w:rPr>
        <w:t>付款，否则招标人将拒绝支付。一切税费由中标</w:t>
      </w:r>
      <w:r>
        <w:rPr>
          <w:rFonts w:hint="eastAsia" w:hAnsi="宋体"/>
          <w:b/>
          <w:snapToGrid w:val="0"/>
          <w:szCs w:val="24"/>
          <w:highlight w:val="none"/>
        </w:rPr>
        <w:t>人</w:t>
      </w:r>
      <w:r>
        <w:rPr>
          <w:rFonts w:hAnsi="宋体"/>
          <w:b/>
          <w:snapToGrid w:val="0"/>
          <w:szCs w:val="24"/>
          <w:highlight w:val="none"/>
        </w:rPr>
        <w:t>自行承担。</w:t>
      </w:r>
    </w:p>
    <w:p>
      <w:pPr>
        <w:keepNext/>
        <w:keepLines/>
        <w:spacing w:line="360" w:lineRule="auto"/>
        <w:outlineLvl w:val="2"/>
        <w:rPr>
          <w:rFonts w:hAnsi="宋体" w:cs="宋体"/>
          <w:szCs w:val="24"/>
          <w:highlight w:val="none"/>
        </w:rPr>
      </w:pPr>
      <w:r>
        <w:rPr>
          <w:rFonts w:hint="eastAsia"/>
          <w:b/>
          <w:bCs/>
          <w:snapToGrid w:val="0"/>
          <w:szCs w:val="32"/>
          <w:highlight w:val="none"/>
        </w:rPr>
        <w:t>（七）</w:t>
      </w:r>
      <w:r>
        <w:rPr>
          <w:rFonts w:hint="eastAsia" w:hAnsi="宋体" w:cs="宋体"/>
          <w:b/>
          <w:bCs/>
          <w:szCs w:val="24"/>
          <w:highlight w:val="none"/>
        </w:rPr>
        <w:t>保修责任</w:t>
      </w:r>
    </w:p>
    <w:p>
      <w:pPr>
        <w:spacing w:line="440" w:lineRule="exact"/>
        <w:ind w:firstLine="480" w:firstLineChars="200"/>
        <w:rPr>
          <w:rFonts w:hAnsi="宋体"/>
          <w:snapToGrid w:val="0"/>
          <w:szCs w:val="24"/>
          <w:highlight w:val="none"/>
        </w:rPr>
      </w:pPr>
      <w:r>
        <w:rPr>
          <w:rFonts w:hint="eastAsia" w:hAnsi="宋体" w:cs="宋体"/>
          <w:szCs w:val="24"/>
          <w:highlight w:val="none"/>
        </w:rPr>
        <w:t>7.1</w:t>
      </w:r>
      <w:r>
        <w:rPr>
          <w:rFonts w:hint="eastAsia" w:hAnsi="宋体"/>
          <w:snapToGrid w:val="0"/>
          <w:szCs w:val="24"/>
          <w:highlight w:val="none"/>
        </w:rPr>
        <w:t>保修期内乙方免费提供维修、更换等服务。只要甲方提出要求，乙方必须在24</w:t>
      </w:r>
    </w:p>
    <w:p>
      <w:pPr>
        <w:spacing w:line="440" w:lineRule="exact"/>
        <w:ind w:firstLine="480" w:firstLineChars="200"/>
        <w:rPr>
          <w:rFonts w:hAnsi="宋体"/>
          <w:snapToGrid w:val="0"/>
          <w:szCs w:val="24"/>
          <w:highlight w:val="none"/>
        </w:rPr>
      </w:pPr>
      <w:r>
        <w:rPr>
          <w:rFonts w:hint="eastAsia" w:hAnsi="宋体"/>
          <w:snapToGrid w:val="0"/>
          <w:szCs w:val="24"/>
          <w:highlight w:val="none"/>
        </w:rPr>
        <w:t>小时内给予答复并指派人员到现场解决问题，费用由乙方承担。若乙方未在约定期限内解决问题同时也未给予回复，甲方可另行安排人员进行处理，所发生的费用由乙方承担，人工费按市场价由乙方承担。保修期内，乙方和甲方对业主承担连带责任。</w:t>
      </w:r>
    </w:p>
    <w:p>
      <w:pPr>
        <w:spacing w:line="440" w:lineRule="exact"/>
        <w:ind w:firstLine="480" w:firstLineChars="200"/>
        <w:rPr>
          <w:rFonts w:hAnsi="宋体"/>
          <w:snapToGrid w:val="0"/>
          <w:szCs w:val="24"/>
          <w:highlight w:val="none"/>
        </w:rPr>
      </w:pPr>
      <w:r>
        <w:rPr>
          <w:rFonts w:hint="eastAsia" w:hAnsi="宋体"/>
          <w:snapToGrid w:val="0"/>
          <w:szCs w:val="24"/>
          <w:highlight w:val="none"/>
        </w:rPr>
        <w:t>7.2保修期</w:t>
      </w:r>
    </w:p>
    <w:p>
      <w:pPr>
        <w:spacing w:line="440" w:lineRule="exact"/>
        <w:ind w:firstLine="480" w:firstLineChars="200"/>
        <w:rPr>
          <w:rFonts w:hAnsi="宋体"/>
          <w:snapToGrid w:val="0"/>
          <w:szCs w:val="24"/>
          <w:highlight w:val="none"/>
        </w:rPr>
      </w:pPr>
      <w:r>
        <w:rPr>
          <w:rFonts w:hint="eastAsia" w:hAnsi="宋体"/>
          <w:snapToGrid w:val="0"/>
          <w:szCs w:val="24"/>
          <w:highlight w:val="none"/>
        </w:rPr>
        <w:t>本分包工程保修期执行国务院《建设工程质量管理条例》，保修期为整体工程竣工验收合格后  1  年。</w:t>
      </w:r>
    </w:p>
    <w:p>
      <w:pPr>
        <w:spacing w:line="440" w:lineRule="exact"/>
        <w:ind w:firstLine="480" w:firstLineChars="200"/>
        <w:rPr>
          <w:rFonts w:hAnsi="宋体"/>
          <w:snapToGrid w:val="0"/>
          <w:szCs w:val="24"/>
          <w:highlight w:val="none"/>
        </w:rPr>
      </w:pPr>
      <w:r>
        <w:rPr>
          <w:rFonts w:hint="eastAsia" w:hAnsi="宋体"/>
          <w:snapToGrid w:val="0"/>
          <w:szCs w:val="24"/>
          <w:highlight w:val="none"/>
        </w:rPr>
        <w:t>7.3乙方借故推脱或无理由拒绝甲方提出的维修、更换服务请求，甲方可以自行解决并对维修或更换服务以实际发生费用或市场价从合同规定的质量保修金中扣除得到补偿。</w:t>
      </w:r>
      <w:r>
        <w:rPr>
          <w:rFonts w:hint="eastAsia" w:hAnsi="宋体"/>
          <w:snapToGrid w:val="0"/>
          <w:szCs w:val="24"/>
          <w:highlight w:val="none"/>
          <w:lang w:val="zh-CN"/>
        </w:rPr>
        <w:t>如果保修金不足，乙方负责补足所发生的费用。</w:t>
      </w:r>
      <w:r>
        <w:rPr>
          <w:rFonts w:hint="eastAsia" w:hAnsi="宋体"/>
          <w:snapToGrid w:val="0"/>
          <w:szCs w:val="24"/>
          <w:highlight w:val="none"/>
        </w:rPr>
        <w:t>甲方根据合同规定对乙方行使的其他权利不受影响，并保留进一步索赔的权利。</w:t>
      </w:r>
    </w:p>
    <w:p>
      <w:pPr>
        <w:spacing w:line="440" w:lineRule="exact"/>
        <w:ind w:firstLine="480" w:firstLineChars="200"/>
        <w:rPr>
          <w:rFonts w:hAnsi="宋体"/>
          <w:snapToGrid w:val="0"/>
          <w:szCs w:val="24"/>
          <w:highlight w:val="none"/>
        </w:rPr>
      </w:pPr>
      <w:r>
        <w:rPr>
          <w:rFonts w:hint="eastAsia" w:hAnsi="宋体"/>
          <w:snapToGrid w:val="0"/>
          <w:szCs w:val="24"/>
          <w:highlight w:val="none"/>
        </w:rPr>
        <w:t>7.4维修或更换后的部分产品的质量保证期相应延长1年。</w:t>
      </w:r>
    </w:p>
    <w:p>
      <w:pPr>
        <w:snapToGrid w:val="0"/>
        <w:spacing w:line="520" w:lineRule="exact"/>
        <w:rPr>
          <w:rFonts w:ascii="仿宋_GB2312" w:eastAsia="仿宋_GB2312"/>
          <w:b/>
          <w:bCs/>
          <w:sz w:val="32"/>
          <w:szCs w:val="32"/>
          <w:highlight w:val="none"/>
        </w:rPr>
      </w:pPr>
    </w:p>
    <w:bookmarkEnd w:id="58"/>
    <w:bookmarkEnd w:id="59"/>
    <w:p>
      <w:pPr>
        <w:rPr>
          <w:rFonts w:hAnsi="宋体"/>
          <w:color w:val="000000"/>
          <w:highlight w:val="none"/>
        </w:rPr>
      </w:pPr>
    </w:p>
    <w:p>
      <w:pPr>
        <w:rPr>
          <w:rFonts w:hAnsi="宋体"/>
          <w:color w:val="000000"/>
          <w:highlight w:val="none"/>
        </w:rPr>
      </w:pPr>
    </w:p>
    <w:p>
      <w:pPr>
        <w:rPr>
          <w:rFonts w:hAnsi="宋体"/>
          <w:color w:val="000000"/>
          <w:highlight w:val="none"/>
        </w:rPr>
      </w:pPr>
    </w:p>
    <w:p>
      <w:pPr>
        <w:rPr>
          <w:rFonts w:hAnsi="宋体"/>
          <w:color w:val="000000"/>
          <w:highlight w:val="none"/>
        </w:rPr>
      </w:pPr>
    </w:p>
    <w:p>
      <w:pPr>
        <w:rPr>
          <w:rFonts w:hAnsi="宋体"/>
          <w:color w:val="000000"/>
          <w:highlight w:val="none"/>
        </w:rPr>
      </w:pPr>
    </w:p>
    <w:p>
      <w:pPr>
        <w:rPr>
          <w:rFonts w:hAnsi="宋体"/>
          <w:color w:val="000000"/>
          <w:highlight w:val="none"/>
        </w:rPr>
      </w:pPr>
    </w:p>
    <w:p>
      <w:pPr>
        <w:rPr>
          <w:rFonts w:hAnsi="宋体"/>
          <w:color w:val="000000"/>
          <w:highlight w:val="none"/>
        </w:rPr>
      </w:pPr>
    </w:p>
    <w:p>
      <w:pPr>
        <w:rPr>
          <w:rFonts w:hAnsi="宋体"/>
          <w:color w:val="000000"/>
          <w:highlight w:val="none"/>
        </w:rPr>
      </w:pPr>
    </w:p>
    <w:p>
      <w:pPr>
        <w:rPr>
          <w:rFonts w:hAnsi="宋体"/>
          <w:color w:val="000000"/>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rFonts w:hint="eastAsia"/>
          <w:highlight w:val="none"/>
        </w:rPr>
      </w:pPr>
    </w:p>
    <w:p>
      <w:pPr>
        <w:rPr>
          <w:snapToGrid w:val="0"/>
          <w:szCs w:val="24"/>
          <w:highlight w:val="none"/>
        </w:rPr>
        <w:sectPr>
          <w:type w:val="nextColumn"/>
          <w:pgSz w:w="11906" w:h="16838"/>
          <w:pgMar w:top="1440" w:right="1800" w:bottom="1440" w:left="1800" w:header="851" w:footer="992" w:gutter="0"/>
          <w:cols w:space="425" w:num="1"/>
          <w:docGrid w:type="lines" w:linePitch="312" w:charSpace="0"/>
        </w:sectPr>
      </w:pPr>
    </w:p>
    <w:tbl>
      <w:tblPr>
        <w:tblStyle w:val="62"/>
        <w:tblpPr w:leftFromText="180" w:rightFromText="180" w:vertAnchor="text" w:horzAnchor="margin" w:tblpXSpec="center" w:tblpY="-1439"/>
        <w:tblW w:w="9700" w:type="dxa"/>
        <w:tblInd w:w="0" w:type="dxa"/>
        <w:tblLayout w:type="fixed"/>
        <w:tblCellMar>
          <w:top w:w="0" w:type="dxa"/>
          <w:left w:w="108" w:type="dxa"/>
          <w:bottom w:w="0" w:type="dxa"/>
          <w:right w:w="108" w:type="dxa"/>
        </w:tblCellMar>
      </w:tblPr>
      <w:tblGrid>
        <w:gridCol w:w="636"/>
        <w:gridCol w:w="1882"/>
        <w:gridCol w:w="3299"/>
        <w:gridCol w:w="846"/>
        <w:gridCol w:w="820"/>
        <w:gridCol w:w="1056"/>
        <w:gridCol w:w="1161"/>
      </w:tblGrid>
      <w:tr>
        <w:tblPrEx>
          <w:tblCellMar>
            <w:top w:w="0" w:type="dxa"/>
            <w:left w:w="108" w:type="dxa"/>
            <w:bottom w:w="0" w:type="dxa"/>
            <w:right w:w="108" w:type="dxa"/>
          </w:tblCellMar>
        </w:tblPrEx>
        <w:trPr>
          <w:trHeight w:val="690" w:hRule="atLeast"/>
        </w:trPr>
        <w:tc>
          <w:tcPr>
            <w:tcW w:w="9700" w:type="dxa"/>
            <w:gridSpan w:val="7"/>
            <w:tcBorders>
              <w:top w:val="nil"/>
              <w:left w:val="nil"/>
              <w:bottom w:val="nil"/>
              <w:right w:val="nil"/>
            </w:tcBorders>
            <w:shd w:val="clear" w:color="auto" w:fill="auto"/>
            <w:noWrap/>
            <w:vAlign w:val="center"/>
          </w:tcPr>
          <w:p>
            <w:pPr>
              <w:widowControl/>
              <w:jc w:val="center"/>
              <w:rPr>
                <w:rFonts w:hint="eastAsia" w:hAnsi="宋体" w:eastAsia="宋体" w:cs="Arial"/>
                <w:b/>
                <w:bCs/>
                <w:color w:val="000000"/>
                <w:sz w:val="32"/>
                <w:szCs w:val="32"/>
                <w:highlight w:val="none"/>
                <w:lang w:eastAsia="zh-CN"/>
              </w:rPr>
            </w:pPr>
            <w:r>
              <w:rPr>
                <w:rFonts w:hint="eastAsia" w:hAnsi="宋体" w:cs="Arial"/>
                <w:b/>
                <w:bCs/>
                <w:color w:val="000000"/>
                <w:sz w:val="32"/>
                <w:szCs w:val="32"/>
                <w:highlight w:val="none"/>
              </w:rPr>
              <w:t>全费用单价报价表</w:t>
            </w:r>
            <w:r>
              <w:rPr>
                <w:rFonts w:hint="eastAsia" w:hAnsi="宋体" w:cs="Arial"/>
                <w:b/>
                <w:bCs/>
                <w:color w:val="000000"/>
                <w:sz w:val="32"/>
                <w:szCs w:val="32"/>
                <w:highlight w:val="none"/>
                <w:lang w:eastAsia="zh-CN"/>
              </w:rPr>
              <w:t>（</w:t>
            </w:r>
            <w:r>
              <w:rPr>
                <w:rFonts w:hint="eastAsia" w:hAnsi="宋体" w:cs="Arial"/>
                <w:b/>
                <w:bCs/>
                <w:color w:val="000000"/>
                <w:sz w:val="32"/>
                <w:szCs w:val="32"/>
                <w:highlight w:val="none"/>
                <w:lang w:val="en-US" w:eastAsia="zh-CN"/>
              </w:rPr>
              <w:t>控制价</w:t>
            </w:r>
            <w:r>
              <w:rPr>
                <w:rFonts w:hint="eastAsia" w:hAnsi="宋体" w:cs="Arial"/>
                <w:b/>
                <w:bCs/>
                <w:color w:val="000000"/>
                <w:sz w:val="32"/>
                <w:szCs w:val="32"/>
                <w:highlight w:val="none"/>
                <w:lang w:eastAsia="zh-CN"/>
              </w:rPr>
              <w:t>）</w:t>
            </w:r>
          </w:p>
        </w:tc>
      </w:tr>
      <w:tr>
        <w:tblPrEx>
          <w:tblCellMar>
            <w:top w:w="0" w:type="dxa"/>
            <w:left w:w="108" w:type="dxa"/>
            <w:bottom w:w="0" w:type="dxa"/>
            <w:right w:w="108" w:type="dxa"/>
          </w:tblCellMar>
        </w:tblPrEx>
        <w:trPr>
          <w:trHeight w:val="354" w:hRule="atLeast"/>
        </w:trPr>
        <w:tc>
          <w:tcPr>
            <w:tcW w:w="8539" w:type="dxa"/>
            <w:gridSpan w:val="6"/>
            <w:tcBorders>
              <w:top w:val="nil"/>
              <w:left w:val="nil"/>
              <w:bottom w:val="single" w:color="000000" w:sz="8" w:space="0"/>
              <w:right w:val="nil"/>
            </w:tcBorders>
            <w:shd w:val="clear" w:color="auto" w:fill="auto"/>
            <w:vAlign w:val="center"/>
          </w:tcPr>
          <w:p>
            <w:pPr>
              <w:widowControl/>
              <w:jc w:val="left"/>
              <w:rPr>
                <w:rFonts w:ascii="黑体" w:hAnsi="黑体" w:eastAsia="黑体" w:cs="Arial"/>
                <w:color w:val="000000"/>
                <w:sz w:val="21"/>
                <w:szCs w:val="21"/>
                <w:highlight w:val="none"/>
              </w:rPr>
            </w:pPr>
            <w:r>
              <w:rPr>
                <w:rFonts w:hint="eastAsia" w:ascii="黑体" w:hAnsi="黑体" w:eastAsia="黑体" w:cs="Arial"/>
                <w:color w:val="000000"/>
                <w:sz w:val="21"/>
                <w:szCs w:val="21"/>
                <w:highlight w:val="none"/>
              </w:rPr>
              <w:t>工程名称：合锻二期宿舍道口拓宽市政工程</w:t>
            </w:r>
          </w:p>
        </w:tc>
        <w:tc>
          <w:tcPr>
            <w:tcW w:w="1161" w:type="dxa"/>
            <w:vAlign w:val="center"/>
          </w:tcPr>
          <w:p>
            <w:pPr>
              <w:widowControl/>
              <w:jc w:val="left"/>
              <w:rPr>
                <w:rFonts w:ascii="Times New Roman" w:eastAsia="Times New Roman"/>
                <w:sz w:val="20"/>
                <w:highlight w:val="none"/>
              </w:rPr>
            </w:pPr>
          </w:p>
        </w:tc>
      </w:tr>
      <w:tr>
        <w:tblPrEx>
          <w:tblCellMar>
            <w:top w:w="0" w:type="dxa"/>
            <w:left w:w="108" w:type="dxa"/>
            <w:bottom w:w="0" w:type="dxa"/>
            <w:right w:w="108" w:type="dxa"/>
          </w:tblCellMar>
        </w:tblPrEx>
        <w:trPr>
          <w:trHeight w:val="312" w:hRule="atLeast"/>
        </w:trPr>
        <w:tc>
          <w:tcPr>
            <w:tcW w:w="636" w:type="dxa"/>
            <w:vMerge w:val="restart"/>
            <w:tcBorders>
              <w:top w:val="nil"/>
              <w:left w:val="single" w:color="000000" w:sz="8" w:space="0"/>
              <w:bottom w:val="single" w:color="000000" w:sz="4" w:space="0"/>
              <w:right w:val="single" w:color="000000" w:sz="4" w:space="0"/>
            </w:tcBorders>
            <w:shd w:val="clear" w:color="000000" w:fill="FFFFFF"/>
            <w:vAlign w:val="center"/>
          </w:tcPr>
          <w:p>
            <w:pPr>
              <w:widowControl/>
              <w:jc w:val="center"/>
              <w:rPr>
                <w:rFonts w:ascii="黑体" w:hAnsi="黑体" w:eastAsia="黑体" w:cs="Arial"/>
                <w:color w:val="000000"/>
                <w:sz w:val="21"/>
                <w:szCs w:val="21"/>
                <w:highlight w:val="none"/>
              </w:rPr>
            </w:pPr>
            <w:r>
              <w:rPr>
                <w:rFonts w:hint="eastAsia" w:ascii="黑体" w:hAnsi="黑体" w:eastAsia="黑体" w:cs="Arial"/>
                <w:color w:val="000000"/>
                <w:sz w:val="21"/>
                <w:szCs w:val="21"/>
                <w:highlight w:val="none"/>
              </w:rPr>
              <w:t>序号</w:t>
            </w:r>
          </w:p>
        </w:tc>
        <w:tc>
          <w:tcPr>
            <w:tcW w:w="1882"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Arial"/>
                <w:color w:val="000000"/>
                <w:sz w:val="21"/>
                <w:szCs w:val="21"/>
                <w:highlight w:val="none"/>
              </w:rPr>
            </w:pPr>
            <w:r>
              <w:rPr>
                <w:rFonts w:hint="eastAsia" w:ascii="黑体" w:hAnsi="黑体" w:eastAsia="黑体" w:cs="Arial"/>
                <w:color w:val="000000"/>
                <w:sz w:val="21"/>
                <w:szCs w:val="21"/>
                <w:highlight w:val="none"/>
              </w:rPr>
              <w:t>项目编码</w:t>
            </w:r>
          </w:p>
        </w:tc>
        <w:tc>
          <w:tcPr>
            <w:tcW w:w="3299"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Arial"/>
                <w:color w:val="000000"/>
                <w:sz w:val="21"/>
                <w:szCs w:val="21"/>
                <w:highlight w:val="none"/>
              </w:rPr>
            </w:pPr>
            <w:r>
              <w:rPr>
                <w:rFonts w:hint="eastAsia" w:ascii="黑体" w:hAnsi="黑体" w:eastAsia="黑体" w:cs="Arial"/>
                <w:color w:val="000000"/>
                <w:sz w:val="21"/>
                <w:szCs w:val="21"/>
                <w:highlight w:val="none"/>
              </w:rPr>
              <w:t>清单(子目)名称</w:t>
            </w:r>
          </w:p>
        </w:tc>
        <w:tc>
          <w:tcPr>
            <w:tcW w:w="846"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Arial"/>
                <w:color w:val="000000"/>
                <w:sz w:val="21"/>
                <w:szCs w:val="21"/>
                <w:highlight w:val="none"/>
              </w:rPr>
            </w:pPr>
            <w:r>
              <w:rPr>
                <w:rFonts w:hint="eastAsia" w:ascii="黑体" w:hAnsi="黑体" w:eastAsia="黑体" w:cs="Arial"/>
                <w:color w:val="000000"/>
                <w:sz w:val="21"/>
                <w:szCs w:val="21"/>
                <w:highlight w:val="none"/>
              </w:rPr>
              <w:t>单位</w:t>
            </w:r>
          </w:p>
        </w:tc>
        <w:tc>
          <w:tcPr>
            <w:tcW w:w="82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Arial"/>
                <w:color w:val="000000"/>
                <w:sz w:val="21"/>
                <w:szCs w:val="21"/>
                <w:highlight w:val="none"/>
              </w:rPr>
            </w:pPr>
            <w:r>
              <w:rPr>
                <w:rFonts w:hint="eastAsia" w:ascii="黑体" w:hAnsi="黑体" w:eastAsia="黑体" w:cs="Arial"/>
                <w:color w:val="000000"/>
                <w:sz w:val="21"/>
                <w:szCs w:val="21"/>
                <w:highlight w:val="none"/>
              </w:rPr>
              <w:t>工程量</w:t>
            </w:r>
          </w:p>
        </w:tc>
        <w:tc>
          <w:tcPr>
            <w:tcW w:w="1056"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黑体" w:hAnsi="黑体" w:eastAsia="黑体" w:cs="Arial"/>
                <w:color w:val="000000"/>
                <w:sz w:val="21"/>
                <w:szCs w:val="21"/>
                <w:highlight w:val="none"/>
              </w:rPr>
            </w:pPr>
            <w:r>
              <w:rPr>
                <w:rFonts w:hint="eastAsia" w:ascii="黑体" w:hAnsi="黑体" w:eastAsia="黑体" w:cs="Arial"/>
                <w:color w:val="000000"/>
                <w:sz w:val="21"/>
                <w:szCs w:val="21"/>
                <w:highlight w:val="none"/>
                <w:lang w:val="en-US" w:eastAsia="zh-CN"/>
              </w:rPr>
              <w:t>控制</w:t>
            </w:r>
            <w:r>
              <w:rPr>
                <w:rFonts w:hint="eastAsia" w:ascii="黑体" w:hAnsi="黑体" w:eastAsia="黑体" w:cs="Arial"/>
                <w:color w:val="000000"/>
                <w:sz w:val="21"/>
                <w:szCs w:val="21"/>
                <w:highlight w:val="none"/>
              </w:rPr>
              <w:t>单价</w:t>
            </w:r>
          </w:p>
        </w:tc>
        <w:tc>
          <w:tcPr>
            <w:tcW w:w="1161" w:type="dxa"/>
            <w:vMerge w:val="restart"/>
            <w:tcBorders>
              <w:top w:val="single" w:color="auto" w:sz="4" w:space="0"/>
              <w:left w:val="single" w:color="000000" w:sz="4" w:space="0"/>
              <w:bottom w:val="single" w:color="000000" w:sz="4" w:space="0"/>
              <w:right w:val="single" w:color="000000" w:sz="8" w:space="0"/>
            </w:tcBorders>
            <w:shd w:val="clear" w:color="000000" w:fill="FFFFFF"/>
            <w:vAlign w:val="center"/>
          </w:tcPr>
          <w:p>
            <w:pPr>
              <w:widowControl/>
              <w:jc w:val="center"/>
              <w:rPr>
                <w:rFonts w:ascii="黑体" w:hAnsi="黑体" w:eastAsia="黑体" w:cs="Arial"/>
                <w:color w:val="000000"/>
                <w:sz w:val="21"/>
                <w:szCs w:val="21"/>
                <w:highlight w:val="none"/>
              </w:rPr>
            </w:pPr>
            <w:r>
              <w:rPr>
                <w:rFonts w:hint="eastAsia" w:ascii="黑体" w:hAnsi="黑体" w:eastAsia="黑体" w:cs="Arial"/>
                <w:color w:val="000000"/>
                <w:sz w:val="21"/>
                <w:szCs w:val="21"/>
                <w:highlight w:val="none"/>
                <w:lang w:val="en-US" w:eastAsia="zh-CN"/>
              </w:rPr>
              <w:t>控制</w:t>
            </w:r>
            <w:r>
              <w:rPr>
                <w:rFonts w:hint="eastAsia" w:ascii="黑体" w:hAnsi="黑体" w:eastAsia="黑体" w:cs="Arial"/>
                <w:color w:val="000000"/>
                <w:sz w:val="21"/>
                <w:szCs w:val="21"/>
                <w:highlight w:val="none"/>
              </w:rPr>
              <w:t>合价</w:t>
            </w:r>
          </w:p>
        </w:tc>
      </w:tr>
      <w:tr>
        <w:tblPrEx>
          <w:tblCellMar>
            <w:top w:w="0" w:type="dxa"/>
            <w:left w:w="108" w:type="dxa"/>
            <w:bottom w:w="0" w:type="dxa"/>
            <w:right w:w="108" w:type="dxa"/>
          </w:tblCellMar>
        </w:tblPrEx>
        <w:trPr>
          <w:trHeight w:val="312" w:hRule="atLeast"/>
        </w:trPr>
        <w:tc>
          <w:tcPr>
            <w:tcW w:w="636" w:type="dxa"/>
            <w:vMerge w:val="continue"/>
            <w:tcBorders>
              <w:top w:val="nil"/>
              <w:left w:val="single" w:color="000000" w:sz="8" w:space="0"/>
              <w:bottom w:val="single" w:color="000000" w:sz="4" w:space="0"/>
              <w:right w:val="single" w:color="000000" w:sz="4" w:space="0"/>
            </w:tcBorders>
            <w:vAlign w:val="center"/>
          </w:tcPr>
          <w:p>
            <w:pPr>
              <w:widowControl/>
              <w:jc w:val="left"/>
              <w:rPr>
                <w:rFonts w:ascii="黑体" w:hAnsi="黑体" w:eastAsia="黑体" w:cs="Arial"/>
                <w:color w:val="000000"/>
                <w:sz w:val="21"/>
                <w:szCs w:val="21"/>
                <w:highlight w:val="none"/>
              </w:rPr>
            </w:pPr>
          </w:p>
        </w:tc>
        <w:tc>
          <w:tcPr>
            <w:tcW w:w="1882"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Arial"/>
                <w:color w:val="000000"/>
                <w:sz w:val="21"/>
                <w:szCs w:val="21"/>
                <w:highlight w:val="none"/>
              </w:rPr>
            </w:pPr>
          </w:p>
        </w:tc>
        <w:tc>
          <w:tcPr>
            <w:tcW w:w="3299"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Arial"/>
                <w:color w:val="000000"/>
                <w:sz w:val="21"/>
                <w:szCs w:val="21"/>
                <w:highlight w:val="none"/>
              </w:rPr>
            </w:pPr>
          </w:p>
        </w:tc>
        <w:tc>
          <w:tcPr>
            <w:tcW w:w="846"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Arial"/>
                <w:color w:val="000000"/>
                <w:sz w:val="21"/>
                <w:szCs w:val="21"/>
                <w:highlight w:val="none"/>
              </w:rPr>
            </w:pPr>
          </w:p>
        </w:tc>
        <w:tc>
          <w:tcPr>
            <w:tcW w:w="82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Arial"/>
                <w:color w:val="000000"/>
                <w:sz w:val="21"/>
                <w:szCs w:val="21"/>
                <w:highlight w:val="none"/>
              </w:rPr>
            </w:pPr>
          </w:p>
        </w:tc>
        <w:tc>
          <w:tcPr>
            <w:tcW w:w="1056"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Arial"/>
                <w:color w:val="000000"/>
                <w:sz w:val="21"/>
                <w:szCs w:val="21"/>
                <w:highlight w:val="none"/>
              </w:rPr>
            </w:pPr>
          </w:p>
        </w:tc>
        <w:tc>
          <w:tcPr>
            <w:tcW w:w="1161" w:type="dxa"/>
            <w:vMerge w:val="continue"/>
            <w:tcBorders>
              <w:top w:val="nil"/>
              <w:left w:val="single" w:color="000000" w:sz="4" w:space="0"/>
              <w:bottom w:val="single" w:color="000000" w:sz="4" w:space="0"/>
              <w:right w:val="single" w:color="000000" w:sz="8" w:space="0"/>
            </w:tcBorders>
            <w:vAlign w:val="center"/>
          </w:tcPr>
          <w:p>
            <w:pPr>
              <w:widowControl/>
              <w:jc w:val="left"/>
              <w:rPr>
                <w:rFonts w:ascii="黑体" w:hAnsi="黑体" w:eastAsia="黑体" w:cs="Arial"/>
                <w:color w:val="000000"/>
                <w:sz w:val="21"/>
                <w:szCs w:val="21"/>
                <w:highlight w:val="none"/>
              </w:rPr>
            </w:pP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040101001001</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挖一般土方</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m3</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260</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46.48</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12084.72</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1.1</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G1-1</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人工挖土方 挖土深度 1.5m以内</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m3</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260</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46.48</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12084.72</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2</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041001001001</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拆除路面</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m2</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150</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21.4</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3210.16</w:t>
            </w:r>
          </w:p>
        </w:tc>
      </w:tr>
      <w:tr>
        <w:tblPrEx>
          <w:tblCellMar>
            <w:top w:w="0" w:type="dxa"/>
            <w:left w:w="108" w:type="dxa"/>
            <w:bottom w:w="0" w:type="dxa"/>
            <w:right w:w="108" w:type="dxa"/>
          </w:tblCellMar>
        </w:tblPrEx>
        <w:trPr>
          <w:trHeight w:val="576"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2.1</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G3-46+[G3-47]*15</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拆除混凝土类路面层 机械拆除(无筋) 厚30cm以内</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m2</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150</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21.4</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3210.16</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3</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041001003001</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拆除基层</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m2</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60</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4.69</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281.15</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3.1</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G3-52+[G3-53]</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拆除基层 机械拆除 厚20cm以内</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m2</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60</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4.69</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281.15</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4</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WB041101015001</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彩钢板施工围栏搭拆</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m</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60</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17.45</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1046.91</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4.1</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S1-4-28</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彩钢板施工围栏搭拆</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100m</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0.6</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1745.17</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1047.1</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5</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041001005001</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拆除侧、平（缘）石</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m</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30</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3.24</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97.27</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5.1</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G3-57</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人工拆除侧石 混凝土</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m</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30</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3.24</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97.27</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6</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040103002001</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余方弃置</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m3</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260</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19.46</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5060.87</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6.1</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G1-38</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自卸汽车运土方 运距 5km以内</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1000m3</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0.26</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19473.45</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5063.1</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7</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040201001001</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预压地基</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m2</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180</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2.27</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408.32</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7.1</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S2-1-1</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路床(槽)碾压检验</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100m2</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1.8</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227.75</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409.94</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8</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040202011001</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碎石</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m2</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180</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75.65</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13616.71</w:t>
            </w:r>
          </w:p>
        </w:tc>
      </w:tr>
      <w:tr>
        <w:tblPrEx>
          <w:tblCellMar>
            <w:top w:w="0" w:type="dxa"/>
            <w:left w:w="108" w:type="dxa"/>
            <w:bottom w:w="0" w:type="dxa"/>
            <w:right w:w="108" w:type="dxa"/>
          </w:tblCellMar>
        </w:tblPrEx>
        <w:trPr>
          <w:trHeight w:val="576"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8.1</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S2-1-19+[S2-1-20]*5</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人机配合铺装 碎石底层 厚20cm</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100m2</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1.8</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7564.77</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13616.58</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9</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WB040203014001</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养生</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m2</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180</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5.3</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954.8</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9.1</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S2-2-40</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水泥混凝土面层养生 塑料液养护</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100m2</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1.8</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531.45</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956.61</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10</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040203007001</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水泥混凝土</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m2</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180</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207.84</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37410.37</w:t>
            </w:r>
          </w:p>
        </w:tc>
      </w:tr>
      <w:tr>
        <w:tblPrEx>
          <w:tblCellMar>
            <w:top w:w="0" w:type="dxa"/>
            <w:left w:w="108" w:type="dxa"/>
            <w:bottom w:w="0" w:type="dxa"/>
            <w:right w:w="108" w:type="dxa"/>
          </w:tblCellMar>
        </w:tblPrEx>
        <w:trPr>
          <w:trHeight w:val="576"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10.1</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S2-2-21+[S2-2-23]*6</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水泥混凝土路面层 厚26cm</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100m2</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1.8</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20366.27</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36659.29</w:t>
            </w:r>
          </w:p>
        </w:tc>
      </w:tr>
      <w:tr>
        <w:tblPrEx>
          <w:tblCellMar>
            <w:top w:w="0" w:type="dxa"/>
            <w:left w:w="108" w:type="dxa"/>
            <w:bottom w:w="0" w:type="dxa"/>
            <w:right w:w="108" w:type="dxa"/>
          </w:tblCellMar>
        </w:tblPrEx>
        <w:trPr>
          <w:trHeight w:val="576"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10.2</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S2-2-22+[S2-2-24]*6</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水泥混凝土路面模板 厚度26cm</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100m2</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1.8</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415.91</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748.64</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11</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040203007002</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水泥混凝土</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m2</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180</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192.14</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34585.15</w:t>
            </w:r>
          </w:p>
        </w:tc>
      </w:tr>
      <w:tr>
        <w:tblPrEx>
          <w:tblCellMar>
            <w:top w:w="0" w:type="dxa"/>
            <w:left w:w="108" w:type="dxa"/>
            <w:bottom w:w="0" w:type="dxa"/>
            <w:right w:w="108" w:type="dxa"/>
          </w:tblCellMar>
        </w:tblPrEx>
        <w:trPr>
          <w:trHeight w:val="576"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11.1</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S2-2-21+[S2-2-23]*4</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水泥混凝土路面层 厚24cm</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100m2</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1.8</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18839.95</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33911.91</w:t>
            </w:r>
          </w:p>
        </w:tc>
      </w:tr>
      <w:tr>
        <w:tblPrEx>
          <w:tblCellMar>
            <w:top w:w="0" w:type="dxa"/>
            <w:left w:w="108" w:type="dxa"/>
            <w:bottom w:w="0" w:type="dxa"/>
            <w:right w:w="108" w:type="dxa"/>
          </w:tblCellMar>
        </w:tblPrEx>
        <w:trPr>
          <w:trHeight w:val="576"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11.2</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S2-2-22+[S2-2-24]*4</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水泥混凝土路面模板 厚度24cm</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100m2</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1.8</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374.27</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673.68</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12</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040203003001</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透层、粘层</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m2</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180</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5.45</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981.61</w:t>
            </w:r>
          </w:p>
        </w:tc>
      </w:tr>
      <w:tr>
        <w:tblPrEx>
          <w:tblCellMar>
            <w:top w:w="0" w:type="dxa"/>
            <w:left w:w="108" w:type="dxa"/>
            <w:bottom w:w="0" w:type="dxa"/>
            <w:right w:w="108" w:type="dxa"/>
          </w:tblCellMar>
        </w:tblPrEx>
        <w:trPr>
          <w:trHeight w:val="576"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12.1</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S2-2-46</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透层 喷洒乳化沥青 用油量1.0kg/m2</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100m2</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1.8</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346.13</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623.03</w:t>
            </w:r>
          </w:p>
        </w:tc>
      </w:tr>
      <w:tr>
        <w:tblPrEx>
          <w:tblCellMar>
            <w:top w:w="0" w:type="dxa"/>
            <w:left w:w="108" w:type="dxa"/>
            <w:bottom w:w="0" w:type="dxa"/>
            <w:right w:w="108" w:type="dxa"/>
          </w:tblCellMar>
        </w:tblPrEx>
        <w:trPr>
          <w:trHeight w:val="576"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12.2</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S2-2-47</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粘层 喷洒乳化沥青 用油量0.5kg/m2</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100m2</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1.8</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200.62</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361.11</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13</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040203004001</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封层</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m2</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180</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6.89</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1239.38</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13.1</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S2-2-50</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乳化沥青稀浆封层 ES-2型</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100m2</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1.8</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688.85</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1239.94</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14</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040203006001</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沥青混凝土</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m2</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180</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91.34</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16441.92</w:t>
            </w:r>
          </w:p>
        </w:tc>
      </w:tr>
      <w:tr>
        <w:tblPrEx>
          <w:tblCellMar>
            <w:top w:w="0" w:type="dxa"/>
            <w:left w:w="108" w:type="dxa"/>
            <w:bottom w:w="0" w:type="dxa"/>
            <w:right w:w="108" w:type="dxa"/>
          </w:tblCellMar>
        </w:tblPrEx>
        <w:trPr>
          <w:trHeight w:val="576"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14.1</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S2-2-13+[S2-2-14]*2</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人工摊铺 中粒式沥青混凝土面层 厚7cm</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100m2</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1.8</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9136.92</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16446.46</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15</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040203006002</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沥青混凝土</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m2</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180</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56.1</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10098.59</w:t>
            </w:r>
          </w:p>
        </w:tc>
      </w:tr>
      <w:tr>
        <w:tblPrEx>
          <w:tblCellMar>
            <w:top w:w="0" w:type="dxa"/>
            <w:left w:w="108" w:type="dxa"/>
            <w:bottom w:w="0" w:type="dxa"/>
            <w:right w:w="108" w:type="dxa"/>
          </w:tblCellMar>
        </w:tblPrEx>
        <w:trPr>
          <w:trHeight w:val="576"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15.1</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S2-2-17</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人工摊铺 细粒式沥青混凝土面层 厚4cm</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100m2</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1.8</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5609.69</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10097.44</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16</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041106001001</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大型机械设备进出场及安拆</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台·次</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4518.07</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4518.07</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16.1</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G4-24</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压路机(场外运费)</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台次</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4518.07</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4518.07</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17</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040504001001</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砌筑检查井</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座</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2</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4387.03</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8774.06</w:t>
            </w:r>
          </w:p>
        </w:tc>
      </w:tr>
      <w:tr>
        <w:tblPrEx>
          <w:tblCellMar>
            <w:top w:w="0" w:type="dxa"/>
            <w:left w:w="108" w:type="dxa"/>
            <w:bottom w:w="0" w:type="dxa"/>
            <w:right w:w="108" w:type="dxa"/>
          </w:tblCellMar>
        </w:tblPrEx>
        <w:trPr>
          <w:trHeight w:val="576"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17.1</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S5-4-138</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砖砌圆形雨水沉泥井 井径(1250mm) 井深(3.5m以内) 收口式</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座</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2</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4387.03</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8774.06</w:t>
            </w:r>
          </w:p>
        </w:tc>
      </w:tr>
      <w:tr>
        <w:tblPrEx>
          <w:tblCellMar>
            <w:top w:w="0" w:type="dxa"/>
            <w:left w:w="108" w:type="dxa"/>
            <w:bottom w:w="0" w:type="dxa"/>
            <w:right w:w="108" w:type="dxa"/>
          </w:tblCellMar>
        </w:tblPrEx>
        <w:trPr>
          <w:trHeight w:val="288"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18</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040501002001</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钢管</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m</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40</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111.32</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4452.98</w:t>
            </w:r>
          </w:p>
        </w:tc>
      </w:tr>
      <w:tr>
        <w:tblPrEx>
          <w:tblCellMar>
            <w:top w:w="0" w:type="dxa"/>
            <w:left w:w="108" w:type="dxa"/>
            <w:bottom w:w="0" w:type="dxa"/>
            <w:right w:w="108" w:type="dxa"/>
          </w:tblCellMar>
        </w:tblPrEx>
        <w:trPr>
          <w:trHeight w:val="576" w:hRule="atLeast"/>
        </w:trPr>
        <w:tc>
          <w:tcPr>
            <w:tcW w:w="63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18.1</w:t>
            </w:r>
          </w:p>
        </w:tc>
        <w:tc>
          <w:tcPr>
            <w:tcW w:w="1882"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A8-1-47</w:t>
            </w:r>
          </w:p>
        </w:tc>
        <w:tc>
          <w:tcPr>
            <w:tcW w:w="3299" w:type="dxa"/>
            <w:tcBorders>
              <w:top w:val="nil"/>
              <w:left w:val="nil"/>
              <w:bottom w:val="single" w:color="000000" w:sz="4" w:space="0"/>
              <w:right w:val="single" w:color="000000" w:sz="4" w:space="0"/>
            </w:tcBorders>
            <w:shd w:val="clear" w:color="auto" w:fill="auto"/>
            <w:vAlign w:val="center"/>
          </w:tcPr>
          <w:p>
            <w:pPr>
              <w:widowControl/>
              <w:jc w:val="left"/>
              <w:rPr>
                <w:rFonts w:hAnsi="宋体" w:cs="Arial"/>
                <w:color w:val="000000"/>
                <w:sz w:val="21"/>
                <w:szCs w:val="21"/>
                <w:highlight w:val="none"/>
              </w:rPr>
            </w:pPr>
            <w:r>
              <w:rPr>
                <w:rFonts w:hint="eastAsia" w:hAnsi="宋体" w:cs="Arial"/>
                <w:color w:val="000000"/>
                <w:sz w:val="21"/>
                <w:szCs w:val="21"/>
                <w:highlight w:val="none"/>
              </w:rPr>
              <w:t>低压管道 碳钢管(电弧焊) 公称直径(mm以内) 100</w:t>
            </w:r>
          </w:p>
        </w:tc>
        <w:tc>
          <w:tcPr>
            <w:tcW w:w="846" w:type="dxa"/>
            <w:tcBorders>
              <w:top w:val="nil"/>
              <w:left w:val="nil"/>
              <w:bottom w:val="single" w:color="000000"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10m</w:t>
            </w:r>
          </w:p>
        </w:tc>
        <w:tc>
          <w:tcPr>
            <w:tcW w:w="820"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4</w:t>
            </w:r>
          </w:p>
        </w:tc>
        <w:tc>
          <w:tcPr>
            <w:tcW w:w="1056" w:type="dxa"/>
            <w:tcBorders>
              <w:top w:val="nil"/>
              <w:left w:val="nil"/>
              <w:bottom w:val="single" w:color="000000" w:sz="4" w:space="0"/>
              <w:right w:val="single" w:color="000000" w:sz="4"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1113.22</w:t>
            </w:r>
          </w:p>
        </w:tc>
        <w:tc>
          <w:tcPr>
            <w:tcW w:w="1161" w:type="dxa"/>
            <w:tcBorders>
              <w:top w:val="nil"/>
              <w:left w:val="nil"/>
              <w:bottom w:val="single" w:color="000000"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4452.89</w:t>
            </w:r>
          </w:p>
        </w:tc>
      </w:tr>
      <w:tr>
        <w:tblPrEx>
          <w:tblCellMar>
            <w:top w:w="0" w:type="dxa"/>
            <w:left w:w="108" w:type="dxa"/>
            <w:bottom w:w="0" w:type="dxa"/>
            <w:right w:w="108" w:type="dxa"/>
          </w:tblCellMar>
        </w:tblPrEx>
        <w:trPr>
          <w:trHeight w:val="504" w:hRule="atLeast"/>
        </w:trPr>
        <w:tc>
          <w:tcPr>
            <w:tcW w:w="636" w:type="dxa"/>
            <w:tcBorders>
              <w:top w:val="nil"/>
              <w:left w:val="single" w:color="000000" w:sz="8" w:space="0"/>
              <w:bottom w:val="single" w:color="auto" w:sz="4" w:space="0"/>
              <w:right w:val="single" w:color="000000" w:sz="4" w:space="0"/>
            </w:tcBorders>
            <w:shd w:val="clear" w:color="auto" w:fill="auto"/>
          </w:tcPr>
          <w:p>
            <w:pPr>
              <w:widowControl/>
              <w:jc w:val="left"/>
              <w:rPr>
                <w:rFonts w:hAnsi="宋体" w:cs="Arial"/>
                <w:color w:val="000000"/>
                <w:sz w:val="21"/>
                <w:szCs w:val="21"/>
                <w:highlight w:val="none"/>
              </w:rPr>
            </w:pPr>
            <w:r>
              <w:rPr>
                <w:rFonts w:hint="eastAsia" w:hAnsi="宋体" w:cs="Arial"/>
                <w:color w:val="000000"/>
                <w:sz w:val="21"/>
                <w:szCs w:val="21"/>
                <w:highlight w:val="none"/>
              </w:rPr>
              <w:t>　</w:t>
            </w:r>
          </w:p>
        </w:tc>
        <w:tc>
          <w:tcPr>
            <w:tcW w:w="1882" w:type="dxa"/>
            <w:tcBorders>
              <w:top w:val="nil"/>
              <w:left w:val="nil"/>
              <w:bottom w:val="single" w:color="auto" w:sz="4" w:space="0"/>
              <w:right w:val="single" w:color="000000" w:sz="4" w:space="0"/>
            </w:tcBorders>
            <w:shd w:val="clear" w:color="auto" w:fill="auto"/>
          </w:tcPr>
          <w:p>
            <w:pPr>
              <w:widowControl/>
              <w:jc w:val="left"/>
              <w:rPr>
                <w:rFonts w:hAnsi="宋体" w:cs="Arial"/>
                <w:color w:val="000000"/>
                <w:sz w:val="21"/>
                <w:szCs w:val="21"/>
                <w:highlight w:val="none"/>
              </w:rPr>
            </w:pPr>
            <w:r>
              <w:rPr>
                <w:rFonts w:hint="eastAsia" w:hAnsi="宋体" w:cs="Arial"/>
                <w:color w:val="000000"/>
                <w:sz w:val="21"/>
                <w:szCs w:val="21"/>
                <w:highlight w:val="none"/>
              </w:rPr>
              <w:t>　</w:t>
            </w:r>
          </w:p>
        </w:tc>
        <w:tc>
          <w:tcPr>
            <w:tcW w:w="3299" w:type="dxa"/>
            <w:tcBorders>
              <w:top w:val="nil"/>
              <w:left w:val="nil"/>
              <w:bottom w:val="single" w:color="auto" w:sz="4" w:space="0"/>
              <w:right w:val="single" w:color="000000" w:sz="4" w:space="0"/>
            </w:tcBorders>
            <w:shd w:val="clear" w:color="auto" w:fill="auto"/>
            <w:vAlign w:val="center"/>
          </w:tcPr>
          <w:p>
            <w:pPr>
              <w:widowControl/>
              <w:jc w:val="center"/>
              <w:rPr>
                <w:rFonts w:hAnsi="宋体" w:cs="Arial"/>
                <w:color w:val="000000"/>
                <w:sz w:val="21"/>
                <w:szCs w:val="21"/>
                <w:highlight w:val="none"/>
              </w:rPr>
            </w:pPr>
            <w:r>
              <w:rPr>
                <w:rFonts w:hint="eastAsia" w:hAnsi="宋体" w:cs="Arial"/>
                <w:color w:val="000000"/>
                <w:sz w:val="21"/>
                <w:szCs w:val="21"/>
                <w:highlight w:val="none"/>
              </w:rPr>
              <w:t>合计</w:t>
            </w:r>
          </w:p>
        </w:tc>
        <w:tc>
          <w:tcPr>
            <w:tcW w:w="846" w:type="dxa"/>
            <w:tcBorders>
              <w:top w:val="nil"/>
              <w:left w:val="nil"/>
              <w:bottom w:val="single" w:color="auto" w:sz="4" w:space="0"/>
              <w:right w:val="single" w:color="000000" w:sz="4" w:space="0"/>
            </w:tcBorders>
            <w:shd w:val="clear" w:color="auto" w:fill="auto"/>
          </w:tcPr>
          <w:p>
            <w:pPr>
              <w:widowControl/>
              <w:jc w:val="left"/>
              <w:rPr>
                <w:rFonts w:hAnsi="宋体" w:cs="Arial"/>
                <w:color w:val="000000"/>
                <w:sz w:val="21"/>
                <w:szCs w:val="21"/>
                <w:highlight w:val="none"/>
              </w:rPr>
            </w:pPr>
            <w:r>
              <w:rPr>
                <w:rFonts w:hint="eastAsia" w:hAnsi="宋体" w:cs="Arial"/>
                <w:color w:val="000000"/>
                <w:sz w:val="21"/>
                <w:szCs w:val="21"/>
                <w:highlight w:val="none"/>
              </w:rPr>
              <w:t>　</w:t>
            </w:r>
          </w:p>
        </w:tc>
        <w:tc>
          <w:tcPr>
            <w:tcW w:w="820" w:type="dxa"/>
            <w:tcBorders>
              <w:top w:val="nil"/>
              <w:left w:val="nil"/>
              <w:bottom w:val="single" w:color="auto" w:sz="4" w:space="0"/>
              <w:right w:val="single" w:color="000000" w:sz="4" w:space="0"/>
            </w:tcBorders>
            <w:shd w:val="clear" w:color="auto" w:fill="auto"/>
          </w:tcPr>
          <w:p>
            <w:pPr>
              <w:widowControl/>
              <w:jc w:val="left"/>
              <w:rPr>
                <w:rFonts w:hAnsi="宋体" w:cs="Arial"/>
                <w:color w:val="000000"/>
                <w:sz w:val="21"/>
                <w:szCs w:val="21"/>
                <w:highlight w:val="none"/>
              </w:rPr>
            </w:pPr>
            <w:r>
              <w:rPr>
                <w:rFonts w:hint="eastAsia" w:hAnsi="宋体" w:cs="Arial"/>
                <w:color w:val="000000"/>
                <w:sz w:val="21"/>
                <w:szCs w:val="21"/>
                <w:highlight w:val="none"/>
              </w:rPr>
              <w:t>　</w:t>
            </w:r>
          </w:p>
        </w:tc>
        <w:tc>
          <w:tcPr>
            <w:tcW w:w="1056" w:type="dxa"/>
            <w:tcBorders>
              <w:top w:val="nil"/>
              <w:left w:val="nil"/>
              <w:bottom w:val="single" w:color="auto" w:sz="4" w:space="0"/>
              <w:right w:val="single" w:color="000000" w:sz="4" w:space="0"/>
            </w:tcBorders>
            <w:shd w:val="clear" w:color="auto" w:fill="auto"/>
          </w:tcPr>
          <w:p>
            <w:pPr>
              <w:widowControl/>
              <w:jc w:val="left"/>
              <w:rPr>
                <w:rFonts w:hAnsi="宋体" w:cs="Arial"/>
                <w:color w:val="000000"/>
                <w:sz w:val="21"/>
                <w:szCs w:val="21"/>
                <w:highlight w:val="none"/>
              </w:rPr>
            </w:pPr>
            <w:r>
              <w:rPr>
                <w:rFonts w:hint="eastAsia" w:hAnsi="宋体" w:cs="Arial"/>
                <w:color w:val="000000"/>
                <w:sz w:val="21"/>
                <w:szCs w:val="21"/>
                <w:highlight w:val="none"/>
              </w:rPr>
              <w:t>　</w:t>
            </w:r>
          </w:p>
        </w:tc>
        <w:tc>
          <w:tcPr>
            <w:tcW w:w="1161" w:type="dxa"/>
            <w:tcBorders>
              <w:top w:val="nil"/>
              <w:left w:val="nil"/>
              <w:bottom w:val="single" w:color="auto" w:sz="4" w:space="0"/>
              <w:right w:val="single" w:color="000000" w:sz="8" w:space="0"/>
            </w:tcBorders>
            <w:shd w:val="clear" w:color="auto" w:fill="auto"/>
            <w:vAlign w:val="center"/>
          </w:tcPr>
          <w:p>
            <w:pPr>
              <w:widowControl/>
              <w:jc w:val="right"/>
              <w:rPr>
                <w:rFonts w:hAnsi="宋体" w:cs="Arial"/>
                <w:color w:val="000000"/>
                <w:sz w:val="21"/>
                <w:szCs w:val="21"/>
                <w:highlight w:val="none"/>
              </w:rPr>
            </w:pPr>
            <w:r>
              <w:rPr>
                <w:rFonts w:hint="eastAsia" w:hAnsi="宋体" w:cs="Arial"/>
                <w:color w:val="000000"/>
                <w:sz w:val="21"/>
                <w:szCs w:val="21"/>
                <w:highlight w:val="none"/>
              </w:rPr>
              <w:t>155263.04</w:t>
            </w:r>
          </w:p>
        </w:tc>
      </w:tr>
    </w:tbl>
    <w:p>
      <w:pPr>
        <w:rPr>
          <w:rFonts w:hint="eastAsia"/>
          <w:highlight w:val="none"/>
        </w:rPr>
      </w:pPr>
      <w:r>
        <w:rPr>
          <w:rFonts w:hint="eastAsia"/>
          <w:highlight w:val="none"/>
        </w:rPr>
        <w:t>注：1、以上工程量以最终审计结果为准；</w:t>
      </w:r>
    </w:p>
    <w:p>
      <w:pPr>
        <w:ind w:firstLine="438" w:firstLineChars="200"/>
        <w:rPr>
          <w:highlight w:val="none"/>
        </w:rPr>
      </w:pPr>
      <w:r>
        <w:rPr>
          <w:rFonts w:hint="eastAsia"/>
          <w:highlight w:val="none"/>
        </w:rPr>
        <w:t>2、付款方式：完工后并验收合格后付至进度产值的70%，审计结束后付至95%，余款待一年质保期满后付清；</w:t>
      </w: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rPr>
          <w:rFonts w:hint="eastAsia" w:hAnsi="宋体"/>
          <w:color w:val="000000"/>
          <w:highlight w:val="none"/>
        </w:rPr>
      </w:pPr>
    </w:p>
    <w:p>
      <w:pPr>
        <w:pStyle w:val="2"/>
        <w:spacing w:before="480" w:after="260" w:line="500" w:lineRule="exact"/>
        <w:jc w:val="both"/>
        <w:rPr>
          <w:rFonts w:hAnsi="宋体"/>
          <w:b w:val="0"/>
          <w:bCs w:val="0"/>
          <w:color w:val="000000"/>
          <w:highlight w:val="none"/>
        </w:rPr>
      </w:pPr>
      <w:r>
        <w:rPr>
          <w:rFonts w:hint="eastAsia" w:hAnsi="宋体"/>
          <w:color w:val="000000"/>
          <w:highlight w:val="none"/>
        </w:rPr>
        <w:t>六、响应文件格式</w:t>
      </w:r>
      <w:bookmarkEnd w:id="57"/>
    </w:p>
    <w:p>
      <w:pPr>
        <w:spacing w:line="500" w:lineRule="exact"/>
        <w:jc w:val="center"/>
        <w:rPr>
          <w:rFonts w:hAnsi="宋体"/>
          <w:b/>
          <w:color w:val="000000"/>
          <w:sz w:val="32"/>
          <w:szCs w:val="24"/>
          <w:highlight w:val="none"/>
        </w:rPr>
      </w:pPr>
    </w:p>
    <w:p>
      <w:pPr>
        <w:spacing w:line="500" w:lineRule="exact"/>
        <w:jc w:val="center"/>
        <w:rPr>
          <w:rFonts w:hAnsi="宋体"/>
          <w:b/>
          <w:color w:val="000000"/>
          <w:sz w:val="32"/>
          <w:szCs w:val="24"/>
          <w:highlight w:val="none"/>
        </w:rPr>
      </w:pPr>
    </w:p>
    <w:p>
      <w:pPr>
        <w:spacing w:line="900" w:lineRule="exact"/>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响</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应</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文</w:t>
      </w:r>
    </w:p>
    <w:p>
      <w:pPr>
        <w:spacing w:line="900" w:lineRule="exact"/>
        <w:jc w:val="center"/>
        <w:rPr>
          <w:rFonts w:hAnsi="宋体"/>
          <w:b/>
          <w:color w:val="000000"/>
          <w:sz w:val="72"/>
          <w:szCs w:val="24"/>
          <w:highlight w:val="none"/>
        </w:rPr>
      </w:pPr>
    </w:p>
    <w:p>
      <w:pPr>
        <w:jc w:val="center"/>
        <w:rPr>
          <w:rFonts w:hAnsi="宋体"/>
          <w:b/>
          <w:color w:val="000000"/>
          <w:sz w:val="72"/>
          <w:szCs w:val="24"/>
          <w:highlight w:val="none"/>
        </w:rPr>
      </w:pPr>
      <w:r>
        <w:rPr>
          <w:rFonts w:hint="eastAsia" w:hAnsi="宋体"/>
          <w:b/>
          <w:color w:val="000000"/>
          <w:sz w:val="72"/>
          <w:szCs w:val="24"/>
          <w:highlight w:val="none"/>
        </w:rPr>
        <w:t>件</w:t>
      </w:r>
    </w:p>
    <w:p>
      <w:pPr>
        <w:spacing w:afterLines="50"/>
        <w:jc w:val="center"/>
        <w:rPr>
          <w:rFonts w:hAnsi="宋体"/>
          <w:b/>
          <w:color w:val="000000"/>
          <w:sz w:val="72"/>
          <w:szCs w:val="24"/>
          <w:highlight w:val="none"/>
        </w:rPr>
      </w:pPr>
    </w:p>
    <w:p>
      <w:pPr>
        <w:spacing w:afterLines="50" w:line="500" w:lineRule="exact"/>
        <w:jc w:val="center"/>
        <w:rPr>
          <w:rFonts w:hAnsi="宋体"/>
          <w:b/>
          <w:color w:val="000000"/>
          <w:sz w:val="72"/>
          <w:szCs w:val="24"/>
          <w:highlight w:val="none"/>
        </w:rPr>
      </w:pPr>
    </w:p>
    <w:p>
      <w:pPr>
        <w:spacing w:afterLines="50" w:line="500" w:lineRule="exact"/>
        <w:jc w:val="center"/>
        <w:rPr>
          <w:rFonts w:hAnsi="宋体"/>
          <w:b/>
          <w:color w:val="000000"/>
          <w:sz w:val="72"/>
          <w:szCs w:val="24"/>
          <w:highlight w:val="none"/>
        </w:rPr>
      </w:pPr>
    </w:p>
    <w:p>
      <w:pPr>
        <w:spacing w:afterLines="50" w:line="500" w:lineRule="exact"/>
        <w:rPr>
          <w:rFonts w:hAnsi="宋体"/>
          <w:b/>
          <w:color w:val="000000"/>
          <w:sz w:val="32"/>
          <w:szCs w:val="24"/>
          <w:highlight w:val="none"/>
          <w:u w:val="single"/>
        </w:rPr>
      </w:pPr>
      <w:r>
        <w:rPr>
          <w:rFonts w:hint="eastAsia" w:hAnsi="宋体"/>
          <w:b/>
          <w:color w:val="000000"/>
          <w:sz w:val="32"/>
          <w:szCs w:val="24"/>
          <w:highlight w:val="none"/>
        </w:rPr>
        <w:t>供应商：</w:t>
      </w:r>
    </w:p>
    <w:p>
      <w:pPr>
        <w:spacing w:afterLines="50" w:line="500" w:lineRule="exact"/>
        <w:jc w:val="center"/>
        <w:rPr>
          <w:rFonts w:hAnsi="宋体"/>
          <w:color w:val="000000"/>
          <w:szCs w:val="24"/>
          <w:highlight w:val="none"/>
        </w:rPr>
      </w:pPr>
      <w:r>
        <w:rPr>
          <w:rFonts w:hint="eastAsia" w:hAnsi="宋体"/>
          <w:b/>
          <w:color w:val="000000"/>
          <w:sz w:val="32"/>
          <w:szCs w:val="24"/>
          <w:highlight w:val="none"/>
        </w:rPr>
        <w:t xml:space="preserve"> 年     月     日</w:t>
      </w:r>
    </w:p>
    <w:p>
      <w:pPr>
        <w:spacing w:line="360" w:lineRule="auto"/>
        <w:jc w:val="center"/>
        <w:rPr>
          <w:rFonts w:hAnsi="宋体"/>
          <w:b/>
          <w:color w:val="000000"/>
          <w:highlight w:val="none"/>
        </w:rPr>
      </w:pPr>
      <w:r>
        <w:rPr>
          <w:rFonts w:hAnsi="宋体"/>
          <w:bCs/>
          <w:color w:val="000000"/>
          <w:sz w:val="28"/>
          <w:szCs w:val="24"/>
          <w:highlight w:val="none"/>
          <w:lang w:val="zh-CN"/>
        </w:rPr>
        <w:br w:type="page"/>
      </w:r>
      <w:bookmarkStart w:id="75" w:name="_Toc438648618"/>
      <w:r>
        <w:rPr>
          <w:rFonts w:hint="eastAsia" w:hAnsi="宋体" w:cs="宋体"/>
          <w:b/>
          <w:color w:val="000000"/>
          <w:szCs w:val="24"/>
          <w:highlight w:val="none"/>
        </w:rPr>
        <w:t>响应文件资料清单</w:t>
      </w:r>
    </w:p>
    <w:tbl>
      <w:tblPr>
        <w:tblStyle w:val="6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highlight w:val="none"/>
              </w:rPr>
            </w:pPr>
            <w:r>
              <w:rPr>
                <w:rFonts w:hint="eastAsia" w:hAnsi="宋体"/>
                <w:b/>
                <w:color w:val="000000"/>
                <w:highlight w:val="none"/>
              </w:rPr>
              <w:t>序号</w:t>
            </w:r>
          </w:p>
        </w:tc>
        <w:tc>
          <w:tcPr>
            <w:tcW w:w="5460" w:type="dxa"/>
            <w:vAlign w:val="center"/>
          </w:tcPr>
          <w:p>
            <w:pPr>
              <w:spacing w:line="400" w:lineRule="exact"/>
              <w:jc w:val="center"/>
              <w:rPr>
                <w:rFonts w:hAnsi="宋体"/>
                <w:b/>
                <w:color w:val="000000"/>
                <w:highlight w:val="none"/>
              </w:rPr>
            </w:pPr>
            <w:r>
              <w:rPr>
                <w:rFonts w:hint="eastAsia" w:hAnsi="宋体"/>
                <w:b/>
                <w:color w:val="000000"/>
                <w:highlight w:val="none"/>
              </w:rPr>
              <w:t>资料名称</w:t>
            </w:r>
          </w:p>
        </w:tc>
        <w:tc>
          <w:tcPr>
            <w:tcW w:w="2625" w:type="dxa"/>
            <w:vAlign w:val="center"/>
          </w:tcPr>
          <w:p>
            <w:pPr>
              <w:spacing w:line="400" w:lineRule="exact"/>
              <w:jc w:val="center"/>
              <w:rPr>
                <w:rFonts w:hAnsi="宋体"/>
                <w:b/>
                <w:color w:val="000000"/>
                <w:highlight w:val="none"/>
              </w:rPr>
            </w:pPr>
            <w:r>
              <w:rPr>
                <w:rFonts w:hint="eastAsia" w:hAnsi="宋体"/>
                <w:b/>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一</w:t>
            </w:r>
          </w:p>
        </w:tc>
        <w:tc>
          <w:tcPr>
            <w:tcW w:w="5460" w:type="dxa"/>
            <w:vAlign w:val="center"/>
          </w:tcPr>
          <w:p>
            <w:pPr>
              <w:jc w:val="left"/>
              <w:rPr>
                <w:rFonts w:hAnsi="宋体"/>
                <w:color w:val="000000"/>
                <w:highlight w:val="none"/>
                <w:u w:val="single"/>
              </w:rPr>
            </w:pPr>
            <w:r>
              <w:rPr>
                <w:rFonts w:hint="eastAsia" w:hAnsi="宋体"/>
                <w:bCs/>
                <w:color w:val="000000"/>
                <w:highlight w:val="none"/>
              </w:rPr>
              <w:t>报价表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二</w:t>
            </w:r>
          </w:p>
        </w:tc>
        <w:tc>
          <w:tcPr>
            <w:tcW w:w="5460" w:type="dxa"/>
            <w:vAlign w:val="center"/>
          </w:tcPr>
          <w:p>
            <w:pPr>
              <w:jc w:val="left"/>
              <w:rPr>
                <w:rFonts w:hAnsi="宋体"/>
                <w:bCs/>
                <w:color w:val="000000"/>
                <w:highlight w:val="none"/>
              </w:rPr>
            </w:pPr>
            <w:r>
              <w:rPr>
                <w:rFonts w:hint="eastAsia" w:hAnsi="宋体"/>
                <w:color w:val="000000"/>
                <w:highlight w:val="none"/>
              </w:rPr>
              <w:t>供应商情况综合简介</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三</w:t>
            </w:r>
          </w:p>
        </w:tc>
        <w:tc>
          <w:tcPr>
            <w:tcW w:w="5460" w:type="dxa"/>
            <w:vAlign w:val="center"/>
          </w:tcPr>
          <w:p>
            <w:pPr>
              <w:jc w:val="left"/>
              <w:rPr>
                <w:rFonts w:hAnsi="宋体"/>
                <w:bCs/>
                <w:color w:val="000000"/>
                <w:highlight w:val="none"/>
              </w:rPr>
            </w:pPr>
            <w:r>
              <w:rPr>
                <w:rFonts w:hint="eastAsia" w:hAnsi="宋体"/>
                <w:bCs/>
                <w:color w:val="000000"/>
                <w:highlight w:val="none"/>
              </w:rPr>
              <w:t>投标响应函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四</w:t>
            </w:r>
          </w:p>
        </w:tc>
        <w:tc>
          <w:tcPr>
            <w:tcW w:w="5460" w:type="dxa"/>
            <w:vAlign w:val="center"/>
          </w:tcPr>
          <w:p>
            <w:pPr>
              <w:autoSpaceDE w:val="0"/>
              <w:autoSpaceDN w:val="0"/>
              <w:adjustRightInd w:val="0"/>
              <w:spacing w:line="360" w:lineRule="auto"/>
              <w:jc w:val="left"/>
              <w:rPr>
                <w:rFonts w:hAnsi="宋体"/>
                <w:bCs/>
                <w:color w:val="000000"/>
                <w:highlight w:val="none"/>
              </w:rPr>
            </w:pPr>
            <w:r>
              <w:rPr>
                <w:rFonts w:hint="eastAsia" w:hAnsi="宋体" w:cs="宋体"/>
                <w:color w:val="000000"/>
                <w:szCs w:val="24"/>
                <w:highlight w:val="none"/>
                <w:lang w:val="zh-CN"/>
              </w:rPr>
              <w:t>法定代表人身份证明书</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五</w:t>
            </w:r>
          </w:p>
        </w:tc>
        <w:tc>
          <w:tcPr>
            <w:tcW w:w="5460" w:type="dxa"/>
            <w:vAlign w:val="center"/>
          </w:tcPr>
          <w:p>
            <w:pPr>
              <w:jc w:val="left"/>
              <w:rPr>
                <w:rFonts w:hAnsi="宋体"/>
                <w:bCs/>
                <w:color w:val="000000"/>
                <w:highlight w:val="none"/>
              </w:rPr>
            </w:pPr>
            <w:r>
              <w:rPr>
                <w:rFonts w:hint="eastAsia" w:hAnsi="宋体"/>
                <w:bCs/>
                <w:color w:val="000000"/>
                <w:highlight w:val="none"/>
              </w:rPr>
              <w:t xml:space="preserve">投标授权书    </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六</w:t>
            </w:r>
          </w:p>
        </w:tc>
        <w:tc>
          <w:tcPr>
            <w:tcW w:w="5460" w:type="dxa"/>
            <w:vAlign w:val="center"/>
          </w:tcPr>
          <w:p>
            <w:pPr>
              <w:spacing w:line="360" w:lineRule="auto"/>
              <w:rPr>
                <w:rFonts w:hAnsi="宋体"/>
                <w:color w:val="000000"/>
                <w:szCs w:val="24"/>
                <w:highlight w:val="none"/>
              </w:rPr>
            </w:pPr>
            <w:r>
              <w:rPr>
                <w:rFonts w:hint="eastAsia" w:hAnsi="宋体" w:cs="仿宋_GB2312"/>
                <w:color w:val="000000"/>
                <w:szCs w:val="24"/>
                <w:highlight w:val="none"/>
              </w:rPr>
              <w:t>无重大违法记录声明函、无不良信用记录承诺函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七</w:t>
            </w:r>
          </w:p>
        </w:tc>
        <w:tc>
          <w:tcPr>
            <w:tcW w:w="5460" w:type="dxa"/>
            <w:vAlign w:val="center"/>
          </w:tcPr>
          <w:p>
            <w:pPr>
              <w:jc w:val="left"/>
              <w:rPr>
                <w:rFonts w:hAnsi="宋体"/>
                <w:color w:val="000000"/>
                <w:highlight w:val="none"/>
              </w:rPr>
            </w:pPr>
            <w:r>
              <w:rPr>
                <w:rFonts w:hint="eastAsia" w:hAnsi="宋体"/>
                <w:color w:val="000000"/>
                <w:highlight w:val="none"/>
              </w:rPr>
              <w:t>服务方案及服务承诺</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八</w:t>
            </w:r>
          </w:p>
        </w:tc>
        <w:tc>
          <w:tcPr>
            <w:tcW w:w="5460" w:type="dxa"/>
            <w:vAlign w:val="center"/>
          </w:tcPr>
          <w:p>
            <w:pPr>
              <w:jc w:val="left"/>
              <w:rPr>
                <w:rFonts w:hAnsi="宋体"/>
                <w:color w:val="000000"/>
                <w:highlight w:val="none"/>
              </w:rPr>
            </w:pPr>
            <w:r>
              <w:rPr>
                <w:rFonts w:hint="eastAsia" w:hAnsi="宋体"/>
                <w:color w:val="000000"/>
                <w:highlight w:val="none"/>
              </w:rPr>
              <w:t>本地化服务情况一览表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九</w:t>
            </w:r>
          </w:p>
        </w:tc>
        <w:tc>
          <w:tcPr>
            <w:tcW w:w="5460" w:type="dxa"/>
            <w:vAlign w:val="center"/>
          </w:tcPr>
          <w:p>
            <w:pPr>
              <w:rPr>
                <w:color w:val="000000"/>
                <w:highlight w:val="none"/>
              </w:rPr>
            </w:pPr>
            <w:r>
              <w:rPr>
                <w:rFonts w:hint="eastAsia" w:hAnsi="宋体"/>
                <w:color w:val="000000"/>
                <w:highlight w:val="none"/>
              </w:rPr>
              <w:t>其他文件</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highlight w:val="none"/>
                <w:lang w:val="zh-CN"/>
              </w:rPr>
            </w:pPr>
            <w:r>
              <w:rPr>
                <w:rFonts w:hAnsi="宋体"/>
                <w:color w:val="000000"/>
                <w:highlight w:val="none"/>
                <w:lang w:val="zh-CN"/>
              </w:rPr>
              <w:t>十</w:t>
            </w:r>
          </w:p>
        </w:tc>
        <w:tc>
          <w:tcPr>
            <w:tcW w:w="5460" w:type="dxa"/>
            <w:vAlign w:val="center"/>
          </w:tcPr>
          <w:p>
            <w:pPr>
              <w:rPr>
                <w:color w:val="000000"/>
                <w:highlight w:val="none"/>
              </w:rPr>
            </w:pPr>
            <w:r>
              <w:rPr>
                <w:color w:val="000000"/>
                <w:highlight w:val="none"/>
              </w:rPr>
              <w:t>退还投标保证金申请</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jc w:val="left"/>
              <w:rPr>
                <w:rFonts w:hAnsi="宋体"/>
                <w:color w:val="000000"/>
                <w:highlight w:val="none"/>
              </w:rPr>
            </w:pPr>
          </w:p>
        </w:tc>
        <w:tc>
          <w:tcPr>
            <w:tcW w:w="2625" w:type="dxa"/>
            <w:vAlign w:val="center"/>
          </w:tcPr>
          <w:p>
            <w:pPr>
              <w:rPr>
                <w:color w:val="000000"/>
                <w:highlight w:val="none"/>
              </w:rPr>
            </w:pPr>
          </w:p>
        </w:tc>
      </w:tr>
    </w:tbl>
    <w:p>
      <w:pPr>
        <w:pStyle w:val="3"/>
        <w:spacing w:line="360" w:lineRule="auto"/>
        <w:ind w:firstLine="0"/>
        <w:jc w:val="left"/>
        <w:rPr>
          <w:rFonts w:ascii="宋体" w:hAnsi="宋体" w:eastAsia="宋体"/>
          <w:bCs w:val="0"/>
          <w:color w:val="000000"/>
          <w:sz w:val="24"/>
          <w:szCs w:val="24"/>
          <w:highlight w:val="none"/>
        </w:rPr>
      </w:pPr>
      <w:r>
        <w:rPr>
          <w:rFonts w:hint="eastAsia" w:hAnsi="宋体" w:cs="宋体"/>
          <w:b w:val="0"/>
          <w:color w:val="000000"/>
          <w:szCs w:val="24"/>
          <w:highlight w:val="none"/>
        </w:rPr>
        <w:br w:type="page"/>
      </w:r>
      <w:bookmarkStart w:id="76" w:name="_Toc461056631"/>
      <w:bookmarkStart w:id="77" w:name="_Toc461053086"/>
      <w:bookmarkStart w:id="78" w:name="_Toc2774249"/>
      <w:r>
        <w:rPr>
          <w:rFonts w:hint="eastAsia" w:ascii="宋体" w:hAnsi="宋体" w:eastAsia="宋体"/>
          <w:bCs w:val="0"/>
          <w:color w:val="000000"/>
          <w:sz w:val="24"/>
          <w:szCs w:val="24"/>
          <w:highlight w:val="none"/>
        </w:rPr>
        <w:t>附件一</w:t>
      </w:r>
      <w:bookmarkEnd w:id="76"/>
      <w:bookmarkEnd w:id="77"/>
      <w:bookmarkEnd w:id="78"/>
    </w:p>
    <w:p>
      <w:pPr>
        <w:spacing w:beforeLines="50" w:afterLines="50" w:line="360" w:lineRule="auto"/>
        <w:ind w:firstLine="215" w:firstLineChars="98"/>
        <w:jc w:val="center"/>
        <w:rPr>
          <w:rFonts w:hAnsi="宋体"/>
          <w:b/>
          <w:color w:val="000000"/>
          <w:szCs w:val="28"/>
          <w:highlight w:val="none"/>
        </w:rPr>
      </w:pPr>
      <w:r>
        <w:rPr>
          <w:rFonts w:hint="eastAsia" w:hAnsi="宋体"/>
          <w:b/>
          <w:color w:val="000000"/>
          <w:szCs w:val="28"/>
          <w:highlight w:val="none"/>
        </w:rPr>
        <w:t>报价表格式</w:t>
      </w:r>
    </w:p>
    <w:p>
      <w:pPr>
        <w:spacing w:beforeLines="50" w:afterLines="50" w:line="360" w:lineRule="auto"/>
        <w:jc w:val="left"/>
        <w:rPr>
          <w:rFonts w:hAnsi="宋体"/>
          <w:b/>
          <w:color w:val="000000"/>
          <w:szCs w:val="28"/>
          <w:highlight w:val="none"/>
        </w:rPr>
      </w:pPr>
      <w:r>
        <w:rPr>
          <w:rFonts w:hint="eastAsia" w:hAnsi="宋体"/>
          <w:b/>
          <w:color w:val="000000"/>
          <w:szCs w:val="28"/>
          <w:highlight w:val="none"/>
        </w:rPr>
        <w:t>1报价表</w:t>
      </w:r>
    </w:p>
    <w:p>
      <w:pPr>
        <w:snapToGrid w:val="0"/>
        <w:spacing w:line="360" w:lineRule="auto"/>
        <w:jc w:val="left"/>
        <w:rPr>
          <w:rFonts w:hAnsi="宋体"/>
          <w:b/>
          <w:color w:val="000000"/>
          <w:szCs w:val="28"/>
          <w:highlight w:val="none"/>
        </w:rPr>
      </w:pPr>
      <w:r>
        <w:rPr>
          <w:rFonts w:hint="eastAsia" w:hAnsi="宋体"/>
          <w:b/>
          <w:color w:val="000000"/>
          <w:szCs w:val="28"/>
          <w:highlight w:val="none"/>
        </w:rPr>
        <w:t>项目名称：</w:t>
      </w:r>
    </w:p>
    <w:p>
      <w:pPr>
        <w:snapToGrid w:val="0"/>
        <w:spacing w:afterLines="50" w:line="360" w:lineRule="auto"/>
        <w:jc w:val="left"/>
        <w:rPr>
          <w:rFonts w:hAnsi="宋体"/>
          <w:b/>
          <w:bCs/>
          <w:color w:val="000000"/>
          <w:szCs w:val="28"/>
          <w:highlight w:val="none"/>
          <w:u w:val="single"/>
        </w:rPr>
      </w:pPr>
      <w:r>
        <w:rPr>
          <w:rFonts w:hint="eastAsia" w:hAnsi="宋体"/>
          <w:b/>
          <w:color w:val="000000"/>
          <w:szCs w:val="28"/>
          <w:highlight w:val="none"/>
        </w:rPr>
        <w:t>项目编号：</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highlight w:val="none"/>
              </w:rPr>
            </w:pPr>
            <w:r>
              <w:rPr>
                <w:rFonts w:hint="eastAsia" w:hAnsi="宋体"/>
                <w:b/>
                <w:color w:val="000000"/>
                <w:highlight w:val="none"/>
              </w:rPr>
              <w:t>供应商名称</w:t>
            </w:r>
          </w:p>
        </w:tc>
        <w:tc>
          <w:tcPr>
            <w:tcW w:w="6492" w:type="dxa"/>
            <w:tcBorders>
              <w:left w:val="single" w:color="auto" w:sz="4" w:space="0"/>
            </w:tcBorders>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highlight w:val="none"/>
              </w:rPr>
            </w:pPr>
            <w:r>
              <w:rPr>
                <w:rFonts w:hint="eastAsia" w:hAnsi="宋体"/>
                <w:b/>
                <w:color w:val="000000"/>
                <w:highlight w:val="none"/>
              </w:rPr>
              <w:t>评标范围</w:t>
            </w:r>
          </w:p>
        </w:tc>
        <w:tc>
          <w:tcPr>
            <w:tcW w:w="6492" w:type="dxa"/>
            <w:tcBorders>
              <w:left w:val="single" w:color="auto" w:sz="4" w:space="0"/>
            </w:tcBorders>
            <w:vAlign w:val="center"/>
          </w:tcPr>
          <w:p>
            <w:pPr>
              <w:snapToGrid w:val="0"/>
              <w:spacing w:line="360" w:lineRule="auto"/>
              <w:rPr>
                <w:rFonts w:hAnsi="宋体"/>
                <w:b/>
                <w:color w:val="000000"/>
                <w:highlight w:val="none"/>
              </w:rPr>
            </w:pPr>
            <w:r>
              <w:rPr>
                <w:rFonts w:hint="eastAsia" w:hAnsi="宋体"/>
                <w:bCs/>
                <w:color w:val="000000"/>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highlight w:val="none"/>
              </w:rPr>
            </w:pPr>
            <w:r>
              <w:rPr>
                <w:rFonts w:hint="eastAsia" w:hAnsi="宋体"/>
                <w:b/>
                <w:color w:val="000000"/>
                <w:highlight w:val="none"/>
              </w:rPr>
              <w:t>报价</w:t>
            </w:r>
          </w:p>
          <w:p>
            <w:pPr>
              <w:spacing w:line="360" w:lineRule="auto"/>
              <w:jc w:val="center"/>
              <w:rPr>
                <w:rFonts w:hAnsi="宋体"/>
                <w:b/>
                <w:color w:val="000000"/>
                <w:highlight w:val="none"/>
              </w:rPr>
            </w:pPr>
            <w:r>
              <w:rPr>
                <w:rFonts w:hint="eastAsia" w:hAnsi="宋体"/>
                <w:b/>
                <w:color w:val="000000"/>
                <w:highlight w:val="none"/>
              </w:rPr>
              <w:t>（详见备注说明）</w:t>
            </w:r>
          </w:p>
        </w:tc>
        <w:tc>
          <w:tcPr>
            <w:tcW w:w="6492" w:type="dxa"/>
            <w:vAlign w:val="center"/>
          </w:tcPr>
          <w:p>
            <w:pPr>
              <w:snapToGrid w:val="0"/>
              <w:spacing w:line="360" w:lineRule="auto"/>
              <w:rPr>
                <w:rFonts w:hAnsi="宋体"/>
                <w:bCs/>
                <w:color w:val="000000"/>
                <w:highlight w:val="none"/>
              </w:rPr>
            </w:pPr>
          </w:p>
          <w:p>
            <w:pPr>
              <w:snapToGrid w:val="0"/>
              <w:spacing w:line="360" w:lineRule="auto"/>
              <w:ind w:firstLine="858" w:firstLineChars="392"/>
              <w:rPr>
                <w:rFonts w:hAnsi="宋体"/>
                <w:bCs/>
                <w:color w:val="000000"/>
                <w:highlight w:val="none"/>
                <w:u w:val="single"/>
              </w:rPr>
            </w:pPr>
            <w:r>
              <w:rPr>
                <w:rFonts w:hint="eastAsia" w:hAnsi="宋体"/>
                <w:bCs/>
                <w:color w:val="000000"/>
                <w:highlight w:val="none"/>
              </w:rPr>
              <w:t>合    计：</w:t>
            </w:r>
            <w:r>
              <w:rPr>
                <w:rFonts w:hint="eastAsia" w:hAnsi="宋体"/>
                <w:bCs/>
                <w:color w:val="000000"/>
                <w:highlight w:val="none"/>
                <w:u w:val="single"/>
              </w:rPr>
              <w:t xml:space="preserve">                   元</w:t>
            </w:r>
          </w:p>
          <w:p>
            <w:pPr>
              <w:snapToGrid w:val="0"/>
              <w:spacing w:line="360" w:lineRule="auto"/>
              <w:jc w:val="center"/>
              <w:rPr>
                <w:rFonts w:hAnsi="宋体"/>
                <w:b/>
                <w:color w:val="000000"/>
                <w:highlight w:val="none"/>
              </w:rPr>
            </w:pPr>
            <w:r>
              <w:rPr>
                <w:rFonts w:hAnsi="宋体"/>
                <w:b/>
                <w:color w:val="000000"/>
                <w:highlight w:val="none"/>
              </w:rPr>
              <w:t>（需附报价清单）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highlight w:val="none"/>
              </w:rPr>
            </w:pPr>
            <w:r>
              <w:rPr>
                <w:rFonts w:hint="eastAsia" w:hAnsi="宋体"/>
                <w:b/>
                <w:color w:val="000000"/>
                <w:highlight w:val="none"/>
              </w:rPr>
              <w:t>备注说明</w:t>
            </w:r>
          </w:p>
        </w:tc>
        <w:tc>
          <w:tcPr>
            <w:tcW w:w="6492" w:type="dxa"/>
          </w:tcPr>
          <w:p>
            <w:pPr>
              <w:spacing w:line="360" w:lineRule="auto"/>
              <w:rPr>
                <w:rFonts w:hAnsi="宋体"/>
                <w:b/>
                <w:color w:val="000000"/>
                <w:highlight w:val="none"/>
              </w:rPr>
            </w:pPr>
          </w:p>
        </w:tc>
      </w:tr>
    </w:tbl>
    <w:p>
      <w:pPr>
        <w:snapToGrid w:val="0"/>
        <w:spacing w:line="360" w:lineRule="auto"/>
        <w:rPr>
          <w:rFonts w:hAnsi="宋体"/>
          <w:b/>
          <w:color w:val="000000"/>
          <w:highlight w:val="none"/>
        </w:rPr>
      </w:pPr>
      <w:r>
        <w:rPr>
          <w:rFonts w:hint="eastAsia" w:hAnsi="宋体"/>
          <w:b/>
          <w:color w:val="000000"/>
          <w:highlight w:val="none"/>
        </w:rPr>
        <w:t xml:space="preserve">供应商公章：                       </w:t>
      </w:r>
    </w:p>
    <w:p>
      <w:pPr>
        <w:snapToGrid w:val="0"/>
        <w:spacing w:line="360" w:lineRule="auto"/>
        <w:ind w:left="5550"/>
        <w:jc w:val="center"/>
        <w:rPr>
          <w:rFonts w:hAnsi="宋体"/>
          <w:color w:val="000000"/>
          <w:highlight w:val="none"/>
        </w:rPr>
      </w:pPr>
      <w:r>
        <w:rPr>
          <w:rFonts w:hint="eastAsia" w:hAnsi="宋体"/>
          <w:color w:val="000000"/>
          <w:highlight w:val="none"/>
        </w:rPr>
        <w:t>年     月     日</w:t>
      </w:r>
    </w:p>
    <w:p>
      <w:pPr>
        <w:adjustRightInd w:val="0"/>
        <w:snapToGrid w:val="0"/>
        <w:spacing w:line="360" w:lineRule="auto"/>
        <w:rPr>
          <w:rFonts w:hAnsi="宋体"/>
          <w:b/>
          <w:bCs/>
          <w:color w:val="000000"/>
          <w:szCs w:val="28"/>
          <w:highlight w:val="none"/>
        </w:rPr>
      </w:pPr>
      <w:r>
        <w:rPr>
          <w:rFonts w:hint="eastAsia" w:hAnsi="宋体"/>
          <w:b/>
          <w:bCs/>
          <w:color w:val="000000"/>
          <w:szCs w:val="28"/>
          <w:highlight w:val="none"/>
        </w:rPr>
        <w:t>注：</w:t>
      </w:r>
    </w:p>
    <w:p>
      <w:pPr>
        <w:adjustRightInd w:val="0"/>
        <w:snapToGrid w:val="0"/>
        <w:spacing w:line="360" w:lineRule="auto"/>
        <w:ind w:firstLine="438" w:firstLineChars="200"/>
        <w:rPr>
          <w:rFonts w:hAnsi="宋体"/>
          <w:color w:val="000000"/>
          <w:highlight w:val="none"/>
        </w:rPr>
      </w:pPr>
      <w:r>
        <w:rPr>
          <w:rFonts w:hint="eastAsia" w:hAnsi="宋体"/>
          <w:b/>
          <w:bCs/>
          <w:color w:val="000000"/>
          <w:szCs w:val="28"/>
          <w:highlight w:val="none"/>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highlight w:val="none"/>
        </w:rPr>
      </w:pPr>
      <w:r>
        <w:rPr>
          <w:rFonts w:hint="eastAsia" w:hAnsi="宋体"/>
          <w:b/>
          <w:bCs/>
          <w:color w:val="000000"/>
          <w:szCs w:val="28"/>
          <w:highlight w:val="none"/>
        </w:rPr>
        <w:t>2、特殊事项在备注中注明。</w:t>
      </w:r>
    </w:p>
    <w:p>
      <w:pPr>
        <w:adjustRightInd w:val="0"/>
        <w:snapToGrid w:val="0"/>
        <w:spacing w:line="360" w:lineRule="auto"/>
        <w:ind w:firstLine="438" w:firstLineChars="200"/>
        <w:rPr>
          <w:rFonts w:hAnsi="宋体"/>
          <w:b/>
          <w:bCs/>
          <w:color w:val="000000"/>
          <w:szCs w:val="28"/>
          <w:highlight w:val="none"/>
        </w:rPr>
      </w:pPr>
    </w:p>
    <w:bookmarkEnd w:id="75"/>
    <w:p>
      <w:pPr>
        <w:spacing w:line="360" w:lineRule="auto"/>
        <w:rPr>
          <w:rFonts w:hAnsi="宋体" w:cs="宋体"/>
          <w:b/>
          <w:bCs/>
          <w:color w:val="000000"/>
          <w:szCs w:val="24"/>
          <w:highlight w:val="none"/>
        </w:rPr>
      </w:pPr>
      <w:r>
        <w:rPr>
          <w:rFonts w:hAnsi="宋体" w:cs="宋体"/>
          <w:b/>
          <w:bCs/>
          <w:color w:val="000000"/>
          <w:szCs w:val="24"/>
          <w:highlight w:val="none"/>
        </w:rPr>
        <w:t>二</w:t>
      </w:r>
      <w:r>
        <w:rPr>
          <w:rFonts w:hint="eastAsia" w:hAnsi="宋体" w:cs="宋体"/>
          <w:b/>
          <w:bCs/>
          <w:color w:val="000000"/>
          <w:szCs w:val="24"/>
          <w:highlight w:val="none"/>
        </w:rPr>
        <w:t>、</w:t>
      </w:r>
    </w:p>
    <w:p>
      <w:pPr>
        <w:spacing w:line="360" w:lineRule="auto"/>
        <w:jc w:val="center"/>
        <w:rPr>
          <w:rFonts w:hAnsi="宋体" w:cs="宋体"/>
          <w:b/>
          <w:bCs/>
          <w:color w:val="000000"/>
          <w:szCs w:val="24"/>
          <w:highlight w:val="none"/>
        </w:rPr>
      </w:pPr>
    </w:p>
    <w:p>
      <w:pPr>
        <w:spacing w:line="360" w:lineRule="auto"/>
        <w:jc w:val="center"/>
        <w:rPr>
          <w:rFonts w:hAnsi="宋体" w:cs="宋体"/>
          <w:color w:val="000000"/>
          <w:szCs w:val="24"/>
          <w:highlight w:val="none"/>
        </w:rPr>
      </w:pPr>
      <w:r>
        <w:rPr>
          <w:rFonts w:hint="eastAsia" w:hAnsi="宋体" w:cs="宋体"/>
          <w:b/>
          <w:bCs/>
          <w:color w:val="000000"/>
          <w:szCs w:val="24"/>
          <w:highlight w:val="none"/>
        </w:rPr>
        <w:t>供应商综合情况简介</w:t>
      </w:r>
    </w:p>
    <w:p>
      <w:pPr>
        <w:spacing w:line="360" w:lineRule="auto"/>
        <w:rPr>
          <w:rFonts w:hAnsi="宋体" w:cs="宋体"/>
          <w:color w:val="000000"/>
          <w:szCs w:val="24"/>
          <w:highlight w:val="none"/>
        </w:rPr>
      </w:pPr>
    </w:p>
    <w:p>
      <w:pPr>
        <w:spacing w:line="360" w:lineRule="auto"/>
        <w:rPr>
          <w:rFonts w:hAnsi="宋体" w:cs="宋体"/>
          <w:color w:val="000000"/>
          <w:szCs w:val="24"/>
          <w:highlight w:val="none"/>
        </w:rPr>
      </w:pPr>
    </w:p>
    <w:p>
      <w:pPr>
        <w:spacing w:line="500" w:lineRule="exact"/>
        <w:jc w:val="center"/>
        <w:rPr>
          <w:rFonts w:hAnsi="宋体" w:cs="宋体"/>
          <w:color w:val="000000"/>
          <w:szCs w:val="24"/>
          <w:highlight w:val="none"/>
        </w:rPr>
      </w:pPr>
      <w:r>
        <w:rPr>
          <w:rFonts w:hint="eastAsia" w:hAnsi="宋体" w:cs="宋体"/>
          <w:color w:val="000000"/>
          <w:szCs w:val="24"/>
          <w:highlight w:val="none"/>
        </w:rPr>
        <w:t>(供应商可自行制作格式)</w:t>
      </w:r>
    </w:p>
    <w:p>
      <w:pPr>
        <w:spacing w:line="500" w:lineRule="exact"/>
        <w:jc w:val="center"/>
        <w:rPr>
          <w:rFonts w:hAnsi="宋体" w:cs="宋体"/>
          <w:color w:val="000000"/>
          <w:szCs w:val="24"/>
          <w:highlight w:val="none"/>
        </w:rPr>
      </w:pPr>
    </w:p>
    <w:p>
      <w:pPr>
        <w:outlineLvl w:val="1"/>
        <w:rPr>
          <w:rFonts w:hAnsi="宋体" w:cs="宋体"/>
          <w:b/>
          <w:color w:val="000000"/>
          <w:szCs w:val="24"/>
          <w:highlight w:val="none"/>
        </w:rPr>
      </w:pPr>
      <w:bookmarkStart w:id="79" w:name="_Toc438648620"/>
      <w:r>
        <w:rPr>
          <w:rFonts w:hint="eastAsia" w:hAnsi="宋体" w:cs="宋体"/>
          <w:b/>
          <w:color w:val="000000"/>
          <w:szCs w:val="24"/>
          <w:highlight w:val="none"/>
        </w:rPr>
        <w:br w:type="page"/>
      </w:r>
      <w:bookmarkEnd w:id="79"/>
      <w:r>
        <w:rPr>
          <w:rFonts w:hint="eastAsia" w:hAnsi="宋体" w:cs="宋体"/>
          <w:b/>
          <w:color w:val="000000"/>
          <w:szCs w:val="24"/>
          <w:highlight w:val="none"/>
        </w:rPr>
        <w:t>三</w:t>
      </w:r>
    </w:p>
    <w:p>
      <w:pPr>
        <w:spacing w:beforeLines="50" w:afterLines="50" w:line="360" w:lineRule="auto"/>
        <w:jc w:val="center"/>
        <w:rPr>
          <w:rFonts w:hAnsi="宋体" w:cs="宋体"/>
          <w:b/>
          <w:color w:val="000000"/>
          <w:szCs w:val="24"/>
          <w:highlight w:val="none"/>
        </w:rPr>
      </w:pPr>
      <w:r>
        <w:rPr>
          <w:rFonts w:hint="eastAsia" w:hAnsi="宋体" w:cs="宋体"/>
          <w:b/>
          <w:color w:val="000000"/>
          <w:szCs w:val="24"/>
          <w:highlight w:val="none"/>
        </w:rPr>
        <w:t>投标响应函</w:t>
      </w:r>
    </w:p>
    <w:p>
      <w:pPr>
        <w:spacing w:line="360" w:lineRule="auto"/>
        <w:rPr>
          <w:rFonts w:hAnsi="宋体" w:cs="宋体"/>
          <w:b/>
          <w:color w:val="000000"/>
          <w:szCs w:val="24"/>
          <w:highlight w:val="none"/>
        </w:rPr>
      </w:pPr>
      <w:r>
        <w:rPr>
          <w:rFonts w:hint="eastAsia" w:hAnsi="宋体" w:cs="宋体"/>
          <w:b/>
          <w:color w:val="000000"/>
          <w:szCs w:val="24"/>
          <w:highlight w:val="none"/>
        </w:rPr>
        <w:t>致：采购人</w:t>
      </w:r>
    </w:p>
    <w:p>
      <w:pPr>
        <w:spacing w:line="360" w:lineRule="auto"/>
        <w:ind w:firstLine="438" w:firstLineChars="200"/>
        <w:rPr>
          <w:rFonts w:hAnsi="宋体" w:cs="宋体"/>
          <w:dstrike/>
          <w:color w:val="000000"/>
          <w:szCs w:val="24"/>
          <w:highlight w:val="none"/>
        </w:rPr>
      </w:pPr>
      <w:r>
        <w:rPr>
          <w:rFonts w:hint="eastAsia" w:hAnsi="宋体" w:cs="宋体"/>
          <w:color w:val="000000"/>
          <w:szCs w:val="24"/>
          <w:highlight w:val="none"/>
        </w:rPr>
        <w:t xml:space="preserve">根据贵方“ </w:t>
      </w:r>
      <w:r>
        <w:rPr>
          <w:rFonts w:hint="eastAsia" w:hAnsi="宋体" w:cs="宋体"/>
          <w:color w:val="000000"/>
          <w:szCs w:val="24"/>
          <w:highlight w:val="none"/>
          <w:u w:val="single"/>
        </w:rPr>
        <w:t xml:space="preserve">     项目名称      </w:t>
      </w:r>
      <w:r>
        <w:rPr>
          <w:rFonts w:hint="eastAsia" w:hAnsi="宋体" w:cs="宋体"/>
          <w:color w:val="000000"/>
          <w:szCs w:val="24"/>
          <w:highlight w:val="none"/>
        </w:rPr>
        <w:t>”的招标公告，我方正式授权</w:t>
      </w:r>
      <w:r>
        <w:rPr>
          <w:rFonts w:hint="eastAsia" w:hAnsi="宋体" w:cs="宋体"/>
          <w:color w:val="000000"/>
          <w:szCs w:val="24"/>
          <w:highlight w:val="none"/>
          <w:u w:val="single"/>
        </w:rPr>
        <w:t xml:space="preserve"> （授权代表姓名） </w:t>
      </w:r>
      <w:r>
        <w:rPr>
          <w:rFonts w:hint="eastAsia" w:hAnsi="宋体" w:cs="宋体"/>
          <w:color w:val="000000"/>
          <w:szCs w:val="24"/>
          <w:highlight w:val="none"/>
        </w:rPr>
        <w:t>代表供应商</w:t>
      </w:r>
      <w:r>
        <w:rPr>
          <w:rFonts w:hint="eastAsia" w:hAnsi="宋体" w:cs="宋体"/>
          <w:color w:val="000000"/>
          <w:szCs w:val="24"/>
          <w:highlight w:val="none"/>
          <w:u w:val="single"/>
        </w:rPr>
        <w:t xml:space="preserve">  （供应商全称）  </w:t>
      </w:r>
      <w:r>
        <w:rPr>
          <w:rFonts w:hint="eastAsia" w:hAnsi="宋体" w:cs="宋体"/>
          <w:color w:val="000000"/>
          <w:szCs w:val="24"/>
          <w:highlight w:val="none"/>
        </w:rPr>
        <w:t>。</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据此函，我方兹宣布同意如下：</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3、我方承诺报价低于同类货物和服务的市场平均价格。</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8、我方对响应文件中所提供资料、文件、证书及证件的真实性和有效性负责。</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9、与本招标有关的通讯地址：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电    话：                       传    真：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供应商基本账户开户名：            账号：             开户行：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供应商公章：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日    期：                    </w:t>
      </w:r>
    </w:p>
    <w:p>
      <w:pPr>
        <w:spacing w:line="360" w:lineRule="auto"/>
        <w:outlineLvl w:val="1"/>
        <w:rPr>
          <w:rFonts w:hAnsi="宋体" w:cs="宋体"/>
          <w:b/>
          <w:color w:val="000000"/>
          <w:szCs w:val="24"/>
          <w:highlight w:val="none"/>
        </w:rPr>
      </w:pPr>
      <w:r>
        <w:rPr>
          <w:rFonts w:hint="eastAsia" w:hAnsi="宋体" w:cs="宋体"/>
          <w:color w:val="000000"/>
          <w:szCs w:val="24"/>
          <w:highlight w:val="none"/>
        </w:rPr>
        <w:br w:type="page"/>
      </w:r>
      <w:r>
        <w:rPr>
          <w:rFonts w:hint="eastAsia" w:hAnsi="宋体" w:cs="宋体"/>
          <w:b/>
          <w:color w:val="000000"/>
          <w:szCs w:val="24"/>
          <w:highlight w:val="none"/>
        </w:rPr>
        <w:t>四</w:t>
      </w:r>
    </w:p>
    <w:p>
      <w:pPr>
        <w:autoSpaceDE w:val="0"/>
        <w:autoSpaceDN w:val="0"/>
        <w:adjustRightInd w:val="0"/>
        <w:spacing w:line="360" w:lineRule="auto"/>
        <w:jc w:val="center"/>
        <w:rPr>
          <w:rFonts w:hAnsi="宋体" w:cs="宋体"/>
          <w:b/>
          <w:color w:val="000000"/>
          <w:szCs w:val="24"/>
          <w:highlight w:val="none"/>
          <w:lang w:val="zh-CN"/>
        </w:rPr>
      </w:pPr>
    </w:p>
    <w:p>
      <w:pPr>
        <w:autoSpaceDE w:val="0"/>
        <w:autoSpaceDN w:val="0"/>
        <w:adjustRightInd w:val="0"/>
        <w:spacing w:line="360" w:lineRule="auto"/>
        <w:jc w:val="center"/>
        <w:rPr>
          <w:rFonts w:hAnsi="宋体" w:cs="宋体"/>
          <w:b/>
          <w:color w:val="000000"/>
          <w:szCs w:val="24"/>
          <w:highlight w:val="none"/>
          <w:lang w:val="zh-CN"/>
        </w:rPr>
      </w:pPr>
      <w:r>
        <w:rPr>
          <w:rFonts w:hint="eastAsia" w:hAnsi="宋体" w:cs="宋体"/>
          <w:b/>
          <w:color w:val="000000"/>
          <w:szCs w:val="24"/>
          <w:highlight w:val="none"/>
          <w:lang w:val="zh-CN"/>
        </w:rPr>
        <w:t>法定代表人身份证明书</w:t>
      </w:r>
    </w:p>
    <w:p>
      <w:pPr>
        <w:autoSpaceDE w:val="0"/>
        <w:autoSpaceDN w:val="0"/>
        <w:adjustRightInd w:val="0"/>
        <w:spacing w:line="360" w:lineRule="auto"/>
        <w:jc w:val="center"/>
        <w:rPr>
          <w:rFonts w:hAnsi="宋体" w:cs="宋体"/>
          <w:b/>
          <w:color w:val="000000"/>
          <w:szCs w:val="24"/>
          <w:highlight w:val="none"/>
          <w:lang w:val="zh-CN"/>
        </w:rPr>
      </w:pPr>
    </w:p>
    <w:p>
      <w:pPr>
        <w:spacing w:beforeLines="20" w:afterLines="20" w:line="540" w:lineRule="exact"/>
        <w:ind w:firstLine="610"/>
        <w:rPr>
          <w:rFonts w:hAnsi="宋体" w:cs="宋体"/>
          <w:color w:val="000000"/>
          <w:szCs w:val="24"/>
          <w:highlight w:val="none"/>
        </w:rPr>
      </w:pPr>
      <w:r>
        <w:rPr>
          <w:rFonts w:hint="eastAsia" w:hAnsi="宋体" w:cs="宋体"/>
          <w:color w:val="000000"/>
          <w:szCs w:val="24"/>
          <w:highlight w:val="none"/>
        </w:rPr>
        <w:t>单位名称：</w:t>
      </w:r>
    </w:p>
    <w:p>
      <w:pPr>
        <w:spacing w:beforeLines="20" w:afterLines="20" w:line="540" w:lineRule="exact"/>
        <w:ind w:firstLine="610"/>
        <w:rPr>
          <w:rFonts w:hAnsi="宋体" w:cs="宋体"/>
          <w:color w:val="000000"/>
          <w:szCs w:val="24"/>
          <w:highlight w:val="none"/>
        </w:rPr>
      </w:pPr>
      <w:r>
        <w:rPr>
          <w:rFonts w:hint="eastAsia" w:hAnsi="宋体" w:cs="宋体"/>
          <w:color w:val="000000"/>
          <w:szCs w:val="24"/>
          <w:highlight w:val="none"/>
        </w:rPr>
        <w:t>地    址：</w:t>
      </w:r>
    </w:p>
    <w:p>
      <w:pPr>
        <w:spacing w:beforeLines="20" w:afterLines="20" w:line="540" w:lineRule="exact"/>
        <w:ind w:firstLine="610"/>
        <w:rPr>
          <w:rFonts w:hAnsi="宋体" w:cs="宋体"/>
          <w:color w:val="000000"/>
          <w:szCs w:val="24"/>
          <w:highlight w:val="none"/>
        </w:rPr>
      </w:pPr>
      <w:r>
        <w:rPr>
          <w:rFonts w:hint="eastAsia" w:hAnsi="宋体" w:cs="宋体"/>
          <w:color w:val="000000"/>
          <w:szCs w:val="24"/>
          <w:highlight w:val="none"/>
        </w:rPr>
        <w:t>成立时间： 年月日</w:t>
      </w:r>
    </w:p>
    <w:p>
      <w:pPr>
        <w:spacing w:beforeLines="20" w:afterLines="20" w:line="540" w:lineRule="exact"/>
        <w:ind w:firstLine="610"/>
        <w:rPr>
          <w:rFonts w:hAnsi="宋体" w:cs="宋体"/>
          <w:color w:val="000000"/>
          <w:szCs w:val="24"/>
          <w:highlight w:val="none"/>
        </w:rPr>
      </w:pPr>
      <w:r>
        <w:rPr>
          <w:rFonts w:hint="eastAsia" w:hAnsi="宋体" w:cs="宋体"/>
          <w:color w:val="000000"/>
          <w:szCs w:val="24"/>
          <w:highlight w:val="none"/>
        </w:rPr>
        <w:t>经营期限：</w:t>
      </w:r>
    </w:p>
    <w:p>
      <w:pPr>
        <w:spacing w:beforeLines="20"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姓    名：               性别：</w:t>
      </w:r>
    </w:p>
    <w:p>
      <w:pPr>
        <w:spacing w:beforeLines="20"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年    龄：                    职务：</w:t>
      </w:r>
    </w:p>
    <w:p>
      <w:pPr>
        <w:spacing w:beforeLines="20" w:afterLines="20" w:line="540" w:lineRule="exact"/>
        <w:ind w:firstLine="610"/>
        <w:rPr>
          <w:rFonts w:hAnsi="宋体" w:cs="宋体"/>
          <w:color w:val="000000"/>
          <w:szCs w:val="24"/>
          <w:highlight w:val="none"/>
        </w:rPr>
      </w:pPr>
      <w:r>
        <w:rPr>
          <w:rFonts w:hint="eastAsia" w:hAnsi="宋体" w:cs="宋体"/>
          <w:color w:val="000000"/>
          <w:szCs w:val="24"/>
          <w:highlight w:val="none"/>
        </w:rPr>
        <w:t>系</w:t>
      </w:r>
      <w:r>
        <w:rPr>
          <w:rFonts w:hint="eastAsia" w:hAnsi="宋体" w:cs="宋体"/>
          <w:color w:val="000000"/>
          <w:szCs w:val="24"/>
          <w:highlight w:val="none"/>
          <w:u w:val="single"/>
        </w:rPr>
        <w:t xml:space="preserve">     （供应商单位名称）      </w:t>
      </w:r>
      <w:r>
        <w:rPr>
          <w:rFonts w:hint="eastAsia" w:hAnsi="宋体" w:cs="宋体"/>
          <w:color w:val="000000"/>
          <w:szCs w:val="24"/>
          <w:highlight w:val="none"/>
        </w:rPr>
        <w:t xml:space="preserve"> 的法定代表人。</w:t>
      </w:r>
    </w:p>
    <w:p>
      <w:pPr>
        <w:spacing w:beforeLines="20" w:afterLines="20" w:line="540" w:lineRule="exact"/>
        <w:ind w:firstLine="610"/>
        <w:rPr>
          <w:rFonts w:hAnsi="宋体" w:cs="宋体"/>
          <w:color w:val="000000"/>
          <w:szCs w:val="24"/>
          <w:highlight w:val="none"/>
        </w:rPr>
      </w:pPr>
    </w:p>
    <w:p>
      <w:pPr>
        <w:pStyle w:val="25"/>
        <w:spacing w:beforeLines="20" w:afterLines="20" w:line="540" w:lineRule="exact"/>
        <w:ind w:firstLine="219" w:firstLineChars="1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特此证明。</w:t>
      </w:r>
    </w:p>
    <w:p>
      <w:pPr>
        <w:tabs>
          <w:tab w:val="left" w:pos="720"/>
          <w:tab w:val="left" w:pos="900"/>
        </w:tabs>
        <w:spacing w:beforeLines="20" w:afterLines="20" w:line="540" w:lineRule="exact"/>
        <w:ind w:firstLine="438" w:firstLineChars="200"/>
        <w:rPr>
          <w:rFonts w:hAnsi="宋体" w:cs="宋体"/>
          <w:color w:val="000000"/>
          <w:szCs w:val="24"/>
          <w:highlight w:val="none"/>
        </w:rPr>
      </w:pPr>
    </w:p>
    <w:p>
      <w:pPr>
        <w:tabs>
          <w:tab w:val="left" w:pos="720"/>
          <w:tab w:val="left" w:pos="900"/>
        </w:tabs>
        <w:spacing w:beforeLines="20" w:afterLines="20" w:line="540" w:lineRule="exact"/>
        <w:ind w:firstLine="438" w:firstLineChars="200"/>
        <w:rPr>
          <w:rFonts w:hAnsi="宋体" w:cs="宋体"/>
          <w:color w:val="000000"/>
          <w:szCs w:val="24"/>
          <w:highlight w:val="none"/>
        </w:rPr>
      </w:pPr>
    </w:p>
    <w:p>
      <w:pPr>
        <w:tabs>
          <w:tab w:val="left" w:pos="720"/>
          <w:tab w:val="left" w:pos="900"/>
        </w:tabs>
        <w:spacing w:beforeLines="20" w:afterLines="20" w:line="540" w:lineRule="exact"/>
        <w:ind w:firstLine="4161" w:firstLineChars="1900"/>
        <w:rPr>
          <w:rFonts w:hAnsi="宋体" w:cs="宋体"/>
          <w:color w:val="000000"/>
          <w:szCs w:val="24"/>
          <w:highlight w:val="none"/>
        </w:rPr>
      </w:pPr>
    </w:p>
    <w:p>
      <w:pPr>
        <w:tabs>
          <w:tab w:val="left" w:pos="720"/>
          <w:tab w:val="left" w:pos="900"/>
        </w:tabs>
        <w:spacing w:beforeLines="20" w:afterLines="20" w:line="540" w:lineRule="exact"/>
        <w:ind w:firstLine="3504" w:firstLineChars="1600"/>
        <w:rPr>
          <w:rFonts w:hAnsi="宋体" w:cs="宋体"/>
          <w:color w:val="000000"/>
          <w:szCs w:val="24"/>
          <w:highlight w:val="none"/>
        </w:rPr>
      </w:pPr>
      <w:r>
        <w:rPr>
          <w:rFonts w:hint="eastAsia" w:hAnsi="宋体" w:cs="宋体"/>
          <w:color w:val="000000"/>
          <w:szCs w:val="24"/>
          <w:highlight w:val="none"/>
        </w:rPr>
        <w:t>供应商：</w:t>
      </w:r>
      <w:r>
        <w:rPr>
          <w:rFonts w:hint="eastAsia" w:hAnsi="宋体" w:cs="宋体"/>
          <w:color w:val="000000"/>
          <w:szCs w:val="24"/>
          <w:highlight w:val="none"/>
          <w:u w:val="single"/>
        </w:rPr>
        <w:t xml:space="preserve">            （盖公章）</w:t>
      </w:r>
    </w:p>
    <w:p>
      <w:pPr>
        <w:spacing w:beforeLines="20" w:afterLines="20" w:line="540" w:lineRule="exact"/>
        <w:ind w:firstLine="3504" w:firstLineChars="1600"/>
        <w:rPr>
          <w:rFonts w:hAnsi="宋体" w:cs="宋体"/>
          <w:color w:val="000000"/>
          <w:szCs w:val="24"/>
          <w:highlight w:val="none"/>
        </w:rPr>
      </w:pPr>
      <w:r>
        <w:rPr>
          <w:rFonts w:hint="eastAsia" w:hAnsi="宋体" w:cs="宋体"/>
          <w:color w:val="000000"/>
          <w:szCs w:val="24"/>
          <w:highlight w:val="none"/>
        </w:rPr>
        <w:t>日  期：年月日</w:t>
      </w:r>
    </w:p>
    <w:p>
      <w:pPr>
        <w:spacing w:beforeLines="20" w:afterLines="20" w:line="540" w:lineRule="exact"/>
        <w:outlineLvl w:val="1"/>
        <w:rPr>
          <w:rFonts w:hAnsi="宋体" w:cs="宋体"/>
          <w:b/>
          <w:color w:val="000000"/>
          <w:szCs w:val="24"/>
          <w:highlight w:val="none"/>
        </w:rPr>
      </w:pPr>
      <w:r>
        <w:rPr>
          <w:rFonts w:hAnsi="宋体" w:cs="宋体"/>
          <w:color w:val="000000"/>
          <w:szCs w:val="24"/>
          <w:highlight w:val="none"/>
        </w:rPr>
        <w:br w:type="page"/>
      </w:r>
      <w:bookmarkStart w:id="80" w:name="_Toc438648622"/>
      <w:r>
        <w:rPr>
          <w:rFonts w:hint="eastAsia" w:hAnsi="宋体" w:cs="宋体"/>
          <w:b/>
          <w:color w:val="000000"/>
          <w:szCs w:val="24"/>
          <w:highlight w:val="none"/>
        </w:rPr>
        <w:t>五</w:t>
      </w:r>
    </w:p>
    <w:p>
      <w:pPr>
        <w:spacing w:beforeLines="50" w:afterLines="50" w:line="360" w:lineRule="auto"/>
        <w:jc w:val="center"/>
        <w:rPr>
          <w:rFonts w:hAnsi="宋体" w:cs="宋体"/>
          <w:b/>
          <w:color w:val="000000"/>
          <w:szCs w:val="24"/>
          <w:highlight w:val="none"/>
        </w:rPr>
      </w:pPr>
      <w:r>
        <w:rPr>
          <w:rFonts w:hint="eastAsia" w:hAnsi="宋体" w:cs="宋体"/>
          <w:b/>
          <w:color w:val="000000"/>
          <w:szCs w:val="24"/>
          <w:highlight w:val="none"/>
        </w:rPr>
        <w:t>投标授权书</w:t>
      </w:r>
    </w:p>
    <w:p>
      <w:pPr>
        <w:snapToGrid w:val="0"/>
        <w:spacing w:line="360" w:lineRule="auto"/>
        <w:ind w:firstLine="438" w:firstLineChars="200"/>
        <w:jc w:val="left"/>
        <w:rPr>
          <w:rFonts w:hAnsi="宋体" w:cs="宋体"/>
          <w:color w:val="000000"/>
          <w:szCs w:val="24"/>
          <w:highlight w:val="none"/>
        </w:rPr>
      </w:pPr>
      <w:r>
        <w:rPr>
          <w:rFonts w:hint="eastAsia" w:hAnsi="宋体" w:cs="宋体"/>
          <w:color w:val="000000"/>
          <w:szCs w:val="24"/>
          <w:highlight w:val="none"/>
        </w:rPr>
        <w:t>本授权书声明：公司授权本公司</w:t>
      </w:r>
      <w:r>
        <w:rPr>
          <w:rFonts w:hint="eastAsia" w:hAnsi="宋体" w:cs="宋体"/>
          <w:color w:val="000000"/>
          <w:szCs w:val="24"/>
          <w:highlight w:val="none"/>
          <w:u w:val="single"/>
        </w:rPr>
        <w:t>（供应商授权代表姓名）</w:t>
      </w:r>
      <w:r>
        <w:rPr>
          <w:rFonts w:hint="eastAsia" w:hAnsi="宋体" w:cs="宋体"/>
          <w:color w:val="000000"/>
          <w:szCs w:val="24"/>
          <w:highlight w:val="none"/>
        </w:rPr>
        <w:t>代表本公司（工厂）参加</w:t>
      </w:r>
      <w:r>
        <w:rPr>
          <w:rFonts w:hint="eastAsia" w:hAnsi="宋体"/>
          <w:bCs/>
          <w:color w:val="000000"/>
          <w:szCs w:val="24"/>
          <w:highlight w:val="none"/>
        </w:rPr>
        <w:t>采购人</w:t>
      </w:r>
      <w:r>
        <w:rPr>
          <w:rFonts w:hint="eastAsia" w:hAnsi="宋体"/>
          <w:bCs/>
          <w:color w:val="000000"/>
          <w:szCs w:val="24"/>
          <w:highlight w:val="none"/>
          <w:u w:val="single"/>
        </w:rPr>
        <w:t xml:space="preserve">    项目名称       </w:t>
      </w:r>
      <w:r>
        <w:rPr>
          <w:rFonts w:hint="eastAsia" w:hAnsi="宋体" w:cs="宋体"/>
          <w:color w:val="000000"/>
          <w:szCs w:val="24"/>
          <w:highlight w:val="none"/>
        </w:rPr>
        <w:t>采购活动（项目编号：</w:t>
      </w:r>
      <w:r>
        <w:rPr>
          <w:rFonts w:hint="eastAsia" w:hAnsi="宋体" w:cs="宋体"/>
          <w:color w:val="000000"/>
          <w:szCs w:val="24"/>
          <w:highlight w:val="none"/>
          <w:u w:val="single"/>
        </w:rPr>
        <w:t xml:space="preserve">            </w:t>
      </w:r>
      <w:r>
        <w:rPr>
          <w:rFonts w:hint="eastAsia" w:hAnsi="宋体" w:cs="宋体"/>
          <w:color w:val="000000"/>
          <w:szCs w:val="24"/>
          <w:highlight w:val="none"/>
        </w:rPr>
        <w:t xml:space="preserve">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highlight w:val="none"/>
        </w:rPr>
      </w:pPr>
      <w:r>
        <w:rPr>
          <w:rFonts w:hint="eastAsia" w:hAnsi="宋体" w:cs="宋体"/>
          <w:color w:val="000000"/>
          <w:szCs w:val="24"/>
          <w:highlight w:val="none"/>
        </w:rPr>
        <w:t>本授权书自出具之日起生效。</w:t>
      </w:r>
    </w:p>
    <w:p>
      <w:pPr>
        <w:pStyle w:val="32"/>
        <w:snapToGrid w:val="0"/>
        <w:spacing w:line="360" w:lineRule="auto"/>
        <w:ind w:firstLine="438" w:firstLineChars="200"/>
        <w:jc w:val="left"/>
        <w:rPr>
          <w:rFonts w:hAnsi="宋体"/>
          <w:color w:val="000000"/>
          <w:sz w:val="24"/>
          <w:highlight w:val="none"/>
        </w:rPr>
      </w:pPr>
      <w:r>
        <w:rPr>
          <w:rFonts w:hint="eastAsia" w:hAnsi="宋体"/>
          <w:color w:val="000000"/>
          <w:sz w:val="24"/>
          <w:szCs w:val="28"/>
          <w:highlight w:val="none"/>
        </w:rPr>
        <w:t>授权代表</w:t>
      </w:r>
      <w:r>
        <w:rPr>
          <w:rFonts w:hint="eastAsia" w:hAnsi="宋体"/>
          <w:color w:val="000000"/>
          <w:sz w:val="24"/>
          <w:highlight w:val="none"/>
        </w:rPr>
        <w:t>身份证明扫描件或影印件：</w:t>
      </w:r>
    </w:p>
    <w:p>
      <w:pPr>
        <w:pStyle w:val="32"/>
        <w:snapToGrid w:val="0"/>
        <w:spacing w:line="360" w:lineRule="auto"/>
        <w:ind w:firstLine="438" w:firstLineChars="200"/>
        <w:jc w:val="left"/>
        <w:rPr>
          <w:rFonts w:hAnsi="宋体"/>
          <w:color w:val="000000"/>
          <w:sz w:val="24"/>
          <w:highlight w:val="none"/>
        </w:rPr>
      </w:pPr>
      <w:r>
        <w:rPr>
          <w:rFonts w:hAnsi="宋体"/>
          <w:color w:val="000000"/>
          <w:sz w:val="24"/>
          <w:highlight w:val="none"/>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 name="自选图形 4"/>
                <wp:cNvGraphicFramePr/>
                <a:graphic xmlns:a="http://schemas.openxmlformats.org/drawingml/2006/main">
                  <a:graphicData uri="http://schemas.microsoft.com/office/word/2010/wordprocessingShape">
                    <wps:wsp>
                      <wps:cNvSpPr/>
                      <wps:spPr>
                        <a:xfrm>
                          <a:off x="0" y="0"/>
                          <a:ext cx="1774190" cy="10236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upright="1"/>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2"/>
        <w:snapToGrid w:val="0"/>
        <w:spacing w:line="360" w:lineRule="auto"/>
        <w:ind w:firstLine="438" w:firstLineChars="200"/>
        <w:jc w:val="left"/>
        <w:rPr>
          <w:rFonts w:hAnsi="宋体"/>
          <w:color w:val="000000"/>
          <w:sz w:val="24"/>
          <w:highlight w:val="none"/>
        </w:rPr>
      </w:pPr>
    </w:p>
    <w:p>
      <w:pPr>
        <w:pStyle w:val="32"/>
        <w:snapToGrid w:val="0"/>
        <w:spacing w:line="360" w:lineRule="auto"/>
        <w:ind w:firstLine="438" w:firstLineChars="200"/>
        <w:jc w:val="left"/>
        <w:rPr>
          <w:rFonts w:hAnsi="宋体"/>
          <w:color w:val="000000"/>
          <w:sz w:val="24"/>
          <w:highlight w:val="none"/>
        </w:rPr>
      </w:pPr>
    </w:p>
    <w:p>
      <w:pPr>
        <w:pStyle w:val="32"/>
        <w:snapToGrid w:val="0"/>
        <w:spacing w:line="360" w:lineRule="auto"/>
        <w:ind w:firstLine="438" w:firstLineChars="200"/>
        <w:jc w:val="left"/>
        <w:rPr>
          <w:rFonts w:hAnsi="宋体"/>
          <w:color w:val="000000"/>
          <w:sz w:val="24"/>
          <w:highlight w:val="none"/>
        </w:rPr>
      </w:pPr>
    </w:p>
    <w:p>
      <w:pPr>
        <w:pStyle w:val="32"/>
        <w:snapToGrid w:val="0"/>
        <w:spacing w:line="360" w:lineRule="auto"/>
        <w:ind w:firstLine="438" w:firstLineChars="200"/>
        <w:jc w:val="left"/>
        <w:rPr>
          <w:rFonts w:hAnsi="宋体"/>
          <w:color w:val="000000"/>
          <w:sz w:val="24"/>
          <w:highlight w:val="none"/>
        </w:rPr>
      </w:pPr>
    </w:p>
    <w:p>
      <w:pPr>
        <w:pStyle w:val="32"/>
        <w:snapToGrid w:val="0"/>
        <w:spacing w:line="360" w:lineRule="auto"/>
        <w:ind w:firstLine="438" w:firstLineChars="200"/>
        <w:jc w:val="left"/>
        <w:rPr>
          <w:rFonts w:hAnsi="宋体"/>
          <w:color w:val="000000"/>
          <w:sz w:val="24"/>
          <w:highlight w:val="none"/>
        </w:rPr>
      </w:pPr>
    </w:p>
    <w:p>
      <w:pPr>
        <w:pStyle w:val="32"/>
        <w:snapToGrid w:val="0"/>
        <w:spacing w:line="360" w:lineRule="auto"/>
        <w:ind w:firstLine="438" w:firstLineChars="200"/>
        <w:jc w:val="left"/>
        <w:rPr>
          <w:rFonts w:hAnsi="宋体"/>
          <w:color w:val="000000"/>
          <w:sz w:val="24"/>
          <w:szCs w:val="28"/>
          <w:highlight w:val="none"/>
          <w:u w:val="single"/>
        </w:rPr>
      </w:pPr>
      <w:r>
        <w:rPr>
          <w:rFonts w:hint="eastAsia" w:hAnsi="宋体"/>
          <w:color w:val="000000"/>
          <w:sz w:val="24"/>
          <w:szCs w:val="28"/>
          <w:highlight w:val="none"/>
        </w:rPr>
        <w:t>授权代表联系方式：</w:t>
      </w:r>
      <w:r>
        <w:rPr>
          <w:rFonts w:hint="eastAsia" w:hAnsi="宋体"/>
          <w:color w:val="000000"/>
          <w:sz w:val="24"/>
          <w:szCs w:val="28"/>
          <w:highlight w:val="none"/>
          <w:u w:val="single"/>
        </w:rPr>
        <w:t xml:space="preserve">          （请填写手机号码）</w:t>
      </w:r>
    </w:p>
    <w:p>
      <w:pPr>
        <w:spacing w:line="360" w:lineRule="auto"/>
        <w:ind w:firstLine="329" w:firstLineChars="150"/>
        <w:rPr>
          <w:rFonts w:hAnsi="宋体"/>
          <w:color w:val="000000"/>
          <w:szCs w:val="28"/>
          <w:highlight w:val="none"/>
        </w:rPr>
      </w:pPr>
      <w:r>
        <w:rPr>
          <w:rFonts w:hint="eastAsia" w:hAnsi="宋体"/>
          <w:color w:val="000000"/>
          <w:szCs w:val="28"/>
          <w:highlight w:val="none"/>
        </w:rPr>
        <w:t>特此声明。</w:t>
      </w:r>
    </w:p>
    <w:p>
      <w:pPr>
        <w:spacing w:line="360" w:lineRule="auto"/>
        <w:ind w:right="440" w:firstLine="6688" w:firstLineChars="3054"/>
        <w:rPr>
          <w:rFonts w:hAnsi="宋体"/>
          <w:b/>
          <w:bCs/>
          <w:color w:val="000000"/>
          <w:szCs w:val="28"/>
          <w:highlight w:val="none"/>
        </w:rPr>
      </w:pPr>
      <w:r>
        <w:rPr>
          <w:rFonts w:hint="eastAsia" w:hAnsi="宋体"/>
          <w:b/>
          <w:bCs/>
          <w:color w:val="000000"/>
          <w:szCs w:val="28"/>
          <w:highlight w:val="none"/>
        </w:rPr>
        <w:t>供应商签章：</w:t>
      </w:r>
    </w:p>
    <w:p>
      <w:pPr>
        <w:spacing w:line="360" w:lineRule="auto"/>
        <w:jc w:val="right"/>
        <w:rPr>
          <w:rFonts w:hAnsi="宋体"/>
          <w:color w:val="000000"/>
          <w:szCs w:val="28"/>
          <w:highlight w:val="none"/>
        </w:rPr>
      </w:pPr>
      <w:r>
        <w:rPr>
          <w:rFonts w:hint="eastAsia" w:hAnsi="宋体"/>
          <w:color w:val="000000"/>
          <w:szCs w:val="28"/>
          <w:highlight w:val="none"/>
        </w:rPr>
        <w:t>日 期： 年  月   日</w:t>
      </w:r>
    </w:p>
    <w:p>
      <w:pPr>
        <w:pStyle w:val="32"/>
        <w:snapToGrid w:val="0"/>
        <w:spacing w:line="360" w:lineRule="auto"/>
        <w:jc w:val="left"/>
        <w:rPr>
          <w:rFonts w:hAnsi="宋体"/>
          <w:color w:val="000000"/>
          <w:sz w:val="24"/>
          <w:szCs w:val="28"/>
          <w:highlight w:val="none"/>
        </w:rPr>
      </w:pPr>
      <w:r>
        <w:rPr>
          <w:rFonts w:hint="eastAsia" w:hAnsi="宋体"/>
          <w:color w:val="000000"/>
          <w:sz w:val="24"/>
          <w:szCs w:val="28"/>
          <w:highlight w:val="none"/>
        </w:rPr>
        <w:t>注：</w:t>
      </w:r>
    </w:p>
    <w:p>
      <w:pPr>
        <w:pStyle w:val="32"/>
        <w:snapToGrid w:val="0"/>
        <w:spacing w:line="360" w:lineRule="auto"/>
        <w:ind w:firstLine="438" w:firstLineChars="200"/>
        <w:jc w:val="left"/>
        <w:rPr>
          <w:rFonts w:hAnsi="宋体"/>
          <w:color w:val="000000"/>
          <w:sz w:val="24"/>
          <w:szCs w:val="28"/>
          <w:highlight w:val="none"/>
        </w:rPr>
      </w:pPr>
      <w:r>
        <w:rPr>
          <w:rFonts w:hint="eastAsia" w:hAnsi="宋体"/>
          <w:color w:val="000000"/>
          <w:sz w:val="24"/>
          <w:szCs w:val="28"/>
          <w:highlight w:val="none"/>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highlight w:val="none"/>
        </w:rPr>
      </w:pPr>
      <w:r>
        <w:rPr>
          <w:rFonts w:hint="eastAsia" w:hAnsi="宋体"/>
          <w:color w:val="000000"/>
          <w:highlight w:val="none"/>
        </w:rPr>
        <w:t>2、法定代表人参加评标的无需此件，提供身份证明复印件即可。</w:t>
      </w:r>
    </w:p>
    <w:p>
      <w:pPr>
        <w:spacing w:line="360" w:lineRule="auto"/>
        <w:rPr>
          <w:rFonts w:hAnsi="宋体" w:cs="宋体"/>
          <w:b/>
          <w:color w:val="000000"/>
          <w:szCs w:val="24"/>
          <w:highlight w:val="none"/>
        </w:rPr>
      </w:pPr>
      <w:r>
        <w:rPr>
          <w:rFonts w:hAnsi="宋体" w:cs="宋体"/>
          <w:color w:val="000000"/>
          <w:szCs w:val="24"/>
          <w:highlight w:val="none"/>
        </w:rPr>
        <w:br w:type="page"/>
      </w:r>
      <w:bookmarkEnd w:id="80"/>
      <w:bookmarkStart w:id="81" w:name="_Toc433835936"/>
      <w:bookmarkStart w:id="82" w:name="_Toc438648630"/>
      <w:r>
        <w:rPr>
          <w:rFonts w:hint="eastAsia" w:hAnsi="宋体" w:cs="宋体"/>
          <w:b/>
          <w:color w:val="000000"/>
          <w:szCs w:val="24"/>
          <w:highlight w:val="none"/>
        </w:rPr>
        <w:t>六</w:t>
      </w:r>
      <w:r>
        <w:rPr>
          <w:rFonts w:hAnsi="宋体" w:cs="宋体"/>
          <w:b/>
          <w:color w:val="000000"/>
          <w:szCs w:val="24"/>
          <w:highlight w:val="none"/>
        </w:rPr>
        <w:t xml:space="preserve"> </w:t>
      </w:r>
    </w:p>
    <w:p>
      <w:pPr>
        <w:spacing w:line="360" w:lineRule="auto"/>
        <w:jc w:val="center"/>
        <w:rPr>
          <w:rFonts w:hAnsi="宋体" w:cs="宋体"/>
          <w:b/>
          <w:color w:val="000000"/>
          <w:szCs w:val="24"/>
          <w:highlight w:val="none"/>
        </w:rPr>
      </w:pPr>
      <w:r>
        <w:rPr>
          <w:rFonts w:hint="eastAsia" w:hAnsi="宋体" w:cs="仿宋_GB2312"/>
          <w:b/>
          <w:color w:val="000000"/>
          <w:sz w:val="28"/>
          <w:szCs w:val="28"/>
          <w:highlight w:val="none"/>
        </w:rPr>
        <w:t>无重大违法记录声明函、无不良信用记录承诺函</w:t>
      </w:r>
    </w:p>
    <w:p>
      <w:pPr>
        <w:spacing w:line="360" w:lineRule="auto"/>
        <w:ind w:firstLine="435"/>
        <w:rPr>
          <w:rFonts w:hAnsi="宋体"/>
          <w:b/>
          <w:color w:val="000000"/>
          <w:sz w:val="28"/>
          <w:szCs w:val="28"/>
          <w:highlight w:val="none"/>
        </w:rPr>
      </w:pPr>
    </w:p>
    <w:p>
      <w:pPr>
        <w:spacing w:line="360" w:lineRule="auto"/>
        <w:ind w:firstLine="435"/>
        <w:rPr>
          <w:rFonts w:hAnsi="宋体"/>
          <w:color w:val="000000"/>
          <w:highlight w:val="none"/>
        </w:rPr>
      </w:pPr>
      <w:r>
        <w:rPr>
          <w:rFonts w:hint="eastAsia" w:hAnsi="宋体"/>
          <w:color w:val="000000"/>
          <w:highlight w:val="none"/>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highlight w:val="none"/>
        </w:rPr>
      </w:pPr>
      <w:r>
        <w:rPr>
          <w:rFonts w:hint="eastAsia"/>
          <w:color w:val="000000"/>
          <w:highlight w:val="none"/>
        </w:rPr>
        <w:t>2、</w:t>
      </w:r>
      <w:r>
        <w:rPr>
          <w:rFonts w:hint="eastAsia" w:hAnsi="宋体"/>
          <w:color w:val="000000"/>
          <w:highlight w:val="none"/>
        </w:rPr>
        <w:t>本公司郑重声明，我公司无以下不良信用记录情形：</w:t>
      </w:r>
    </w:p>
    <w:p>
      <w:pPr>
        <w:spacing w:line="360" w:lineRule="auto"/>
        <w:ind w:firstLine="435"/>
        <w:rPr>
          <w:rFonts w:hAnsi="宋体"/>
          <w:color w:val="000000"/>
          <w:highlight w:val="none"/>
        </w:rPr>
      </w:pPr>
      <w:r>
        <w:rPr>
          <w:rFonts w:hint="eastAsia" w:hAnsi="宋体"/>
          <w:color w:val="000000"/>
          <w:highlight w:val="none"/>
        </w:rPr>
        <w:t>（1）公司被人民法院列入失信被执行人；</w:t>
      </w:r>
    </w:p>
    <w:p>
      <w:pPr>
        <w:spacing w:line="360" w:lineRule="auto"/>
        <w:ind w:firstLine="435"/>
        <w:rPr>
          <w:rFonts w:hAnsi="宋体"/>
          <w:color w:val="000000"/>
          <w:highlight w:val="none"/>
        </w:rPr>
      </w:pPr>
      <w:r>
        <w:rPr>
          <w:rFonts w:hint="eastAsia" w:hAnsi="宋体"/>
          <w:color w:val="000000"/>
          <w:highlight w:val="none"/>
        </w:rPr>
        <w:t>（2）公司、法定代表人或拟派项目经理（项目负责人）被人民检察院列入行贿犯罪档案；</w:t>
      </w:r>
    </w:p>
    <w:p>
      <w:pPr>
        <w:spacing w:line="360" w:lineRule="auto"/>
        <w:ind w:firstLine="435"/>
        <w:rPr>
          <w:rFonts w:hAnsi="宋体"/>
          <w:color w:val="000000"/>
          <w:highlight w:val="none"/>
        </w:rPr>
      </w:pPr>
      <w:r>
        <w:rPr>
          <w:rFonts w:hint="eastAsia" w:hAnsi="宋体"/>
          <w:color w:val="000000"/>
          <w:highlight w:val="none"/>
        </w:rPr>
        <w:t>（3）公司被工商行政管理部门列入企业经营异常名录；</w:t>
      </w:r>
    </w:p>
    <w:p>
      <w:pPr>
        <w:spacing w:line="360" w:lineRule="auto"/>
        <w:ind w:firstLine="435"/>
        <w:rPr>
          <w:rFonts w:hAnsi="宋体"/>
          <w:color w:val="000000"/>
          <w:highlight w:val="none"/>
        </w:rPr>
      </w:pPr>
      <w:r>
        <w:rPr>
          <w:rFonts w:hint="eastAsia" w:hAnsi="宋体"/>
          <w:color w:val="000000"/>
          <w:highlight w:val="none"/>
        </w:rPr>
        <w:t>（4）公司被税务部门列入重大税收违法案件当事人名单的。</w:t>
      </w:r>
    </w:p>
    <w:p>
      <w:pPr>
        <w:spacing w:line="360" w:lineRule="auto"/>
        <w:ind w:firstLine="435"/>
        <w:rPr>
          <w:rFonts w:hAnsi="宋体"/>
          <w:color w:val="000000"/>
          <w:highlight w:val="none"/>
        </w:rPr>
      </w:pPr>
      <w:r>
        <w:rPr>
          <w:rFonts w:hint="eastAsia" w:hAnsi="宋体"/>
          <w:color w:val="000000"/>
          <w:highlight w:val="none"/>
        </w:rPr>
        <w:t>（4）公司被政府采购监管部门列入政府采购严重违法失信行为记录名单。</w:t>
      </w:r>
    </w:p>
    <w:p>
      <w:pPr>
        <w:spacing w:line="360" w:lineRule="auto"/>
        <w:ind w:firstLine="435"/>
        <w:rPr>
          <w:color w:val="000000"/>
          <w:highlight w:val="none"/>
        </w:rPr>
      </w:pPr>
      <w:r>
        <w:rPr>
          <w:rFonts w:hAnsi="宋体"/>
          <w:b/>
          <w:color w:val="000000"/>
          <w:highlight w:val="none"/>
        </w:rPr>
        <w:t>我公司已就上述不良信用行为按照</w:t>
      </w:r>
      <w:r>
        <w:rPr>
          <w:rFonts w:hint="eastAsia" w:hAnsi="宋体"/>
          <w:b/>
          <w:color w:val="000000"/>
          <w:highlight w:val="none"/>
        </w:rPr>
        <w:t>评标文件</w:t>
      </w:r>
      <w:r>
        <w:rPr>
          <w:rFonts w:hAnsi="宋体"/>
          <w:b/>
          <w:color w:val="000000"/>
          <w:highlight w:val="none"/>
        </w:rPr>
        <w:t>中供应商须知前附表规定进行了查询。</w:t>
      </w:r>
      <w:r>
        <w:rPr>
          <w:rFonts w:hAnsi="宋体"/>
          <w:color w:val="000000"/>
          <w:highlight w:val="none"/>
        </w:rPr>
        <w:t>我公司承诺</w:t>
      </w:r>
      <w:r>
        <w:rPr>
          <w:rFonts w:hint="eastAsia" w:hAnsi="宋体"/>
          <w:color w:val="000000"/>
          <w:highlight w:val="none"/>
        </w:rPr>
        <w:t>：</w:t>
      </w:r>
      <w:r>
        <w:rPr>
          <w:rFonts w:hAnsi="宋体"/>
          <w:color w:val="000000"/>
          <w:highlight w:val="none"/>
        </w:rPr>
        <w:t>合同签订前，若我公司具有不良信用记录情形，贵方可取消我公司</w:t>
      </w:r>
      <w:r>
        <w:rPr>
          <w:rFonts w:hint="eastAsia" w:hAnsi="宋体"/>
          <w:color w:val="000000"/>
          <w:highlight w:val="none"/>
        </w:rPr>
        <w:t>成交</w:t>
      </w:r>
      <w:r>
        <w:rPr>
          <w:rFonts w:hAnsi="宋体"/>
          <w:color w:val="000000"/>
          <w:highlight w:val="none"/>
        </w:rPr>
        <w:t>资格或者不授予合同，所有责任由我公司自行承担。同时，我公司愿意无条件接受监管部门的调查处理。</w:t>
      </w:r>
    </w:p>
    <w:p>
      <w:pPr>
        <w:spacing w:line="360" w:lineRule="auto"/>
        <w:ind w:firstLine="435"/>
        <w:rPr>
          <w:rFonts w:hAnsi="宋体"/>
          <w:color w:val="000000"/>
          <w:highlight w:val="none"/>
        </w:rPr>
      </w:pPr>
      <w:r>
        <w:rPr>
          <w:rFonts w:hint="eastAsia" w:hAnsi="宋体"/>
          <w:color w:val="000000"/>
          <w:highlight w:val="none"/>
        </w:rPr>
        <w:t>本公司对上述声明的真实性负责。如有虚假，将依法承担相应责任。</w:t>
      </w: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color w:val="000000"/>
          <w:highlight w:val="none"/>
          <w:u w:val="single"/>
        </w:rPr>
      </w:pPr>
      <w:r>
        <w:rPr>
          <w:rFonts w:hint="eastAsia" w:hAnsi="宋体"/>
          <w:color w:val="000000"/>
          <w:highlight w:val="none"/>
        </w:rPr>
        <w:t>供应商公章：</w:t>
      </w:r>
    </w:p>
    <w:p>
      <w:pPr>
        <w:tabs>
          <w:tab w:val="left" w:pos="630"/>
        </w:tabs>
        <w:spacing w:line="360" w:lineRule="auto"/>
        <w:ind w:firstLine="3858" w:firstLineChars="1762"/>
        <w:rPr>
          <w:rFonts w:hAnsi="宋体"/>
          <w:color w:val="000000"/>
          <w:highlight w:val="none"/>
        </w:rPr>
      </w:pPr>
      <w:r>
        <w:rPr>
          <w:rFonts w:hint="eastAsia" w:hAnsi="宋体"/>
          <w:color w:val="000000"/>
          <w:highlight w:val="none"/>
        </w:rPr>
        <w:t>日期：</w:t>
      </w:r>
    </w:p>
    <w:p>
      <w:pPr>
        <w:tabs>
          <w:tab w:val="left" w:pos="630"/>
        </w:tabs>
        <w:spacing w:line="360" w:lineRule="auto"/>
        <w:ind w:firstLine="3858" w:firstLineChars="1762"/>
        <w:rPr>
          <w:rFonts w:hAnsi="宋体"/>
          <w:color w:val="000000"/>
          <w:highlight w:val="none"/>
        </w:rPr>
      </w:pPr>
    </w:p>
    <w:p>
      <w:pPr>
        <w:tabs>
          <w:tab w:val="left" w:pos="630"/>
        </w:tabs>
        <w:spacing w:line="360" w:lineRule="auto"/>
        <w:ind w:firstLine="3858" w:firstLineChars="1762"/>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bookmarkEnd w:id="81"/>
    <w:bookmarkEnd w:id="82"/>
    <w:p>
      <w:pPr>
        <w:spacing w:line="360" w:lineRule="auto"/>
        <w:outlineLvl w:val="1"/>
        <w:rPr>
          <w:rFonts w:hAnsi="宋体" w:cs="宋体"/>
          <w:b/>
          <w:color w:val="000000"/>
          <w:szCs w:val="24"/>
          <w:highlight w:val="none"/>
        </w:rPr>
      </w:pPr>
      <w:r>
        <w:rPr>
          <w:rFonts w:hint="eastAsia" w:hAnsi="宋体" w:cs="宋体"/>
          <w:b/>
          <w:color w:val="000000"/>
          <w:szCs w:val="24"/>
          <w:highlight w:val="none"/>
        </w:rPr>
        <w:t>七</w:t>
      </w:r>
    </w:p>
    <w:p>
      <w:pPr>
        <w:spacing w:line="360" w:lineRule="auto"/>
        <w:outlineLvl w:val="1"/>
        <w:rPr>
          <w:rFonts w:hAnsi="宋体" w:cs="宋体"/>
          <w:b/>
          <w:color w:val="000000"/>
          <w:szCs w:val="24"/>
          <w:highlight w:val="none"/>
        </w:rPr>
      </w:pPr>
    </w:p>
    <w:p>
      <w:pPr>
        <w:spacing w:line="360" w:lineRule="auto"/>
        <w:jc w:val="center"/>
        <w:outlineLvl w:val="1"/>
        <w:rPr>
          <w:rFonts w:hAnsi="宋体" w:cs="宋体"/>
          <w:b/>
          <w:color w:val="000000"/>
          <w:szCs w:val="24"/>
          <w:highlight w:val="none"/>
        </w:rPr>
      </w:pPr>
      <w:r>
        <w:rPr>
          <w:rFonts w:hint="eastAsia" w:hAnsi="宋体" w:cs="宋体"/>
          <w:b/>
          <w:color w:val="000000"/>
          <w:szCs w:val="24"/>
          <w:highlight w:val="none"/>
        </w:rPr>
        <w:t>服务方案及服务承诺</w:t>
      </w:r>
    </w:p>
    <w:p>
      <w:pPr>
        <w:spacing w:line="360" w:lineRule="auto"/>
        <w:jc w:val="center"/>
        <w:outlineLvl w:val="1"/>
        <w:rPr>
          <w:rFonts w:hAnsi="宋体" w:cs="宋体"/>
          <w:b/>
          <w:color w:val="000000"/>
          <w:szCs w:val="24"/>
          <w:highlight w:val="none"/>
        </w:rPr>
      </w:pPr>
    </w:p>
    <w:p>
      <w:pPr>
        <w:spacing w:line="360" w:lineRule="auto"/>
        <w:jc w:val="center"/>
        <w:outlineLvl w:val="1"/>
        <w:rPr>
          <w:rFonts w:hAnsi="宋体" w:cs="宋体"/>
          <w:b/>
          <w:color w:val="000000"/>
          <w:szCs w:val="24"/>
          <w:highlight w:val="none"/>
        </w:rPr>
      </w:pPr>
      <w:r>
        <w:rPr>
          <w:rFonts w:hint="eastAsia" w:hAnsi="宋体" w:cs="宋体"/>
          <w:b/>
          <w:color w:val="000000"/>
          <w:szCs w:val="24"/>
          <w:highlight w:val="none"/>
        </w:rPr>
        <w:t>（供应商可自行制作格式）</w:t>
      </w:r>
    </w:p>
    <w:p>
      <w:pPr>
        <w:spacing w:line="360" w:lineRule="auto"/>
        <w:jc w:val="center"/>
        <w:outlineLvl w:val="1"/>
        <w:rPr>
          <w:rFonts w:hAnsi="宋体" w:cs="宋体"/>
          <w:b/>
          <w:color w:val="000000"/>
          <w:szCs w:val="24"/>
          <w:highlight w:val="none"/>
        </w:rPr>
      </w:pPr>
    </w:p>
    <w:p>
      <w:pPr>
        <w:spacing w:line="360" w:lineRule="auto"/>
        <w:jc w:val="left"/>
        <w:outlineLvl w:val="1"/>
        <w:rPr>
          <w:rFonts w:hAnsi="宋体" w:cs="宋体"/>
          <w:b/>
          <w:color w:val="000000"/>
          <w:szCs w:val="24"/>
          <w:highlight w:val="none"/>
        </w:rPr>
      </w:pPr>
      <w:bookmarkStart w:id="83" w:name="_GoBack"/>
      <w:bookmarkEnd w:id="83"/>
      <w:r>
        <w:rPr>
          <w:rFonts w:hAnsi="宋体" w:cs="宋体"/>
          <w:b/>
          <w:color w:val="000000"/>
          <w:szCs w:val="24"/>
          <w:highlight w:val="none"/>
        </w:rPr>
        <w:br w:type="page"/>
      </w:r>
      <w:r>
        <w:rPr>
          <w:rFonts w:hAnsi="宋体" w:cs="宋体"/>
          <w:b/>
          <w:color w:val="000000"/>
          <w:szCs w:val="24"/>
          <w:highlight w:val="none"/>
        </w:rPr>
        <w:t>八</w:t>
      </w:r>
    </w:p>
    <w:p>
      <w:pPr>
        <w:spacing w:line="360" w:lineRule="auto"/>
        <w:jc w:val="center"/>
        <w:rPr>
          <w:rFonts w:hAnsi="宋体"/>
          <w:b/>
          <w:bCs/>
          <w:color w:val="000000"/>
          <w:highlight w:val="none"/>
        </w:rPr>
      </w:pPr>
      <w:r>
        <w:rPr>
          <w:rFonts w:hint="eastAsia" w:hAnsi="宋体"/>
          <w:b/>
          <w:bCs/>
          <w:color w:val="000000"/>
          <w:highlight w:val="none"/>
        </w:rPr>
        <w:t>本地化服务情况一览表</w:t>
      </w:r>
    </w:p>
    <w:p>
      <w:pPr>
        <w:jc w:val="center"/>
        <w:rPr>
          <w:rFonts w:hAnsi="宋体"/>
          <w:b/>
          <w:color w:val="000000"/>
          <w:highlight w:val="none"/>
        </w:rPr>
      </w:pPr>
      <w:r>
        <w:rPr>
          <w:rFonts w:hAnsi="宋体"/>
          <w:b/>
          <w:color w:val="000000"/>
          <w:highlight w:val="none"/>
        </w:rPr>
        <w:t>（</w:t>
      </w:r>
      <w:r>
        <w:rPr>
          <w:rFonts w:hint="eastAsia" w:hAnsi="宋体"/>
          <w:b/>
          <w:color w:val="000000"/>
          <w:highlight w:val="none"/>
        </w:rPr>
        <w:t>如评标文件未作本地化服务要求，不需此件）</w:t>
      </w:r>
    </w:p>
    <w:p>
      <w:pPr>
        <w:jc w:val="center"/>
        <w:rPr>
          <w:rFonts w:hAnsi="宋体"/>
          <w:color w:val="000000"/>
          <w:highlight w:val="none"/>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highlight w:val="none"/>
              </w:rPr>
            </w:pPr>
            <w:r>
              <w:rPr>
                <w:rFonts w:hint="eastAsia" w:hAnsi="宋体"/>
                <w:color w:val="000000"/>
                <w:highlight w:val="none"/>
              </w:rPr>
              <w:t>供应商全称</w:t>
            </w:r>
          </w:p>
        </w:tc>
        <w:tc>
          <w:tcPr>
            <w:tcW w:w="7665" w:type="dxa"/>
            <w:gridSpan w:val="4"/>
          </w:tcPr>
          <w:p>
            <w:pP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highlight w:val="none"/>
              </w:rPr>
            </w:pPr>
            <w:r>
              <w:rPr>
                <w:rFonts w:hint="eastAsia" w:hAnsi="宋体"/>
                <w:color w:val="000000"/>
                <w:highlight w:val="none"/>
              </w:rPr>
              <w:t>本地化服务形式</w:t>
            </w:r>
          </w:p>
        </w:tc>
        <w:tc>
          <w:tcPr>
            <w:tcW w:w="7665" w:type="dxa"/>
            <w:gridSpan w:val="4"/>
            <w:vAlign w:val="center"/>
          </w:tcPr>
          <w:p>
            <w:pPr>
              <w:rPr>
                <w:rFonts w:hAnsi="宋体"/>
                <w:color w:val="000000"/>
                <w:highlight w:val="none"/>
              </w:rPr>
            </w:pPr>
            <w:r>
              <w:rPr>
                <w:rFonts w:hint="eastAsia" w:hAnsi="宋体"/>
                <w:color w:val="000000"/>
                <w:highlight w:val="none"/>
              </w:rPr>
              <w:t xml:space="preserve">□ 在本地具有固定的办公场所及人员  </w:t>
            </w:r>
          </w:p>
          <w:p>
            <w:pPr>
              <w:rPr>
                <w:rFonts w:hAnsi="宋体"/>
                <w:color w:val="000000"/>
                <w:highlight w:val="none"/>
              </w:rPr>
            </w:pPr>
            <w:r>
              <w:rPr>
                <w:rFonts w:hint="eastAsia" w:hAnsi="宋体"/>
                <w:color w:val="000000"/>
                <w:highlight w:val="none"/>
              </w:rPr>
              <w:t>□ 在本地注册成立</w:t>
            </w:r>
          </w:p>
          <w:p>
            <w:pPr>
              <w:rPr>
                <w:rFonts w:hAnsi="宋体"/>
                <w:color w:val="000000"/>
                <w:highlight w:val="none"/>
              </w:rPr>
            </w:pPr>
            <w:r>
              <w:rPr>
                <w:rFonts w:hint="eastAsia" w:hAnsi="宋体"/>
                <w:color w:val="000000"/>
                <w:highlight w:val="none"/>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highlight w:val="none"/>
              </w:rPr>
            </w:pPr>
            <w:r>
              <w:rPr>
                <w:rFonts w:hint="eastAsia" w:hAnsi="宋体"/>
                <w:color w:val="000000"/>
                <w:highlight w:val="none"/>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highlight w:val="none"/>
              </w:rPr>
            </w:pPr>
            <w:r>
              <w:rPr>
                <w:rFonts w:hint="eastAsia" w:hAnsi="宋体"/>
                <w:color w:val="000000"/>
                <w:highlight w:val="none"/>
              </w:rPr>
              <w:t>本地化服务地点及联系方式</w:t>
            </w:r>
          </w:p>
        </w:tc>
        <w:tc>
          <w:tcPr>
            <w:tcW w:w="1134" w:type="dxa"/>
            <w:vAlign w:val="center"/>
          </w:tcPr>
          <w:p>
            <w:pPr>
              <w:jc w:val="center"/>
              <w:rPr>
                <w:rFonts w:hAnsi="宋体"/>
                <w:color w:val="000000"/>
                <w:highlight w:val="none"/>
              </w:rPr>
            </w:pPr>
          </w:p>
        </w:tc>
        <w:tc>
          <w:tcPr>
            <w:tcW w:w="2160" w:type="dxa"/>
            <w:vAlign w:val="center"/>
          </w:tcPr>
          <w:p>
            <w:pPr>
              <w:jc w:val="center"/>
              <w:rPr>
                <w:rFonts w:hAnsi="宋体"/>
                <w:color w:val="000000"/>
                <w:highlight w:val="none"/>
              </w:rPr>
            </w:pPr>
          </w:p>
        </w:tc>
        <w:tc>
          <w:tcPr>
            <w:tcW w:w="1800" w:type="dxa"/>
            <w:vAlign w:val="center"/>
          </w:tcPr>
          <w:p>
            <w:pPr>
              <w:jc w:val="center"/>
              <w:rPr>
                <w:rFonts w:hAnsi="宋体"/>
                <w:color w:val="000000"/>
                <w:highlight w:val="none"/>
              </w:rPr>
            </w:pPr>
            <w:r>
              <w:rPr>
                <w:rFonts w:hint="eastAsia" w:hAnsi="宋体"/>
                <w:color w:val="000000"/>
                <w:highlight w:val="none"/>
              </w:rPr>
              <w:t>负责人及联系方式（附身份证号码）</w:t>
            </w:r>
          </w:p>
        </w:tc>
        <w:tc>
          <w:tcPr>
            <w:tcW w:w="2571" w:type="dxa"/>
          </w:tcPr>
          <w:p>
            <w:pP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highlight w:val="none"/>
              </w:rPr>
            </w:pPr>
            <w:r>
              <w:rPr>
                <w:rFonts w:hint="eastAsia" w:hAnsi="宋体"/>
                <w:color w:val="000000"/>
                <w:highlight w:val="none"/>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highlight w:val="none"/>
              </w:rPr>
            </w:pPr>
            <w:r>
              <w:rPr>
                <w:rFonts w:hint="eastAsia" w:hAnsi="宋体"/>
                <w:color w:val="000000"/>
                <w:highlight w:val="none"/>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highlight w:val="none"/>
              </w:rPr>
            </w:pPr>
            <w:r>
              <w:rPr>
                <w:rFonts w:hint="eastAsia" w:hAnsi="宋体"/>
                <w:color w:val="000000"/>
                <w:highlight w:val="none"/>
              </w:rPr>
              <w:t>备注：具有合作伙伴的应填写合作伙伴的相关资料。</w:t>
            </w:r>
          </w:p>
        </w:tc>
      </w:tr>
    </w:tbl>
    <w:p>
      <w:pPr>
        <w:rPr>
          <w:rFonts w:hAnsi="宋体"/>
          <w:color w:val="000000"/>
          <w:highlight w:val="none"/>
        </w:rPr>
      </w:pPr>
    </w:p>
    <w:p>
      <w:pPr>
        <w:rPr>
          <w:rFonts w:hAnsi="宋体"/>
          <w:color w:val="000000"/>
          <w:highlight w:val="none"/>
        </w:rPr>
      </w:pPr>
      <w:r>
        <w:rPr>
          <w:rFonts w:hint="eastAsia" w:hAnsi="宋体"/>
          <w:color w:val="000000"/>
          <w:highlight w:val="none"/>
        </w:rPr>
        <w:t>供应商公章：</w:t>
      </w:r>
    </w:p>
    <w:p>
      <w:pPr>
        <w:jc w:val="center"/>
        <w:rPr>
          <w:rFonts w:hAnsi="宋体" w:cs="宋体"/>
          <w:b/>
          <w:color w:val="000000"/>
          <w:szCs w:val="24"/>
          <w:highlight w:val="none"/>
        </w:rPr>
      </w:pPr>
    </w:p>
    <w:p>
      <w:pPr>
        <w:jc w:val="center"/>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r>
        <w:rPr>
          <w:rFonts w:hint="eastAsia" w:hAnsi="宋体" w:cs="宋体"/>
          <w:b/>
          <w:color w:val="000000"/>
          <w:szCs w:val="24"/>
          <w:highlight w:val="none"/>
        </w:rPr>
        <w:t xml:space="preserve">九       </w:t>
      </w:r>
    </w:p>
    <w:p>
      <w:pPr>
        <w:jc w:val="center"/>
        <w:rPr>
          <w:rFonts w:hAnsi="宋体" w:cs="宋体"/>
          <w:b/>
          <w:color w:val="000000"/>
          <w:szCs w:val="24"/>
          <w:highlight w:val="none"/>
        </w:rPr>
      </w:pPr>
      <w:r>
        <w:rPr>
          <w:rFonts w:hint="eastAsia" w:hAnsi="宋体" w:cs="宋体"/>
          <w:b/>
          <w:color w:val="000000"/>
          <w:szCs w:val="24"/>
          <w:highlight w:val="none"/>
        </w:rPr>
        <w:t>其他资料</w:t>
      </w:r>
    </w:p>
    <w:p>
      <w:pPr>
        <w:spacing w:line="360" w:lineRule="auto"/>
        <w:ind w:firstLine="438" w:firstLineChars="200"/>
        <w:rPr>
          <w:rFonts w:hAnsi="宋体"/>
          <w:color w:val="000000"/>
          <w:kern w:val="2"/>
          <w:szCs w:val="24"/>
          <w:highlight w:val="none"/>
        </w:rPr>
      </w:pPr>
      <w:r>
        <w:rPr>
          <w:rFonts w:hint="eastAsia" w:hAnsi="宋体"/>
          <w:color w:val="000000"/>
          <w:kern w:val="2"/>
          <w:szCs w:val="24"/>
          <w:highlight w:val="none"/>
        </w:rPr>
        <w:t>根据项目情况提供如下文件：</w:t>
      </w:r>
    </w:p>
    <w:p>
      <w:pPr>
        <w:spacing w:line="360" w:lineRule="auto"/>
        <w:ind w:firstLine="438" w:firstLineChars="200"/>
        <w:rPr>
          <w:rFonts w:hAnsi="宋体"/>
          <w:color w:val="000000"/>
          <w:kern w:val="2"/>
          <w:szCs w:val="28"/>
          <w:highlight w:val="none"/>
        </w:rPr>
      </w:pPr>
      <w:r>
        <w:rPr>
          <w:rFonts w:hint="eastAsia" w:hAnsi="宋体"/>
          <w:color w:val="000000"/>
          <w:kern w:val="2"/>
          <w:szCs w:val="24"/>
          <w:highlight w:val="none"/>
        </w:rPr>
        <w:t>1、</w:t>
      </w:r>
      <w:r>
        <w:rPr>
          <w:rFonts w:hint="eastAsia" w:hAnsi="宋体"/>
          <w:color w:val="000000"/>
          <w:kern w:val="2"/>
          <w:szCs w:val="28"/>
          <w:highlight w:val="none"/>
        </w:rPr>
        <w:t>营业执照复印件或影印件；</w:t>
      </w:r>
    </w:p>
    <w:p>
      <w:pPr>
        <w:spacing w:line="360" w:lineRule="auto"/>
        <w:ind w:firstLine="438" w:firstLineChars="200"/>
        <w:rPr>
          <w:rFonts w:hAnsi="宋体"/>
          <w:color w:val="000000"/>
          <w:kern w:val="2"/>
          <w:szCs w:val="28"/>
          <w:highlight w:val="none"/>
        </w:rPr>
      </w:pPr>
      <w:r>
        <w:rPr>
          <w:rFonts w:hint="eastAsia" w:hAnsi="宋体"/>
          <w:color w:val="000000"/>
          <w:kern w:val="2"/>
          <w:szCs w:val="28"/>
          <w:highlight w:val="none"/>
        </w:rPr>
        <w:t>2、资质证书复印件或影印件；</w:t>
      </w:r>
    </w:p>
    <w:p>
      <w:pPr>
        <w:spacing w:line="360" w:lineRule="auto"/>
        <w:ind w:firstLine="438" w:firstLineChars="200"/>
        <w:rPr>
          <w:rFonts w:hAnsi="宋体"/>
          <w:color w:val="000000"/>
          <w:kern w:val="2"/>
          <w:szCs w:val="24"/>
          <w:highlight w:val="none"/>
        </w:rPr>
      </w:pPr>
      <w:r>
        <w:rPr>
          <w:rFonts w:hint="eastAsia" w:hAnsi="宋体"/>
          <w:color w:val="000000"/>
          <w:kern w:val="2"/>
          <w:szCs w:val="28"/>
          <w:highlight w:val="none"/>
        </w:rPr>
        <w:t>3、</w:t>
      </w:r>
      <w:r>
        <w:rPr>
          <w:rFonts w:hint="eastAsia" w:hAnsi="宋体"/>
          <w:color w:val="000000"/>
          <w:kern w:val="2"/>
          <w:szCs w:val="24"/>
          <w:highlight w:val="none"/>
        </w:rPr>
        <w:t>评标文件要求及供应商认为需要提供的资料。</w:t>
      </w: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20509000000000000"/>
    <w:charset w:val="88"/>
    <w:family w:val="modern"/>
    <w:pitch w:val="default"/>
    <w:sig w:usb0="00000000" w:usb1="00000000" w:usb2="00000016" w:usb3="00000000" w:csb0="00100001" w:csb1="00000000"/>
  </w:font>
  <w:font w:name="DotumChe">
    <w:altName w:val="Malgun Gothic"/>
    <w:panose1 w:val="020B0609000101010101"/>
    <w:charset w:val="81"/>
    <w:family w:val="modern"/>
    <w:pitch w:val="default"/>
    <w:sig w:usb0="00000000" w:usb1="00000000" w:usb2="00000030" w:usb3="00000000" w:csb0="4008009F" w:csb1="DFD7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8"/>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42</w:t>
                          </w:r>
                          <w:r>
                            <w:fldChar w:fldCharType="end"/>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38"/>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42</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8"/>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38"/>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t>合肥经济技术开发区</w:t>
    </w:r>
    <w:r>
      <w:rPr>
        <w:rFonts w:hint="eastAsia"/>
        <w:lang w:eastAsia="zh-CN"/>
      </w:rPr>
      <w:t>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05A77"/>
    <w:multiLevelType w:val="singleLevel"/>
    <w:tmpl w:val="C8505A77"/>
    <w:lvl w:ilvl="0" w:tentative="0">
      <w:start w:val="5"/>
      <w:numFmt w:val="chineseCounting"/>
      <w:suff w:val="nothing"/>
      <w:lvlText w:val="%1、"/>
      <w:lvlJc w:val="left"/>
      <w:rPr>
        <w:rFonts w:hint="eastAsia"/>
      </w:rPr>
    </w:lvl>
  </w:abstractNum>
  <w:abstractNum w:abstractNumId="1">
    <w:nsid w:val="24A86383"/>
    <w:multiLevelType w:val="singleLevel"/>
    <w:tmpl w:val="24A86383"/>
    <w:lvl w:ilvl="0" w:tentative="0">
      <w:start w:val="2"/>
      <w:numFmt w:val="chineseCounting"/>
      <w:suff w:val="space"/>
      <w:lvlText w:val="第%1部分"/>
      <w:lvlJc w:val="left"/>
      <w:rPr>
        <w:rFonts w:hint="eastAsia"/>
      </w:rPr>
    </w:lvl>
  </w:abstractNum>
  <w:abstractNum w:abstractNumId="2">
    <w:nsid w:val="3DDB2E79"/>
    <w:multiLevelType w:val="multilevel"/>
    <w:tmpl w:val="3DDB2E79"/>
    <w:lvl w:ilvl="0" w:tentative="0">
      <w:start w:val="1"/>
      <w:numFmt w:val="japaneseCounting"/>
      <w:lvlText w:val="%1、"/>
      <w:lvlJc w:val="left"/>
      <w:pPr>
        <w:tabs>
          <w:tab w:val="left" w:pos="645"/>
        </w:tabs>
        <w:ind w:left="645" w:hanging="64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19064D5"/>
    <w:multiLevelType w:val="multilevel"/>
    <w:tmpl w:val="419064D5"/>
    <w:lvl w:ilvl="0" w:tentative="0">
      <w:start w:val="3"/>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71ADBC"/>
    <w:multiLevelType w:val="multilevel"/>
    <w:tmpl w:val="5971ADBC"/>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ZDY1Y2MyMDNkM2YyZGM5MzAzYTA4ZGY2OTNjYjg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04AA"/>
    <w:rsid w:val="00061A2C"/>
    <w:rsid w:val="00063973"/>
    <w:rsid w:val="00065151"/>
    <w:rsid w:val="00065E2C"/>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D568F"/>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3A72"/>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F2A"/>
    <w:rsid w:val="00212F8D"/>
    <w:rsid w:val="00213271"/>
    <w:rsid w:val="00213794"/>
    <w:rsid w:val="00213CA7"/>
    <w:rsid w:val="00214A17"/>
    <w:rsid w:val="00222CCE"/>
    <w:rsid w:val="00227496"/>
    <w:rsid w:val="00231921"/>
    <w:rsid w:val="00231A42"/>
    <w:rsid w:val="00231F95"/>
    <w:rsid w:val="00244EF5"/>
    <w:rsid w:val="0024637C"/>
    <w:rsid w:val="00246FBC"/>
    <w:rsid w:val="0024752D"/>
    <w:rsid w:val="00247BCC"/>
    <w:rsid w:val="00251A38"/>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59D8"/>
    <w:rsid w:val="003F5DD2"/>
    <w:rsid w:val="003F7D04"/>
    <w:rsid w:val="00400573"/>
    <w:rsid w:val="00403BA6"/>
    <w:rsid w:val="00406884"/>
    <w:rsid w:val="00406C56"/>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0D14"/>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4C7B"/>
    <w:rsid w:val="004A0A2F"/>
    <w:rsid w:val="004A3BD9"/>
    <w:rsid w:val="004A56BA"/>
    <w:rsid w:val="004A6381"/>
    <w:rsid w:val="004A71ED"/>
    <w:rsid w:val="004B3F9D"/>
    <w:rsid w:val="004B4CEE"/>
    <w:rsid w:val="004C03FE"/>
    <w:rsid w:val="004C4382"/>
    <w:rsid w:val="004C4AD3"/>
    <w:rsid w:val="004C4C68"/>
    <w:rsid w:val="004C4F01"/>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CDE"/>
    <w:rsid w:val="00526207"/>
    <w:rsid w:val="00526C1A"/>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6C3E"/>
    <w:rsid w:val="00567515"/>
    <w:rsid w:val="00567C2A"/>
    <w:rsid w:val="005709B4"/>
    <w:rsid w:val="005712EE"/>
    <w:rsid w:val="00572D3F"/>
    <w:rsid w:val="00574CF9"/>
    <w:rsid w:val="00575D0E"/>
    <w:rsid w:val="00575D8B"/>
    <w:rsid w:val="00575DBC"/>
    <w:rsid w:val="00576CEB"/>
    <w:rsid w:val="00580FE0"/>
    <w:rsid w:val="005837F8"/>
    <w:rsid w:val="0058627F"/>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5F7F16"/>
    <w:rsid w:val="006004E1"/>
    <w:rsid w:val="00601D71"/>
    <w:rsid w:val="00601D77"/>
    <w:rsid w:val="00602523"/>
    <w:rsid w:val="00602E46"/>
    <w:rsid w:val="00604789"/>
    <w:rsid w:val="006051C1"/>
    <w:rsid w:val="006054EC"/>
    <w:rsid w:val="0060560C"/>
    <w:rsid w:val="00605C47"/>
    <w:rsid w:val="006066FE"/>
    <w:rsid w:val="00606CFB"/>
    <w:rsid w:val="00607DA2"/>
    <w:rsid w:val="0061394E"/>
    <w:rsid w:val="00613EEA"/>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C6FD0"/>
    <w:rsid w:val="006D5116"/>
    <w:rsid w:val="006D5120"/>
    <w:rsid w:val="006D620F"/>
    <w:rsid w:val="006D789F"/>
    <w:rsid w:val="006D7B46"/>
    <w:rsid w:val="006E0BF9"/>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117E"/>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4ADF"/>
    <w:rsid w:val="007A6ED9"/>
    <w:rsid w:val="007B2643"/>
    <w:rsid w:val="007B27F4"/>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F5"/>
    <w:rsid w:val="007D4269"/>
    <w:rsid w:val="007D4B4D"/>
    <w:rsid w:val="007D4F25"/>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03E4"/>
    <w:rsid w:val="008316A0"/>
    <w:rsid w:val="00832B29"/>
    <w:rsid w:val="00832E77"/>
    <w:rsid w:val="0083470E"/>
    <w:rsid w:val="00834896"/>
    <w:rsid w:val="00834F33"/>
    <w:rsid w:val="0083599E"/>
    <w:rsid w:val="008363C3"/>
    <w:rsid w:val="008374BE"/>
    <w:rsid w:val="00841A4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A09"/>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4298"/>
    <w:rsid w:val="008A62CA"/>
    <w:rsid w:val="008B03FD"/>
    <w:rsid w:val="008B084E"/>
    <w:rsid w:val="008B09AA"/>
    <w:rsid w:val="008B1710"/>
    <w:rsid w:val="008B178A"/>
    <w:rsid w:val="008B2640"/>
    <w:rsid w:val="008B4044"/>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695A"/>
    <w:rsid w:val="008F6E1B"/>
    <w:rsid w:val="008F6E5F"/>
    <w:rsid w:val="00900F20"/>
    <w:rsid w:val="00901EC8"/>
    <w:rsid w:val="00902E6D"/>
    <w:rsid w:val="00904B4A"/>
    <w:rsid w:val="00912AED"/>
    <w:rsid w:val="00912E6B"/>
    <w:rsid w:val="009144A2"/>
    <w:rsid w:val="00914978"/>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3842"/>
    <w:rsid w:val="009943FD"/>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7418"/>
    <w:rsid w:val="00A07B6F"/>
    <w:rsid w:val="00A07E8B"/>
    <w:rsid w:val="00A106DB"/>
    <w:rsid w:val="00A1638B"/>
    <w:rsid w:val="00A20751"/>
    <w:rsid w:val="00A230F2"/>
    <w:rsid w:val="00A24939"/>
    <w:rsid w:val="00A267F8"/>
    <w:rsid w:val="00A2727B"/>
    <w:rsid w:val="00A274E3"/>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C47ED"/>
    <w:rsid w:val="00AC4C84"/>
    <w:rsid w:val="00AC5549"/>
    <w:rsid w:val="00AD061B"/>
    <w:rsid w:val="00AD0C55"/>
    <w:rsid w:val="00AD18DF"/>
    <w:rsid w:val="00AD5D04"/>
    <w:rsid w:val="00AD64CD"/>
    <w:rsid w:val="00AE2A89"/>
    <w:rsid w:val="00AE3398"/>
    <w:rsid w:val="00AE588F"/>
    <w:rsid w:val="00AE71F8"/>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8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350C"/>
    <w:rsid w:val="00BE471E"/>
    <w:rsid w:val="00BE7255"/>
    <w:rsid w:val="00BF1A35"/>
    <w:rsid w:val="00BF4CC2"/>
    <w:rsid w:val="00BF4F70"/>
    <w:rsid w:val="00BF5722"/>
    <w:rsid w:val="00BF5806"/>
    <w:rsid w:val="00BF6400"/>
    <w:rsid w:val="00C0180F"/>
    <w:rsid w:val="00C01B8E"/>
    <w:rsid w:val="00C0560C"/>
    <w:rsid w:val="00C13608"/>
    <w:rsid w:val="00C14BBA"/>
    <w:rsid w:val="00C1570B"/>
    <w:rsid w:val="00C15944"/>
    <w:rsid w:val="00C171D7"/>
    <w:rsid w:val="00C17E2B"/>
    <w:rsid w:val="00C206B2"/>
    <w:rsid w:val="00C23929"/>
    <w:rsid w:val="00C26A10"/>
    <w:rsid w:val="00C277FE"/>
    <w:rsid w:val="00C319E6"/>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77F3D"/>
    <w:rsid w:val="00C81354"/>
    <w:rsid w:val="00C83812"/>
    <w:rsid w:val="00C861DA"/>
    <w:rsid w:val="00C902A3"/>
    <w:rsid w:val="00C92766"/>
    <w:rsid w:val="00CA0E8B"/>
    <w:rsid w:val="00CA630A"/>
    <w:rsid w:val="00CA6E2A"/>
    <w:rsid w:val="00CA7C97"/>
    <w:rsid w:val="00CB0538"/>
    <w:rsid w:val="00CB08EF"/>
    <w:rsid w:val="00CB0E75"/>
    <w:rsid w:val="00CB2FDF"/>
    <w:rsid w:val="00CB3102"/>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3C68"/>
    <w:rsid w:val="00D5527F"/>
    <w:rsid w:val="00D56495"/>
    <w:rsid w:val="00D5749E"/>
    <w:rsid w:val="00D61CED"/>
    <w:rsid w:val="00D64F5B"/>
    <w:rsid w:val="00D66A1B"/>
    <w:rsid w:val="00D71E6C"/>
    <w:rsid w:val="00D74018"/>
    <w:rsid w:val="00D7404C"/>
    <w:rsid w:val="00D7476E"/>
    <w:rsid w:val="00D8098B"/>
    <w:rsid w:val="00D83AEA"/>
    <w:rsid w:val="00D86D74"/>
    <w:rsid w:val="00D87CB4"/>
    <w:rsid w:val="00D9211F"/>
    <w:rsid w:val="00D92632"/>
    <w:rsid w:val="00D92A44"/>
    <w:rsid w:val="00D93B72"/>
    <w:rsid w:val="00D94245"/>
    <w:rsid w:val="00D946F8"/>
    <w:rsid w:val="00D97110"/>
    <w:rsid w:val="00D9729B"/>
    <w:rsid w:val="00D97CA4"/>
    <w:rsid w:val="00DA6188"/>
    <w:rsid w:val="00DB0FA4"/>
    <w:rsid w:val="00DB38B6"/>
    <w:rsid w:val="00DB4301"/>
    <w:rsid w:val="00DB44BE"/>
    <w:rsid w:val="00DB4947"/>
    <w:rsid w:val="00DB4970"/>
    <w:rsid w:val="00DB508F"/>
    <w:rsid w:val="00DB6192"/>
    <w:rsid w:val="00DC1C51"/>
    <w:rsid w:val="00DC315B"/>
    <w:rsid w:val="00DC484E"/>
    <w:rsid w:val="00DC70FD"/>
    <w:rsid w:val="00DC7CC2"/>
    <w:rsid w:val="00DD126C"/>
    <w:rsid w:val="00DD3714"/>
    <w:rsid w:val="00DD59E7"/>
    <w:rsid w:val="00DE5689"/>
    <w:rsid w:val="00DE5FBD"/>
    <w:rsid w:val="00DF1B99"/>
    <w:rsid w:val="00DF4B83"/>
    <w:rsid w:val="00DF75A2"/>
    <w:rsid w:val="00DF7C0F"/>
    <w:rsid w:val="00E00928"/>
    <w:rsid w:val="00E00A6E"/>
    <w:rsid w:val="00E05588"/>
    <w:rsid w:val="00E07B63"/>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07D"/>
    <w:rsid w:val="00E84CFB"/>
    <w:rsid w:val="00E8527D"/>
    <w:rsid w:val="00E87E8C"/>
    <w:rsid w:val="00E91283"/>
    <w:rsid w:val="00E9302C"/>
    <w:rsid w:val="00E963BA"/>
    <w:rsid w:val="00E97A3E"/>
    <w:rsid w:val="00EA3FF2"/>
    <w:rsid w:val="00EA784A"/>
    <w:rsid w:val="00EB1F79"/>
    <w:rsid w:val="00EB2C83"/>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6930"/>
    <w:rsid w:val="00FE76F2"/>
    <w:rsid w:val="00FE7E5D"/>
    <w:rsid w:val="00FF2375"/>
    <w:rsid w:val="00FF5791"/>
    <w:rsid w:val="00FF6572"/>
    <w:rsid w:val="02486FA3"/>
    <w:rsid w:val="03BF5149"/>
    <w:rsid w:val="041E18D4"/>
    <w:rsid w:val="04E01777"/>
    <w:rsid w:val="055167AC"/>
    <w:rsid w:val="05905DF7"/>
    <w:rsid w:val="05A63A8C"/>
    <w:rsid w:val="073308E6"/>
    <w:rsid w:val="08C80B30"/>
    <w:rsid w:val="092034C7"/>
    <w:rsid w:val="092C5938"/>
    <w:rsid w:val="09767F5F"/>
    <w:rsid w:val="099A652E"/>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420D88"/>
    <w:rsid w:val="153563D6"/>
    <w:rsid w:val="15B12C0B"/>
    <w:rsid w:val="15CC6AEE"/>
    <w:rsid w:val="167A7DAC"/>
    <w:rsid w:val="16C76A17"/>
    <w:rsid w:val="17726828"/>
    <w:rsid w:val="184247A3"/>
    <w:rsid w:val="18465535"/>
    <w:rsid w:val="18806F8A"/>
    <w:rsid w:val="198B5630"/>
    <w:rsid w:val="1AEC4059"/>
    <w:rsid w:val="1B023953"/>
    <w:rsid w:val="1C62482E"/>
    <w:rsid w:val="1CCE4908"/>
    <w:rsid w:val="1E212D2C"/>
    <w:rsid w:val="1FAF6052"/>
    <w:rsid w:val="220F56F1"/>
    <w:rsid w:val="247C01A4"/>
    <w:rsid w:val="24921F44"/>
    <w:rsid w:val="24F075EF"/>
    <w:rsid w:val="25235D17"/>
    <w:rsid w:val="25863B04"/>
    <w:rsid w:val="26630622"/>
    <w:rsid w:val="267F7783"/>
    <w:rsid w:val="26D0546D"/>
    <w:rsid w:val="26E95C38"/>
    <w:rsid w:val="26F8146C"/>
    <w:rsid w:val="2722114F"/>
    <w:rsid w:val="28777438"/>
    <w:rsid w:val="28A424D8"/>
    <w:rsid w:val="2A401170"/>
    <w:rsid w:val="2A87709E"/>
    <w:rsid w:val="2ACB2345"/>
    <w:rsid w:val="2B071E91"/>
    <w:rsid w:val="2D003CDA"/>
    <w:rsid w:val="2D005F49"/>
    <w:rsid w:val="2D180B16"/>
    <w:rsid w:val="2D642EDA"/>
    <w:rsid w:val="2E243225"/>
    <w:rsid w:val="2E3B16F7"/>
    <w:rsid w:val="2F124AB0"/>
    <w:rsid w:val="30172FC7"/>
    <w:rsid w:val="304C5976"/>
    <w:rsid w:val="305A2C48"/>
    <w:rsid w:val="31892A9F"/>
    <w:rsid w:val="31CD41A8"/>
    <w:rsid w:val="32CC4C19"/>
    <w:rsid w:val="32DF6E6C"/>
    <w:rsid w:val="32EA53D2"/>
    <w:rsid w:val="330B08A4"/>
    <w:rsid w:val="333D17B4"/>
    <w:rsid w:val="33610BC3"/>
    <w:rsid w:val="33D07626"/>
    <w:rsid w:val="3426478E"/>
    <w:rsid w:val="34A83B1D"/>
    <w:rsid w:val="34FB0156"/>
    <w:rsid w:val="350A2D03"/>
    <w:rsid w:val="3740068C"/>
    <w:rsid w:val="37A4685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6C62C3"/>
    <w:rsid w:val="41E62125"/>
    <w:rsid w:val="42441329"/>
    <w:rsid w:val="428111F0"/>
    <w:rsid w:val="42827FAD"/>
    <w:rsid w:val="43211041"/>
    <w:rsid w:val="435F0738"/>
    <w:rsid w:val="441377A8"/>
    <w:rsid w:val="45D13C93"/>
    <w:rsid w:val="45F5412F"/>
    <w:rsid w:val="465042E3"/>
    <w:rsid w:val="473138EC"/>
    <w:rsid w:val="4755784C"/>
    <w:rsid w:val="47771AC7"/>
    <w:rsid w:val="48AF480F"/>
    <w:rsid w:val="49100CD7"/>
    <w:rsid w:val="49E0021D"/>
    <w:rsid w:val="4B7904A6"/>
    <w:rsid w:val="4BBB11F2"/>
    <w:rsid w:val="4E267157"/>
    <w:rsid w:val="4E5A0389"/>
    <w:rsid w:val="4E867B2E"/>
    <w:rsid w:val="4F0540FC"/>
    <w:rsid w:val="4F8D5B63"/>
    <w:rsid w:val="4F9E443B"/>
    <w:rsid w:val="503D1CD1"/>
    <w:rsid w:val="50595446"/>
    <w:rsid w:val="50EB7180"/>
    <w:rsid w:val="51075C5A"/>
    <w:rsid w:val="525F1ECA"/>
    <w:rsid w:val="52F12FDC"/>
    <w:rsid w:val="52F77142"/>
    <w:rsid w:val="53112AB6"/>
    <w:rsid w:val="537D5B1F"/>
    <w:rsid w:val="53885680"/>
    <w:rsid w:val="578A30A4"/>
    <w:rsid w:val="57A82F18"/>
    <w:rsid w:val="59503A2E"/>
    <w:rsid w:val="59771907"/>
    <w:rsid w:val="599F2EC1"/>
    <w:rsid w:val="59AB1B95"/>
    <w:rsid w:val="59E5547D"/>
    <w:rsid w:val="5A246F8E"/>
    <w:rsid w:val="5B4D74F0"/>
    <w:rsid w:val="5B6E5D52"/>
    <w:rsid w:val="5E661FE6"/>
    <w:rsid w:val="5ED72AC2"/>
    <w:rsid w:val="5F9C06A7"/>
    <w:rsid w:val="605D1356"/>
    <w:rsid w:val="612A4F36"/>
    <w:rsid w:val="62A819D0"/>
    <w:rsid w:val="62C124BF"/>
    <w:rsid w:val="62EC7940"/>
    <w:rsid w:val="638C1840"/>
    <w:rsid w:val="643F2933"/>
    <w:rsid w:val="64D65719"/>
    <w:rsid w:val="64E0702A"/>
    <w:rsid w:val="673A1D73"/>
    <w:rsid w:val="677102A6"/>
    <w:rsid w:val="68CB0E27"/>
    <w:rsid w:val="6A462692"/>
    <w:rsid w:val="6A6E367C"/>
    <w:rsid w:val="6B1424F0"/>
    <w:rsid w:val="6C0C505C"/>
    <w:rsid w:val="6CAB69A8"/>
    <w:rsid w:val="6CBE1293"/>
    <w:rsid w:val="6D0464DC"/>
    <w:rsid w:val="6D102A04"/>
    <w:rsid w:val="6E252855"/>
    <w:rsid w:val="6E2D073C"/>
    <w:rsid w:val="6F45735D"/>
    <w:rsid w:val="702E56E5"/>
    <w:rsid w:val="71B21329"/>
    <w:rsid w:val="72A6388B"/>
    <w:rsid w:val="73821571"/>
    <w:rsid w:val="7525795F"/>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65"/>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08"/>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0"/>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49"/>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67"/>
    <w:qFormat/>
    <w:uiPriority w:val="0"/>
    <w:pPr>
      <w:keepNext/>
      <w:outlineLvl w:val="4"/>
    </w:pPr>
    <w:rPr>
      <w:rFonts w:hAnsi="Arial"/>
      <w:bCs/>
      <w:kern w:val="2"/>
      <w:sz w:val="28"/>
    </w:rPr>
  </w:style>
  <w:style w:type="paragraph" w:styleId="7">
    <w:name w:val="heading 6"/>
    <w:basedOn w:val="1"/>
    <w:next w:val="1"/>
    <w:link w:val="122"/>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69"/>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24"/>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1"/>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kern w:val="2"/>
      <w:sz w:val="21"/>
      <w:szCs w:val="22"/>
    </w:rPr>
  </w:style>
  <w:style w:type="paragraph" w:styleId="12">
    <w:name w:val="toc 7"/>
    <w:basedOn w:val="1"/>
    <w:next w:val="1"/>
    <w:qFormat/>
    <w:uiPriority w:val="39"/>
    <w:pPr>
      <w:ind w:left="1260"/>
      <w:jc w:val="left"/>
    </w:pPr>
    <w:rPr>
      <w:szCs w:val="21"/>
    </w:rPr>
  </w:style>
  <w:style w:type="paragraph" w:styleId="13">
    <w:name w:val="table of authorities"/>
    <w:basedOn w:val="1"/>
    <w:next w:val="1"/>
    <w:qFormat/>
    <w:uiPriority w:val="0"/>
    <w:pPr>
      <w:ind w:left="420" w:leftChars="200"/>
    </w:pPr>
  </w:style>
  <w:style w:type="paragraph" w:styleId="14">
    <w:name w:val="index 8"/>
    <w:basedOn w:val="1"/>
    <w:next w:val="1"/>
    <w:qFormat/>
    <w:uiPriority w:val="0"/>
    <w:pPr>
      <w:ind w:left="1400" w:leftChars="1400"/>
    </w:pPr>
  </w:style>
  <w:style w:type="paragraph" w:styleId="15">
    <w:name w:val="Normal Indent"/>
    <w:basedOn w:val="1"/>
    <w:qFormat/>
    <w:uiPriority w:val="0"/>
    <w:pPr>
      <w:ind w:firstLine="420" w:firstLineChars="200"/>
    </w:pPr>
    <w:rPr>
      <w:szCs w:val="24"/>
    </w:rPr>
  </w:style>
  <w:style w:type="paragraph" w:styleId="16">
    <w:name w:val="caption"/>
    <w:basedOn w:val="1"/>
    <w:next w:val="1"/>
    <w:qFormat/>
    <w:uiPriority w:val="0"/>
    <w:pPr>
      <w:spacing w:before="152" w:after="160"/>
    </w:pPr>
    <w:rPr>
      <w:rFonts w:ascii="Arial" w:hAnsi="Arial" w:eastAsia="黑体" w:cs="Arial"/>
      <w:kern w:val="2"/>
      <w:sz w:val="20"/>
    </w:rPr>
  </w:style>
  <w:style w:type="paragraph" w:styleId="17">
    <w:name w:val="index 5"/>
    <w:basedOn w:val="1"/>
    <w:next w:val="1"/>
    <w:qFormat/>
    <w:uiPriority w:val="0"/>
    <w:pPr>
      <w:ind w:left="800" w:leftChars="800"/>
    </w:pPr>
  </w:style>
  <w:style w:type="paragraph" w:styleId="18">
    <w:name w:val="Document Map"/>
    <w:basedOn w:val="1"/>
    <w:link w:val="118"/>
    <w:qFormat/>
    <w:uiPriority w:val="0"/>
    <w:pPr>
      <w:shd w:val="clear" w:color="auto" w:fill="000080"/>
    </w:pPr>
    <w:rPr>
      <w:rFonts w:ascii="Times New Roman"/>
      <w:kern w:val="2"/>
      <w:sz w:val="21"/>
    </w:rPr>
  </w:style>
  <w:style w:type="paragraph" w:styleId="19">
    <w:name w:val="toa heading"/>
    <w:basedOn w:val="1"/>
    <w:next w:val="1"/>
    <w:qFormat/>
    <w:uiPriority w:val="0"/>
    <w:pPr>
      <w:spacing w:before="120"/>
    </w:pPr>
    <w:rPr>
      <w:rFonts w:ascii="Arial" w:hAnsi="Arial"/>
      <w:b/>
      <w:bCs/>
      <w:szCs w:val="24"/>
    </w:rPr>
  </w:style>
  <w:style w:type="paragraph" w:styleId="20">
    <w:name w:val="annotation text"/>
    <w:basedOn w:val="1"/>
    <w:link w:val="126"/>
    <w:qFormat/>
    <w:uiPriority w:val="99"/>
    <w:pPr>
      <w:jc w:val="left"/>
    </w:pPr>
    <w:rPr>
      <w:rFonts w:ascii="Times New Roman"/>
      <w:kern w:val="2"/>
      <w:sz w:val="21"/>
    </w:rPr>
  </w:style>
  <w:style w:type="paragraph" w:styleId="21">
    <w:name w:val="index 6"/>
    <w:basedOn w:val="1"/>
    <w:next w:val="1"/>
    <w:qFormat/>
    <w:uiPriority w:val="0"/>
    <w:pPr>
      <w:ind w:left="1000" w:leftChars="1000"/>
    </w:pPr>
  </w:style>
  <w:style w:type="paragraph" w:styleId="22">
    <w:name w:val="Salutation"/>
    <w:basedOn w:val="1"/>
    <w:next w:val="1"/>
    <w:link w:val="120"/>
    <w:qFormat/>
    <w:uiPriority w:val="0"/>
    <w:rPr>
      <w:rFonts w:ascii="仿宋_GB2312" w:eastAsia="仿宋_GB2312"/>
      <w:sz w:val="28"/>
    </w:rPr>
  </w:style>
  <w:style w:type="paragraph" w:styleId="23">
    <w:name w:val="Body Text 3"/>
    <w:basedOn w:val="1"/>
    <w:link w:val="125"/>
    <w:qFormat/>
    <w:uiPriority w:val="0"/>
    <w:rPr>
      <w:rFonts w:ascii="黑体" w:hAnsi="Arial" w:eastAsia="黑体"/>
      <w:b/>
      <w:sz w:val="28"/>
    </w:rPr>
  </w:style>
  <w:style w:type="paragraph" w:styleId="24">
    <w:name w:val="Body Text"/>
    <w:basedOn w:val="1"/>
    <w:link w:val="170"/>
    <w:qFormat/>
    <w:uiPriority w:val="0"/>
    <w:rPr>
      <w:rFonts w:hAnsi="Arial"/>
      <w:kern w:val="2"/>
      <w:sz w:val="28"/>
    </w:rPr>
  </w:style>
  <w:style w:type="paragraph" w:styleId="25">
    <w:name w:val="Body Text Indent"/>
    <w:basedOn w:val="1"/>
    <w:link w:val="71"/>
    <w:qFormat/>
    <w:uiPriority w:val="0"/>
    <w:pPr>
      <w:ind w:firstLine="645"/>
    </w:pPr>
    <w:rPr>
      <w:rFonts w:ascii="楷体_GB2312" w:eastAsia="楷体_GB2312"/>
      <w:kern w:val="2"/>
      <w:sz w:val="32"/>
    </w:rPr>
  </w:style>
  <w:style w:type="paragraph" w:styleId="26">
    <w:name w:val="List 2"/>
    <w:basedOn w:val="1"/>
    <w:qFormat/>
    <w:uiPriority w:val="0"/>
    <w:pPr>
      <w:ind w:left="100" w:leftChars="200" w:hanging="200" w:hangingChars="200"/>
    </w:pPr>
    <w:rPr>
      <w:szCs w:val="24"/>
    </w:rPr>
  </w:style>
  <w:style w:type="paragraph" w:styleId="27">
    <w:name w:val="List Continue"/>
    <w:basedOn w:val="1"/>
    <w:qFormat/>
    <w:uiPriority w:val="0"/>
    <w:pPr>
      <w:spacing w:after="120"/>
      <w:ind w:left="420" w:leftChars="200"/>
    </w:pPr>
    <w:rPr>
      <w:szCs w:val="24"/>
    </w:rPr>
  </w:style>
  <w:style w:type="paragraph" w:styleId="28">
    <w:name w:val="Block Text"/>
    <w:basedOn w:val="1"/>
    <w:qFormat/>
    <w:uiPriority w:val="0"/>
    <w:pPr>
      <w:spacing w:after="120"/>
      <w:ind w:left="1440" w:leftChars="700" w:right="1440" w:rightChars="700"/>
    </w:pPr>
    <w:rPr>
      <w:szCs w:val="24"/>
    </w:rPr>
  </w:style>
  <w:style w:type="paragraph" w:styleId="29">
    <w:name w:val="index 4"/>
    <w:basedOn w:val="1"/>
    <w:next w:val="1"/>
    <w:qFormat/>
    <w:uiPriority w:val="0"/>
    <w:pPr>
      <w:ind w:left="600" w:leftChars="600"/>
    </w:pPr>
  </w:style>
  <w:style w:type="paragraph" w:styleId="30">
    <w:name w:val="toc 5"/>
    <w:basedOn w:val="1"/>
    <w:next w:val="1"/>
    <w:qFormat/>
    <w:uiPriority w:val="39"/>
    <w:pPr>
      <w:ind w:left="840"/>
      <w:jc w:val="left"/>
    </w:pPr>
    <w:rPr>
      <w:szCs w:val="21"/>
    </w:rPr>
  </w:style>
  <w:style w:type="paragraph" w:styleId="31">
    <w:name w:val="toc 3"/>
    <w:basedOn w:val="1"/>
    <w:next w:val="1"/>
    <w:qFormat/>
    <w:uiPriority w:val="39"/>
    <w:pPr>
      <w:ind w:left="420"/>
      <w:jc w:val="left"/>
    </w:pPr>
    <w:rPr>
      <w:i/>
      <w:iCs/>
      <w:szCs w:val="24"/>
    </w:rPr>
  </w:style>
  <w:style w:type="paragraph" w:styleId="32">
    <w:name w:val="Plain Text"/>
    <w:basedOn w:val="1"/>
    <w:link w:val="157"/>
    <w:qFormat/>
    <w:uiPriority w:val="0"/>
    <w:rPr>
      <w:rFonts w:hAnsi="Courier New"/>
      <w:kern w:val="2"/>
      <w:sz w:val="21"/>
    </w:rPr>
  </w:style>
  <w:style w:type="paragraph" w:styleId="33">
    <w:name w:val="toc 8"/>
    <w:basedOn w:val="1"/>
    <w:next w:val="1"/>
    <w:qFormat/>
    <w:uiPriority w:val="39"/>
    <w:pPr>
      <w:ind w:left="1470"/>
      <w:jc w:val="left"/>
    </w:pPr>
    <w:rPr>
      <w:szCs w:val="21"/>
    </w:rPr>
  </w:style>
  <w:style w:type="paragraph" w:styleId="34">
    <w:name w:val="index 3"/>
    <w:basedOn w:val="1"/>
    <w:next w:val="1"/>
    <w:qFormat/>
    <w:uiPriority w:val="0"/>
    <w:pPr>
      <w:ind w:left="400" w:leftChars="400"/>
    </w:pPr>
  </w:style>
  <w:style w:type="paragraph" w:styleId="35">
    <w:name w:val="Date"/>
    <w:basedOn w:val="1"/>
    <w:next w:val="1"/>
    <w:link w:val="89"/>
    <w:qFormat/>
    <w:uiPriority w:val="0"/>
    <w:rPr>
      <w:rFonts w:ascii="Times New Roman"/>
      <w:b/>
      <w:kern w:val="2"/>
      <w:sz w:val="28"/>
    </w:rPr>
  </w:style>
  <w:style w:type="paragraph" w:styleId="36">
    <w:name w:val="Body Text Indent 2"/>
    <w:basedOn w:val="1"/>
    <w:link w:val="173"/>
    <w:qFormat/>
    <w:uiPriority w:val="0"/>
    <w:pPr>
      <w:ind w:left="630" w:firstLine="645"/>
    </w:pPr>
    <w:rPr>
      <w:rFonts w:ascii="Arial" w:hAnsi="Arial" w:eastAsia="仿宋_GB2312"/>
      <w:sz w:val="32"/>
    </w:rPr>
  </w:style>
  <w:style w:type="paragraph" w:styleId="37">
    <w:name w:val="Balloon Text"/>
    <w:basedOn w:val="1"/>
    <w:link w:val="82"/>
    <w:qFormat/>
    <w:uiPriority w:val="99"/>
    <w:rPr>
      <w:sz w:val="18"/>
      <w:szCs w:val="18"/>
    </w:rPr>
  </w:style>
  <w:style w:type="paragraph" w:styleId="38">
    <w:name w:val="footer"/>
    <w:basedOn w:val="1"/>
    <w:link w:val="179"/>
    <w:qFormat/>
    <w:uiPriority w:val="99"/>
    <w:pPr>
      <w:tabs>
        <w:tab w:val="center" w:pos="4153"/>
        <w:tab w:val="right" w:pos="8306"/>
      </w:tabs>
      <w:snapToGrid w:val="0"/>
      <w:jc w:val="left"/>
    </w:pPr>
    <w:rPr>
      <w:rFonts w:ascii="Times New Roman"/>
      <w:kern w:val="2"/>
      <w:sz w:val="18"/>
    </w:rPr>
  </w:style>
  <w:style w:type="paragraph" w:styleId="39">
    <w:name w:val="header"/>
    <w:basedOn w:val="1"/>
    <w:link w:val="99"/>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0">
    <w:name w:val="toc 1"/>
    <w:basedOn w:val="1"/>
    <w:next w:val="1"/>
    <w:qFormat/>
    <w:uiPriority w:val="39"/>
    <w:pPr>
      <w:spacing w:before="120" w:after="120"/>
      <w:jc w:val="left"/>
    </w:pPr>
    <w:rPr>
      <w:caps/>
      <w:szCs w:val="24"/>
    </w:rPr>
  </w:style>
  <w:style w:type="paragraph" w:styleId="41">
    <w:name w:val="List Continue 4"/>
    <w:basedOn w:val="1"/>
    <w:qFormat/>
    <w:uiPriority w:val="0"/>
    <w:pPr>
      <w:spacing w:after="120"/>
      <w:ind w:left="1680" w:leftChars="800"/>
    </w:pPr>
    <w:rPr>
      <w:rFonts w:ascii="Calibri" w:hAnsi="Calibri"/>
      <w:kern w:val="2"/>
      <w:sz w:val="21"/>
      <w:szCs w:val="22"/>
    </w:rPr>
  </w:style>
  <w:style w:type="paragraph" w:styleId="42">
    <w:name w:val="toc 4"/>
    <w:basedOn w:val="1"/>
    <w:next w:val="1"/>
    <w:qFormat/>
    <w:uiPriority w:val="39"/>
    <w:pPr>
      <w:ind w:left="630"/>
      <w:jc w:val="left"/>
    </w:pPr>
    <w:rPr>
      <w:szCs w:val="21"/>
    </w:rPr>
  </w:style>
  <w:style w:type="paragraph" w:styleId="43">
    <w:name w:val="index heading"/>
    <w:basedOn w:val="1"/>
    <w:next w:val="44"/>
    <w:qFormat/>
    <w:uiPriority w:val="0"/>
  </w:style>
  <w:style w:type="paragraph" w:styleId="44">
    <w:name w:val="index 1"/>
    <w:basedOn w:val="1"/>
    <w:next w:val="1"/>
    <w:qFormat/>
    <w:uiPriority w:val="0"/>
    <w:pPr>
      <w:spacing w:line="300" w:lineRule="exact"/>
    </w:pPr>
    <w:rPr>
      <w:rFonts w:hAnsi="宋体"/>
      <w:b/>
      <w:bCs/>
      <w:szCs w:val="21"/>
    </w:rPr>
  </w:style>
  <w:style w:type="paragraph" w:styleId="45">
    <w:name w:val="Subtitle"/>
    <w:basedOn w:val="1"/>
    <w:link w:val="72"/>
    <w:qFormat/>
    <w:uiPriority w:val="0"/>
    <w:pPr>
      <w:spacing w:before="240" w:after="60" w:line="312" w:lineRule="auto"/>
      <w:jc w:val="center"/>
      <w:outlineLvl w:val="1"/>
    </w:pPr>
    <w:rPr>
      <w:rFonts w:ascii="Arial" w:hAnsi="Arial" w:cs="Arial"/>
      <w:b/>
      <w:bCs/>
      <w:kern w:val="28"/>
      <w:sz w:val="32"/>
      <w:szCs w:val="32"/>
    </w:rPr>
  </w:style>
  <w:style w:type="paragraph" w:styleId="46">
    <w:name w:val="List"/>
    <w:basedOn w:val="1"/>
    <w:qFormat/>
    <w:uiPriority w:val="0"/>
    <w:pPr>
      <w:ind w:left="200" w:hanging="200" w:hangingChars="200"/>
    </w:pPr>
    <w:rPr>
      <w:szCs w:val="24"/>
    </w:rPr>
  </w:style>
  <w:style w:type="paragraph" w:styleId="47">
    <w:name w:val="footnote text"/>
    <w:basedOn w:val="1"/>
    <w:link w:val="164"/>
    <w:qFormat/>
    <w:uiPriority w:val="0"/>
    <w:pPr>
      <w:adjustRightInd w:val="0"/>
      <w:snapToGrid w:val="0"/>
      <w:spacing w:line="420" w:lineRule="atLeast"/>
      <w:ind w:firstLine="454"/>
      <w:jc w:val="left"/>
      <w:textAlignment w:val="baseline"/>
    </w:pPr>
    <w:rPr>
      <w:rFonts w:ascii="Calibri" w:hAnsi="Calibri"/>
      <w:bCs/>
      <w:sz w:val="18"/>
    </w:rPr>
  </w:style>
  <w:style w:type="paragraph" w:styleId="48">
    <w:name w:val="toc 6"/>
    <w:basedOn w:val="1"/>
    <w:next w:val="1"/>
    <w:qFormat/>
    <w:uiPriority w:val="39"/>
    <w:pPr>
      <w:ind w:left="1050"/>
      <w:jc w:val="left"/>
    </w:pPr>
    <w:rPr>
      <w:szCs w:val="21"/>
    </w:rPr>
  </w:style>
  <w:style w:type="paragraph" w:styleId="49">
    <w:name w:val="Body Text Indent 3"/>
    <w:basedOn w:val="1"/>
    <w:link w:val="153"/>
    <w:qFormat/>
    <w:uiPriority w:val="0"/>
    <w:pPr>
      <w:ind w:firstLine="645"/>
    </w:pPr>
    <w:rPr>
      <w:rFonts w:ascii="仿宋_GB2312" w:hAnsi="Arial" w:eastAsia="仿宋_GB2312"/>
      <w:color w:val="000000"/>
      <w:sz w:val="30"/>
    </w:rPr>
  </w:style>
  <w:style w:type="paragraph" w:styleId="50">
    <w:name w:val="index 7"/>
    <w:basedOn w:val="1"/>
    <w:next w:val="1"/>
    <w:qFormat/>
    <w:uiPriority w:val="0"/>
    <w:pPr>
      <w:ind w:left="1200" w:leftChars="1200"/>
    </w:pPr>
  </w:style>
  <w:style w:type="paragraph" w:styleId="51">
    <w:name w:val="index 9"/>
    <w:basedOn w:val="1"/>
    <w:next w:val="1"/>
    <w:qFormat/>
    <w:uiPriority w:val="0"/>
    <w:pPr>
      <w:ind w:left="1600" w:leftChars="1600"/>
    </w:pPr>
  </w:style>
  <w:style w:type="paragraph" w:styleId="52">
    <w:name w:val="toc 2"/>
    <w:basedOn w:val="1"/>
    <w:next w:val="1"/>
    <w:qFormat/>
    <w:uiPriority w:val="39"/>
    <w:pPr>
      <w:ind w:left="210"/>
      <w:jc w:val="left"/>
    </w:pPr>
    <w:rPr>
      <w:smallCaps/>
      <w:sz w:val="28"/>
      <w:szCs w:val="24"/>
    </w:rPr>
  </w:style>
  <w:style w:type="paragraph" w:styleId="53">
    <w:name w:val="toc 9"/>
    <w:basedOn w:val="1"/>
    <w:next w:val="1"/>
    <w:qFormat/>
    <w:uiPriority w:val="39"/>
    <w:pPr>
      <w:ind w:left="1680"/>
      <w:jc w:val="left"/>
    </w:pPr>
    <w:rPr>
      <w:szCs w:val="21"/>
    </w:rPr>
  </w:style>
  <w:style w:type="paragraph" w:styleId="54">
    <w:name w:val="Body Text 2"/>
    <w:basedOn w:val="1"/>
    <w:link w:val="135"/>
    <w:qFormat/>
    <w:uiPriority w:val="0"/>
    <w:rPr>
      <w:rFonts w:ascii="仿宋_GB2312" w:eastAsia="仿宋_GB2312"/>
      <w:b/>
    </w:rPr>
  </w:style>
  <w:style w:type="paragraph" w:styleId="55">
    <w:name w:val="List 4"/>
    <w:basedOn w:val="1"/>
    <w:qFormat/>
    <w:uiPriority w:val="0"/>
    <w:pPr>
      <w:ind w:left="100" w:leftChars="600" w:hanging="200" w:hangingChars="200"/>
    </w:pPr>
    <w:rPr>
      <w:rFonts w:ascii="Calibri" w:hAnsi="Calibri"/>
      <w:kern w:val="2"/>
      <w:sz w:val="21"/>
      <w:szCs w:val="22"/>
    </w:rPr>
  </w:style>
  <w:style w:type="paragraph" w:styleId="56">
    <w:name w:val="List Continue 2"/>
    <w:basedOn w:val="1"/>
    <w:qFormat/>
    <w:uiPriority w:val="0"/>
    <w:pPr>
      <w:spacing w:after="120"/>
      <w:ind w:left="840" w:leftChars="400"/>
    </w:pPr>
    <w:rPr>
      <w:rFonts w:ascii="Calibri" w:hAnsi="Calibri"/>
      <w:kern w:val="2"/>
      <w:sz w:val="21"/>
      <w:szCs w:val="22"/>
    </w:rPr>
  </w:style>
  <w:style w:type="paragraph" w:styleId="57">
    <w:name w:val="Normal (Web)"/>
    <w:basedOn w:val="1"/>
    <w:qFormat/>
    <w:uiPriority w:val="0"/>
    <w:pPr>
      <w:widowControl/>
      <w:spacing w:before="100" w:beforeAutospacing="1" w:after="100" w:afterAutospacing="1"/>
      <w:jc w:val="left"/>
    </w:pPr>
    <w:rPr>
      <w:rFonts w:hAnsi="宋体"/>
      <w:szCs w:val="24"/>
    </w:rPr>
  </w:style>
  <w:style w:type="paragraph" w:styleId="58">
    <w:name w:val="index 2"/>
    <w:basedOn w:val="1"/>
    <w:next w:val="1"/>
    <w:qFormat/>
    <w:uiPriority w:val="0"/>
    <w:pPr>
      <w:ind w:left="200" w:leftChars="200"/>
    </w:pPr>
  </w:style>
  <w:style w:type="paragraph" w:styleId="59">
    <w:name w:val="Title"/>
    <w:basedOn w:val="1"/>
    <w:next w:val="1"/>
    <w:link w:val="163"/>
    <w:qFormat/>
    <w:uiPriority w:val="0"/>
    <w:pPr>
      <w:spacing w:before="240" w:after="60"/>
      <w:jc w:val="center"/>
      <w:outlineLvl w:val="0"/>
    </w:pPr>
    <w:rPr>
      <w:rFonts w:ascii="Cambria" w:hAnsi="Cambria"/>
      <w:b/>
      <w:bCs/>
      <w:kern w:val="2"/>
      <w:sz w:val="32"/>
      <w:szCs w:val="32"/>
    </w:rPr>
  </w:style>
  <w:style w:type="paragraph" w:styleId="60">
    <w:name w:val="annotation subject"/>
    <w:basedOn w:val="20"/>
    <w:next w:val="20"/>
    <w:link w:val="177"/>
    <w:qFormat/>
    <w:uiPriority w:val="0"/>
    <w:rPr>
      <w:rFonts w:ascii="宋体"/>
      <w:b/>
      <w:bCs/>
      <w:kern w:val="0"/>
      <w:sz w:val="28"/>
    </w:rPr>
  </w:style>
  <w:style w:type="paragraph" w:styleId="61">
    <w:name w:val="Body Text First Indent"/>
    <w:basedOn w:val="1"/>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qFormat/>
    <w:uiPriority w:val="0"/>
    <w:rPr>
      <w:b/>
      <w:bCs/>
    </w:rPr>
  </w:style>
  <w:style w:type="character" w:styleId="66">
    <w:name w:val="page number"/>
    <w:basedOn w:val="64"/>
    <w:qFormat/>
    <w:uiPriority w:val="0"/>
  </w:style>
  <w:style w:type="character" w:styleId="67">
    <w:name w:val="FollowedHyperlink"/>
    <w:qFormat/>
    <w:uiPriority w:val="99"/>
    <w:rPr>
      <w:color w:val="800080"/>
      <w:u w:val="single"/>
    </w:rPr>
  </w:style>
  <w:style w:type="character" w:styleId="68">
    <w:name w:val="Emphasis"/>
    <w:qFormat/>
    <w:uiPriority w:val="0"/>
    <w:rPr>
      <w:color w:val="CC0033"/>
    </w:rPr>
  </w:style>
  <w:style w:type="character" w:styleId="69">
    <w:name w:val="Hyperlink"/>
    <w:qFormat/>
    <w:uiPriority w:val="99"/>
    <w:rPr>
      <w:color w:val="0000FF"/>
      <w:u w:val="single"/>
    </w:rPr>
  </w:style>
  <w:style w:type="character" w:styleId="70">
    <w:name w:val="annotation reference"/>
    <w:unhideWhenUsed/>
    <w:qFormat/>
    <w:uiPriority w:val="99"/>
    <w:rPr>
      <w:sz w:val="21"/>
      <w:szCs w:val="21"/>
    </w:rPr>
  </w:style>
  <w:style w:type="character" w:customStyle="1" w:styleId="71">
    <w:name w:val="正文文本缩进 Char"/>
    <w:link w:val="25"/>
    <w:qFormat/>
    <w:uiPriority w:val="0"/>
    <w:rPr>
      <w:rFonts w:ascii="楷体_GB2312" w:eastAsia="楷体_GB2312"/>
      <w:kern w:val="2"/>
      <w:sz w:val="32"/>
    </w:rPr>
  </w:style>
  <w:style w:type="character" w:customStyle="1" w:styleId="72">
    <w:name w:val="副标题 Char"/>
    <w:link w:val="45"/>
    <w:qFormat/>
    <w:uiPriority w:val="0"/>
    <w:rPr>
      <w:rFonts w:ascii="Arial" w:hAnsi="Arial" w:eastAsia="宋体" w:cs="Arial"/>
      <w:b/>
      <w:bCs/>
      <w:kern w:val="28"/>
      <w:sz w:val="32"/>
      <w:szCs w:val="32"/>
      <w:lang w:val="en-US" w:eastAsia="zh-CN" w:bidi="ar-SA"/>
    </w:rPr>
  </w:style>
  <w:style w:type="character" w:customStyle="1" w:styleId="73">
    <w:name w:val="标题 6 Char1"/>
    <w:semiHidden/>
    <w:qFormat/>
    <w:uiPriority w:val="0"/>
    <w:rPr>
      <w:rFonts w:ascii="Cambria" w:hAnsi="Cambria" w:eastAsia="宋体"/>
      <w:b/>
      <w:kern w:val="2"/>
      <w:sz w:val="24"/>
      <w:szCs w:val="24"/>
    </w:rPr>
  </w:style>
  <w:style w:type="character" w:customStyle="1" w:styleId="74">
    <w:name w:val="脚注文本 Char_0"/>
    <w:link w:val="75"/>
    <w:qFormat/>
    <w:uiPriority w:val="0"/>
    <w:rPr>
      <w:sz w:val="18"/>
    </w:rPr>
  </w:style>
  <w:style w:type="paragraph" w:customStyle="1" w:styleId="75">
    <w:name w:val="脚注文本_0"/>
    <w:basedOn w:val="76"/>
    <w:link w:val="74"/>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76">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77">
    <w:name w:val="标题 Char1"/>
    <w:qFormat/>
    <w:uiPriority w:val="10"/>
    <w:rPr>
      <w:rFonts w:ascii="Calibri Light" w:hAnsi="Calibri Light" w:cs="Times New Roman"/>
      <w:b/>
      <w:bCs/>
      <w:kern w:val="2"/>
      <w:sz w:val="32"/>
      <w:szCs w:val="32"/>
    </w:rPr>
  </w:style>
  <w:style w:type="character" w:customStyle="1" w:styleId="78">
    <w:name w:val="Blockquote Char"/>
    <w:link w:val="79"/>
    <w:qFormat/>
    <w:uiPriority w:val="0"/>
    <w:rPr>
      <w:rFonts w:ascii="宋体"/>
      <w:sz w:val="24"/>
    </w:rPr>
  </w:style>
  <w:style w:type="paragraph" w:customStyle="1" w:styleId="79">
    <w:name w:val="Blockquote"/>
    <w:basedOn w:val="1"/>
    <w:link w:val="78"/>
    <w:qFormat/>
    <w:uiPriority w:val="0"/>
    <w:pPr>
      <w:autoSpaceDE w:val="0"/>
      <w:autoSpaceDN w:val="0"/>
      <w:adjustRightInd w:val="0"/>
      <w:spacing w:before="100" w:after="100"/>
      <w:ind w:left="360" w:right="360"/>
      <w:jc w:val="left"/>
    </w:pPr>
  </w:style>
  <w:style w:type="character" w:customStyle="1" w:styleId="80">
    <w:name w:val="脚注文本 Char1"/>
    <w:qFormat/>
    <w:uiPriority w:val="0"/>
    <w:rPr>
      <w:kern w:val="2"/>
      <w:sz w:val="18"/>
      <w:szCs w:val="18"/>
    </w:rPr>
  </w:style>
  <w:style w:type="character" w:customStyle="1" w:styleId="81">
    <w:name w:val="标题 3 Char2"/>
    <w:qFormat/>
    <w:uiPriority w:val="0"/>
    <w:rPr>
      <w:rFonts w:ascii="Calibri" w:hAnsi="Calibri" w:eastAsia="黑体"/>
      <w:b/>
      <w:bCs/>
      <w:kern w:val="2"/>
      <w:sz w:val="32"/>
      <w:szCs w:val="32"/>
    </w:rPr>
  </w:style>
  <w:style w:type="character" w:customStyle="1" w:styleId="82">
    <w:name w:val="批注框文本 Char"/>
    <w:link w:val="37"/>
    <w:qFormat/>
    <w:uiPriority w:val="99"/>
    <w:rPr>
      <w:rFonts w:ascii="宋体"/>
      <w:sz w:val="18"/>
      <w:szCs w:val="18"/>
    </w:rPr>
  </w:style>
  <w:style w:type="character" w:customStyle="1" w:styleId="83">
    <w:name w:val="标题5 Char Char"/>
    <w:link w:val="84"/>
    <w:qFormat/>
    <w:uiPriority w:val="0"/>
    <w:rPr>
      <w:rFonts w:ascii="Arial" w:hAnsi="Arial"/>
      <w:b/>
      <w:bCs/>
      <w:sz w:val="24"/>
      <w:szCs w:val="32"/>
      <w:lang w:bidi="ar-SA"/>
    </w:rPr>
  </w:style>
  <w:style w:type="paragraph" w:customStyle="1" w:styleId="84">
    <w:name w:val="标题5"/>
    <w:basedOn w:val="4"/>
    <w:link w:val="83"/>
    <w:qFormat/>
    <w:uiPriority w:val="0"/>
    <w:pPr>
      <w:spacing w:line="413" w:lineRule="auto"/>
      <w:jc w:val="both"/>
    </w:pPr>
    <w:rPr>
      <w:rFonts w:ascii="Arial" w:hAnsi="Arial"/>
      <w:kern w:val="0"/>
      <w:sz w:val="24"/>
    </w:rPr>
  </w:style>
  <w:style w:type="character" w:customStyle="1" w:styleId="85">
    <w:name w:val="页脚 字符"/>
    <w:qFormat/>
    <w:uiPriority w:val="99"/>
    <w:rPr>
      <w:kern w:val="2"/>
      <w:sz w:val="18"/>
    </w:rPr>
  </w:style>
  <w:style w:type="character" w:customStyle="1" w:styleId="86">
    <w:name w:val="纯文本 Char1_1"/>
    <w:link w:val="87"/>
    <w:qFormat/>
    <w:uiPriority w:val="0"/>
    <w:rPr>
      <w:rFonts w:ascii="宋体" w:hAnsi="Courier New"/>
      <w:kern w:val="2"/>
      <w:sz w:val="21"/>
      <w:szCs w:val="21"/>
    </w:rPr>
  </w:style>
  <w:style w:type="paragraph" w:customStyle="1" w:styleId="87">
    <w:name w:val="纯文本_2"/>
    <w:basedOn w:val="88"/>
    <w:link w:val="86"/>
    <w:qFormat/>
    <w:uiPriority w:val="0"/>
    <w:rPr>
      <w:rFonts w:ascii="宋体" w:hAnsi="Courier New"/>
      <w:szCs w:val="21"/>
    </w:rPr>
  </w:style>
  <w:style w:type="paragraph" w:customStyle="1" w:styleId="8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日期 Char"/>
    <w:link w:val="35"/>
    <w:qFormat/>
    <w:uiPriority w:val="0"/>
    <w:rPr>
      <w:rFonts w:eastAsia="宋体"/>
      <w:b/>
      <w:kern w:val="2"/>
      <w:sz w:val="28"/>
      <w:lang w:val="en-US" w:eastAsia="zh-CN" w:bidi="ar-SA"/>
    </w:rPr>
  </w:style>
  <w:style w:type="character" w:customStyle="1" w:styleId="90">
    <w:name w:val="标题 6 Char_0"/>
    <w:link w:val="91"/>
    <w:qFormat/>
    <w:uiPriority w:val="0"/>
    <w:rPr>
      <w:rFonts w:ascii="Arial" w:hAnsi="Arial" w:eastAsia="黑体"/>
      <w:b/>
      <w:bCs/>
      <w:sz w:val="24"/>
      <w:szCs w:val="24"/>
    </w:rPr>
  </w:style>
  <w:style w:type="paragraph" w:customStyle="1" w:styleId="91">
    <w:name w:val="标题 6_0"/>
    <w:basedOn w:val="88"/>
    <w:next w:val="88"/>
    <w:link w:val="90"/>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2">
    <w:name w:val="Blockquote Char_0_1"/>
    <w:link w:val="93"/>
    <w:qFormat/>
    <w:locked/>
    <w:uiPriority w:val="0"/>
    <w:rPr>
      <w:sz w:val="24"/>
    </w:rPr>
  </w:style>
  <w:style w:type="paragraph" w:customStyle="1" w:styleId="93">
    <w:name w:val="Blockquote_0_1"/>
    <w:basedOn w:val="94"/>
    <w:link w:val="92"/>
    <w:qFormat/>
    <w:uiPriority w:val="0"/>
    <w:pPr>
      <w:autoSpaceDE w:val="0"/>
      <w:autoSpaceDN w:val="0"/>
      <w:adjustRightInd w:val="0"/>
      <w:spacing w:before="100" w:after="100"/>
      <w:ind w:left="360" w:right="360"/>
      <w:jc w:val="left"/>
    </w:pPr>
    <w:rPr>
      <w:kern w:val="0"/>
      <w:sz w:val="24"/>
      <w:szCs w:val="20"/>
    </w:rPr>
  </w:style>
  <w:style w:type="paragraph" w:customStyle="1" w:styleId="94">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5">
    <w:name w:val="标题 7 Char_0"/>
    <w:link w:val="96"/>
    <w:qFormat/>
    <w:uiPriority w:val="0"/>
    <w:rPr>
      <w:b/>
      <w:bCs/>
      <w:sz w:val="24"/>
      <w:szCs w:val="24"/>
    </w:rPr>
  </w:style>
  <w:style w:type="paragraph" w:customStyle="1" w:styleId="96">
    <w:name w:val="标题 7_0"/>
    <w:basedOn w:val="88"/>
    <w:next w:val="88"/>
    <w:link w:val="95"/>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97">
    <w:name w:val="tdrownotice1"/>
    <w:qFormat/>
    <w:uiPriority w:val="0"/>
    <w:rPr>
      <w:sz w:val="22"/>
    </w:rPr>
  </w:style>
  <w:style w:type="character" w:customStyle="1" w:styleId="98">
    <w:name w:val="font01"/>
    <w:qFormat/>
    <w:uiPriority w:val="0"/>
    <w:rPr>
      <w:rFonts w:ascii="font-weight : 400" w:hAnsi="font-weight : 400" w:eastAsia="font-weight : 400" w:cs="font-weight : 400"/>
      <w:color w:val="000000"/>
      <w:sz w:val="22"/>
      <w:szCs w:val="22"/>
      <w:u w:val="none"/>
    </w:rPr>
  </w:style>
  <w:style w:type="character" w:customStyle="1" w:styleId="99">
    <w:name w:val="页眉 Char"/>
    <w:link w:val="39"/>
    <w:qFormat/>
    <w:uiPriority w:val="99"/>
    <w:rPr>
      <w:rFonts w:eastAsia="宋体"/>
      <w:kern w:val="2"/>
      <w:sz w:val="18"/>
      <w:lang w:val="en-US" w:eastAsia="zh-CN" w:bidi="ar-SA"/>
    </w:rPr>
  </w:style>
  <w:style w:type="character" w:customStyle="1" w:styleId="100">
    <w:name w:val="引用 Char"/>
    <w:link w:val="101"/>
    <w:qFormat/>
    <w:uiPriority w:val="0"/>
    <w:rPr>
      <w:i/>
      <w:iCs/>
      <w:color w:val="000000"/>
      <w:kern w:val="2"/>
      <w:sz w:val="21"/>
      <w:szCs w:val="22"/>
      <w:lang w:bidi="ar-SA"/>
    </w:rPr>
  </w:style>
  <w:style w:type="paragraph" w:styleId="101">
    <w:name w:val="Quote"/>
    <w:basedOn w:val="1"/>
    <w:next w:val="1"/>
    <w:link w:val="100"/>
    <w:qFormat/>
    <w:uiPriority w:val="0"/>
    <w:rPr>
      <w:rFonts w:ascii="Times New Roman"/>
      <w:i/>
      <w:iCs/>
      <w:color w:val="000000"/>
      <w:kern w:val="2"/>
      <w:sz w:val="21"/>
      <w:szCs w:val="22"/>
    </w:rPr>
  </w:style>
  <w:style w:type="character" w:customStyle="1" w:styleId="102">
    <w:name w:val="Texte Char1"/>
    <w:link w:val="103"/>
    <w:qFormat/>
    <w:uiPriority w:val="99"/>
    <w:rPr>
      <w:rFonts w:ascii="宋体" w:hAnsi="Courier New"/>
      <w:kern w:val="2"/>
      <w:sz w:val="21"/>
      <w:szCs w:val="21"/>
      <w:lang w:val="en-US" w:eastAsia="zh-CN"/>
    </w:rPr>
  </w:style>
  <w:style w:type="paragraph" w:customStyle="1" w:styleId="103">
    <w:name w:val="纯文本_0"/>
    <w:basedOn w:val="104"/>
    <w:link w:val="102"/>
    <w:qFormat/>
    <w:uiPriority w:val="99"/>
    <w:rPr>
      <w:rFonts w:ascii="宋体" w:hAnsi="Courier New" w:cs="Times New Roman"/>
      <w:szCs w:val="21"/>
    </w:rPr>
  </w:style>
  <w:style w:type="paragraph" w:customStyle="1" w:styleId="104">
    <w:name w:val="正文_0"/>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5">
    <w:name w:val="标题 3 Char_0"/>
    <w:link w:val="106"/>
    <w:qFormat/>
    <w:uiPriority w:val="0"/>
    <w:rPr>
      <w:b/>
      <w:sz w:val="32"/>
    </w:rPr>
  </w:style>
  <w:style w:type="paragraph" w:customStyle="1" w:styleId="106">
    <w:name w:val="标题 3_0"/>
    <w:basedOn w:val="88"/>
    <w:next w:val="107"/>
    <w:link w:val="105"/>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07">
    <w:name w:val="正文缩进_0"/>
    <w:basedOn w:val="88"/>
    <w:unhideWhenUsed/>
    <w:qFormat/>
    <w:uiPriority w:val="0"/>
    <w:pPr>
      <w:ind w:firstLine="420" w:firstLineChars="200"/>
    </w:pPr>
    <w:rPr>
      <w:rFonts w:ascii="Calibri" w:hAnsi="Calibri"/>
      <w:bCs/>
      <w:szCs w:val="32"/>
    </w:rPr>
  </w:style>
  <w:style w:type="character" w:customStyle="1" w:styleId="108">
    <w:name w:val="标题 2 Char"/>
    <w:link w:val="3"/>
    <w:qFormat/>
    <w:uiPriority w:val="9"/>
    <w:rPr>
      <w:rFonts w:ascii="Arial" w:hAnsi="Arial" w:eastAsia="黑体"/>
      <w:b/>
      <w:bCs/>
      <w:kern w:val="2"/>
      <w:sz w:val="32"/>
      <w:szCs w:val="32"/>
      <w:lang w:val="en-US" w:eastAsia="zh-CN" w:bidi="ar-SA"/>
    </w:rPr>
  </w:style>
  <w:style w:type="character" w:customStyle="1" w:styleId="109">
    <w:name w:val="标题 1 Char1"/>
    <w:qFormat/>
    <w:uiPriority w:val="0"/>
    <w:rPr>
      <w:rFonts w:ascii="Calibri" w:hAnsi="Calibri" w:eastAsia="宋体"/>
      <w:b/>
      <w:kern w:val="44"/>
      <w:sz w:val="44"/>
      <w:szCs w:val="44"/>
    </w:rPr>
  </w:style>
  <w:style w:type="character" w:customStyle="1" w:styleId="110">
    <w:name w:val="标题 7 Char1"/>
    <w:semiHidden/>
    <w:qFormat/>
    <w:uiPriority w:val="0"/>
    <w:rPr>
      <w:rFonts w:ascii="Calibri" w:hAnsi="Calibri" w:eastAsia="宋体"/>
      <w:b/>
      <w:kern w:val="2"/>
      <w:sz w:val="24"/>
      <w:szCs w:val="24"/>
    </w:rPr>
  </w:style>
  <w:style w:type="character" w:customStyle="1" w:styleId="111">
    <w:name w:val="Blockquote Char_0"/>
    <w:link w:val="112"/>
    <w:qFormat/>
    <w:locked/>
    <w:uiPriority w:val="0"/>
    <w:rPr>
      <w:sz w:val="24"/>
    </w:rPr>
  </w:style>
  <w:style w:type="paragraph" w:customStyle="1" w:styleId="112">
    <w:name w:val="Blockquote_0"/>
    <w:basedOn w:val="88"/>
    <w:link w:val="111"/>
    <w:qFormat/>
    <w:uiPriority w:val="0"/>
    <w:pPr>
      <w:autoSpaceDE w:val="0"/>
      <w:autoSpaceDN w:val="0"/>
      <w:adjustRightInd w:val="0"/>
      <w:spacing w:before="100" w:after="100"/>
      <w:ind w:left="360" w:right="360"/>
      <w:jc w:val="left"/>
    </w:pPr>
    <w:rPr>
      <w:kern w:val="0"/>
      <w:sz w:val="24"/>
      <w:szCs w:val="20"/>
    </w:rPr>
  </w:style>
  <w:style w:type="character" w:customStyle="1" w:styleId="113">
    <w:name w:val="封面日期 Char Char"/>
    <w:qFormat/>
    <w:uiPriority w:val="0"/>
    <w:rPr>
      <w:rFonts w:ascii="Times New Roman" w:hAnsi="Times New Roman" w:eastAsia="宋体" w:cs="Times New Roman"/>
      <w:b/>
      <w:sz w:val="28"/>
      <w:szCs w:val="20"/>
    </w:rPr>
  </w:style>
  <w:style w:type="character" w:customStyle="1" w:styleId="114">
    <w:name w:val="称呼 Char1"/>
    <w:qFormat/>
    <w:uiPriority w:val="0"/>
    <w:rPr>
      <w:kern w:val="2"/>
      <w:sz w:val="21"/>
      <w:szCs w:val="24"/>
    </w:rPr>
  </w:style>
  <w:style w:type="character" w:customStyle="1" w:styleId="115">
    <w:name w:val="纯文本 Char1_0"/>
    <w:link w:val="116"/>
    <w:qFormat/>
    <w:uiPriority w:val="0"/>
    <w:rPr>
      <w:rFonts w:ascii="宋体" w:hAnsi="Courier New"/>
      <w:kern w:val="2"/>
      <w:sz w:val="21"/>
      <w:szCs w:val="21"/>
    </w:rPr>
  </w:style>
  <w:style w:type="paragraph" w:customStyle="1" w:styleId="116">
    <w:name w:val="纯文本_1"/>
    <w:basedOn w:val="117"/>
    <w:link w:val="115"/>
    <w:qFormat/>
    <w:uiPriority w:val="0"/>
    <w:rPr>
      <w:rFonts w:ascii="宋体" w:hAnsi="Courier New"/>
      <w:szCs w:val="21"/>
    </w:rPr>
  </w:style>
  <w:style w:type="paragraph" w:customStyle="1" w:styleId="11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8">
    <w:name w:val="文档结构图 Char"/>
    <w:link w:val="18"/>
    <w:qFormat/>
    <w:uiPriority w:val="0"/>
    <w:rPr>
      <w:rFonts w:eastAsia="宋体"/>
      <w:kern w:val="2"/>
      <w:sz w:val="21"/>
      <w:lang w:val="en-US" w:eastAsia="zh-CN" w:bidi="ar-SA"/>
    </w:rPr>
  </w:style>
  <w:style w:type="character" w:customStyle="1" w:styleId="119">
    <w:name w:val="纯文本 Char1"/>
    <w:qFormat/>
    <w:uiPriority w:val="99"/>
    <w:rPr>
      <w:rFonts w:ascii="宋体" w:hAnsi="Courier New" w:eastAsia="宋体" w:cs="Courier New"/>
      <w:kern w:val="2"/>
      <w:sz w:val="21"/>
      <w:szCs w:val="21"/>
      <w:lang w:val="en-US" w:eastAsia="zh-CN" w:bidi="ar-SA"/>
    </w:rPr>
  </w:style>
  <w:style w:type="character" w:customStyle="1" w:styleId="120">
    <w:name w:val="称呼 Char"/>
    <w:link w:val="22"/>
    <w:qFormat/>
    <w:uiPriority w:val="0"/>
    <w:rPr>
      <w:rFonts w:ascii="仿宋_GB2312" w:eastAsia="仿宋_GB2312"/>
      <w:sz w:val="28"/>
    </w:rPr>
  </w:style>
  <w:style w:type="character" w:customStyle="1" w:styleId="121">
    <w:name w:val="t_tag"/>
    <w:qFormat/>
    <w:uiPriority w:val="0"/>
  </w:style>
  <w:style w:type="character" w:customStyle="1" w:styleId="122">
    <w:name w:val="标题 6 Char"/>
    <w:link w:val="7"/>
    <w:qFormat/>
    <w:uiPriority w:val="0"/>
    <w:rPr>
      <w:rFonts w:ascii="宋体" w:hAnsi="宋体" w:eastAsia="宋体"/>
      <w:sz w:val="28"/>
      <w:lang w:val="en-US" w:eastAsia="zh-CN" w:bidi="ar-SA"/>
    </w:rPr>
  </w:style>
  <w:style w:type="character" w:customStyle="1" w:styleId="123">
    <w:name w:val="Char Char3"/>
    <w:qFormat/>
    <w:uiPriority w:val="0"/>
    <w:rPr>
      <w:rFonts w:eastAsia="宋体"/>
      <w:kern w:val="2"/>
      <w:sz w:val="21"/>
      <w:lang w:val="en-US" w:eastAsia="zh-CN" w:bidi="ar-SA"/>
    </w:rPr>
  </w:style>
  <w:style w:type="character" w:customStyle="1" w:styleId="124">
    <w:name w:val="标题 8 Char"/>
    <w:link w:val="9"/>
    <w:qFormat/>
    <w:uiPriority w:val="0"/>
    <w:rPr>
      <w:rFonts w:ascii="Arial" w:hAnsi="Arial" w:eastAsia="黑体"/>
      <w:sz w:val="24"/>
      <w:szCs w:val="24"/>
      <w:lang w:val="en-US" w:eastAsia="zh-CN" w:bidi="ar-SA"/>
    </w:rPr>
  </w:style>
  <w:style w:type="character" w:customStyle="1" w:styleId="125">
    <w:name w:val="正文文本 3 Char"/>
    <w:link w:val="23"/>
    <w:qFormat/>
    <w:uiPriority w:val="0"/>
    <w:rPr>
      <w:rFonts w:ascii="黑体" w:hAnsi="Arial" w:eastAsia="黑体"/>
      <w:b/>
      <w:sz w:val="28"/>
    </w:rPr>
  </w:style>
  <w:style w:type="character" w:customStyle="1" w:styleId="126">
    <w:name w:val="批注文字 Char"/>
    <w:link w:val="20"/>
    <w:qFormat/>
    <w:uiPriority w:val="99"/>
    <w:rPr>
      <w:rFonts w:eastAsia="宋体"/>
      <w:kern w:val="2"/>
      <w:sz w:val="21"/>
      <w:lang w:val="en-US" w:eastAsia="zh-CN" w:bidi="ar-SA"/>
    </w:rPr>
  </w:style>
  <w:style w:type="character" w:customStyle="1" w:styleId="127">
    <w:name w:val="引用 Char2"/>
    <w:qFormat/>
    <w:uiPriority w:val="29"/>
    <w:rPr>
      <w:i/>
      <w:iCs/>
      <w:color w:val="000000"/>
      <w:kern w:val="2"/>
      <w:sz w:val="21"/>
      <w:szCs w:val="24"/>
    </w:rPr>
  </w:style>
  <w:style w:type="character" w:customStyle="1" w:styleId="128">
    <w:name w:val="标题 4 Char_0"/>
    <w:link w:val="129"/>
    <w:qFormat/>
    <w:uiPriority w:val="0"/>
    <w:rPr>
      <w:rFonts w:ascii="Arial" w:hAnsi="Arial" w:eastAsia="黑体"/>
      <w:sz w:val="28"/>
    </w:rPr>
  </w:style>
  <w:style w:type="paragraph" w:customStyle="1" w:styleId="129">
    <w:name w:val="标题 4_0"/>
    <w:basedOn w:val="88"/>
    <w:next w:val="88"/>
    <w:link w:val="128"/>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0">
    <w:name w:val="标题 9 Char_0"/>
    <w:link w:val="131"/>
    <w:qFormat/>
    <w:uiPriority w:val="0"/>
    <w:rPr>
      <w:rFonts w:ascii="Arial" w:hAnsi="Arial" w:eastAsia="黑体"/>
      <w:sz w:val="21"/>
      <w:szCs w:val="21"/>
    </w:rPr>
  </w:style>
  <w:style w:type="paragraph" w:customStyle="1" w:styleId="131">
    <w:name w:val="标题 9_0"/>
    <w:basedOn w:val="88"/>
    <w:next w:val="88"/>
    <w:link w:val="130"/>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2">
    <w:name w:val="标题 2 Char_0"/>
    <w:link w:val="133"/>
    <w:qFormat/>
    <w:uiPriority w:val="0"/>
    <w:rPr>
      <w:rFonts w:ascii="黑体" w:hAnsi="宋体" w:eastAsia="黑体"/>
      <w:b/>
      <w:smallCaps/>
      <w:sz w:val="36"/>
      <w:szCs w:val="24"/>
    </w:rPr>
  </w:style>
  <w:style w:type="paragraph" w:customStyle="1" w:styleId="133">
    <w:name w:val="标题 2_0"/>
    <w:basedOn w:val="134"/>
    <w:next w:val="104"/>
    <w:link w:val="132"/>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4">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5">
    <w:name w:val="正文文本 2 Char"/>
    <w:link w:val="54"/>
    <w:qFormat/>
    <w:uiPriority w:val="0"/>
    <w:rPr>
      <w:rFonts w:ascii="仿宋_GB2312" w:eastAsia="仿宋_GB2312"/>
      <w:b/>
      <w:sz w:val="24"/>
    </w:rPr>
  </w:style>
  <w:style w:type="character" w:customStyle="1" w:styleId="136">
    <w:name w:val="批注文字 Char1"/>
    <w:semiHidden/>
    <w:qFormat/>
    <w:uiPriority w:val="99"/>
  </w:style>
  <w:style w:type="character" w:customStyle="1" w:styleId="137">
    <w:name w:val="明显引用 Char1"/>
    <w:qFormat/>
    <w:uiPriority w:val="30"/>
    <w:rPr>
      <w:b/>
      <w:bCs/>
      <w:i/>
      <w:iCs/>
      <w:color w:val="4F81BD"/>
      <w:kern w:val="2"/>
      <w:sz w:val="21"/>
      <w:szCs w:val="24"/>
    </w:rPr>
  </w:style>
  <w:style w:type="character" w:customStyle="1" w:styleId="138">
    <w:name w:val="标题 8 Char1"/>
    <w:semiHidden/>
    <w:qFormat/>
    <w:uiPriority w:val="0"/>
    <w:rPr>
      <w:rFonts w:ascii="Cambria" w:hAnsi="Cambria" w:eastAsia="宋体"/>
      <w:kern w:val="2"/>
      <w:sz w:val="24"/>
      <w:szCs w:val="24"/>
    </w:rPr>
  </w:style>
  <w:style w:type="character" w:customStyle="1" w:styleId="139">
    <w:name w:val="font31"/>
    <w:qFormat/>
    <w:uiPriority w:val="0"/>
    <w:rPr>
      <w:rFonts w:hint="eastAsia" w:ascii="宋体" w:hAnsi="宋体" w:eastAsia="宋体" w:cs="宋体"/>
      <w:color w:val="FF0000"/>
      <w:sz w:val="24"/>
      <w:szCs w:val="24"/>
      <w:u w:val="none"/>
    </w:rPr>
  </w:style>
  <w:style w:type="character" w:customStyle="1" w:styleId="140">
    <w:name w:val="标题 3 Char"/>
    <w:link w:val="4"/>
    <w:qFormat/>
    <w:uiPriority w:val="0"/>
    <w:rPr>
      <w:rFonts w:ascii="宋体" w:eastAsia="宋体"/>
      <w:b/>
      <w:bCs/>
      <w:kern w:val="2"/>
      <w:sz w:val="32"/>
      <w:szCs w:val="32"/>
      <w:lang w:val="en-US" w:eastAsia="zh-CN" w:bidi="ar-SA"/>
    </w:rPr>
  </w:style>
  <w:style w:type="character" w:customStyle="1" w:styleId="141">
    <w:name w:val="标题 9 Char"/>
    <w:link w:val="10"/>
    <w:qFormat/>
    <w:uiPriority w:val="0"/>
    <w:rPr>
      <w:rFonts w:ascii="Arial" w:hAnsi="Arial" w:eastAsia="黑体"/>
      <w:sz w:val="21"/>
      <w:szCs w:val="21"/>
      <w:lang w:val="en-US" w:eastAsia="zh-CN" w:bidi="ar-SA"/>
    </w:rPr>
  </w:style>
  <w:style w:type="character" w:customStyle="1" w:styleId="142">
    <w:name w:val="批注框文本 Char1"/>
    <w:semiHidden/>
    <w:qFormat/>
    <w:uiPriority w:val="99"/>
    <w:rPr>
      <w:sz w:val="18"/>
      <w:szCs w:val="18"/>
    </w:rPr>
  </w:style>
  <w:style w:type="character" w:customStyle="1" w:styleId="143">
    <w:name w:val="批注主题 Char1"/>
    <w:qFormat/>
    <w:uiPriority w:val="99"/>
    <w:rPr>
      <w:rFonts w:eastAsia="宋体"/>
      <w:b/>
      <w:bCs/>
      <w:kern w:val="2"/>
      <w:sz w:val="21"/>
      <w:szCs w:val="24"/>
      <w:lang w:val="en-US" w:eastAsia="zh-CN" w:bidi="ar-SA"/>
    </w:rPr>
  </w:style>
  <w:style w:type="character" w:customStyle="1" w:styleId="144">
    <w:name w:val="标题 8 Char_0"/>
    <w:link w:val="145"/>
    <w:qFormat/>
    <w:uiPriority w:val="0"/>
    <w:rPr>
      <w:rFonts w:ascii="Arial" w:hAnsi="Arial" w:eastAsia="黑体"/>
      <w:sz w:val="24"/>
      <w:szCs w:val="24"/>
    </w:rPr>
  </w:style>
  <w:style w:type="paragraph" w:customStyle="1" w:styleId="145">
    <w:name w:val="标题 8_0"/>
    <w:basedOn w:val="88"/>
    <w:next w:val="88"/>
    <w:link w:val="144"/>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46">
    <w:name w:val="标题 9 Char1"/>
    <w:semiHidden/>
    <w:qFormat/>
    <w:uiPriority w:val="0"/>
    <w:rPr>
      <w:rFonts w:ascii="Cambria" w:hAnsi="Cambria" w:eastAsia="宋体"/>
      <w:kern w:val="2"/>
      <w:sz w:val="21"/>
      <w:szCs w:val="21"/>
    </w:rPr>
  </w:style>
  <w:style w:type="character" w:customStyle="1" w:styleId="147">
    <w:name w:val="标题 1 Char_0"/>
    <w:link w:val="148"/>
    <w:qFormat/>
    <w:uiPriority w:val="0"/>
    <w:rPr>
      <w:rFonts w:ascii="黑体" w:eastAsia="黑体"/>
      <w:sz w:val="52"/>
    </w:rPr>
  </w:style>
  <w:style w:type="paragraph" w:customStyle="1" w:styleId="148">
    <w:name w:val="标题 1_0"/>
    <w:basedOn w:val="88"/>
    <w:next w:val="88"/>
    <w:link w:val="147"/>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49">
    <w:name w:val="标题 4 Char"/>
    <w:link w:val="5"/>
    <w:qFormat/>
    <w:uiPriority w:val="0"/>
    <w:rPr>
      <w:rFonts w:ascii="Arial" w:hAnsi="Arial" w:eastAsia="黑体"/>
      <w:b/>
      <w:bCs/>
      <w:kern w:val="2"/>
      <w:sz w:val="28"/>
      <w:szCs w:val="28"/>
      <w:lang w:val="en-US" w:eastAsia="zh-CN" w:bidi="ar-SA"/>
    </w:rPr>
  </w:style>
  <w:style w:type="character" w:customStyle="1" w:styleId="150">
    <w:name w:val="引用 Char1"/>
    <w:qFormat/>
    <w:uiPriority w:val="29"/>
    <w:rPr>
      <w:i/>
      <w:iCs/>
      <w:color w:val="000000"/>
      <w:kern w:val="2"/>
      <w:sz w:val="21"/>
      <w:szCs w:val="24"/>
    </w:rPr>
  </w:style>
  <w:style w:type="character" w:customStyle="1" w:styleId="151">
    <w:name w:val="apple-converted-space"/>
    <w:qFormat/>
    <w:uiPriority w:val="0"/>
  </w:style>
  <w:style w:type="character" w:customStyle="1" w:styleId="152">
    <w:name w:val="ask-title2"/>
    <w:qFormat/>
    <w:uiPriority w:val="0"/>
  </w:style>
  <w:style w:type="character" w:customStyle="1" w:styleId="153">
    <w:name w:val="正文文本缩进 3 Char"/>
    <w:link w:val="49"/>
    <w:qFormat/>
    <w:uiPriority w:val="0"/>
    <w:rPr>
      <w:rFonts w:ascii="仿宋_GB2312" w:hAnsi="Arial" w:eastAsia="仿宋_GB2312"/>
      <w:color w:val="000000"/>
      <w:sz w:val="30"/>
    </w:rPr>
  </w:style>
  <w:style w:type="character" w:customStyle="1" w:styleId="154">
    <w:name w:val="标题4 Char Char"/>
    <w:link w:val="155"/>
    <w:qFormat/>
    <w:uiPriority w:val="0"/>
    <w:rPr>
      <w:rFonts w:ascii="Arial" w:hAnsi="Arial"/>
      <w:b/>
      <w:bCs/>
      <w:sz w:val="24"/>
      <w:szCs w:val="32"/>
      <w:lang w:bidi="ar-SA"/>
    </w:rPr>
  </w:style>
  <w:style w:type="paragraph" w:customStyle="1" w:styleId="155">
    <w:name w:val="标题4"/>
    <w:basedOn w:val="3"/>
    <w:next w:val="29"/>
    <w:link w:val="154"/>
    <w:qFormat/>
    <w:uiPriority w:val="0"/>
    <w:pPr>
      <w:spacing w:line="413" w:lineRule="auto"/>
      <w:ind w:firstLine="0"/>
      <w:jc w:val="both"/>
    </w:pPr>
    <w:rPr>
      <w:rFonts w:eastAsia="宋体"/>
      <w:kern w:val="0"/>
      <w:sz w:val="24"/>
    </w:rPr>
  </w:style>
  <w:style w:type="character" w:customStyle="1" w:styleId="156">
    <w:name w:val="标题 4 Char1"/>
    <w:semiHidden/>
    <w:qFormat/>
    <w:uiPriority w:val="0"/>
    <w:rPr>
      <w:rFonts w:ascii="Cambria" w:hAnsi="Cambria" w:eastAsia="宋体"/>
      <w:b/>
      <w:kern w:val="2"/>
      <w:sz w:val="28"/>
      <w:szCs w:val="28"/>
    </w:rPr>
  </w:style>
  <w:style w:type="character" w:customStyle="1" w:styleId="157">
    <w:name w:val="纯文本 Char"/>
    <w:link w:val="32"/>
    <w:qFormat/>
    <w:uiPriority w:val="0"/>
    <w:rPr>
      <w:rFonts w:ascii="宋体" w:hAnsi="Courier New" w:eastAsia="宋体"/>
      <w:kern w:val="2"/>
      <w:sz w:val="21"/>
      <w:lang w:val="en-US" w:eastAsia="zh-CN" w:bidi="ar-SA"/>
    </w:rPr>
  </w:style>
  <w:style w:type="character" w:customStyle="1" w:styleId="158">
    <w:name w:val="明显引用 Char"/>
    <w:link w:val="159"/>
    <w:qFormat/>
    <w:uiPriority w:val="0"/>
    <w:rPr>
      <w:b/>
      <w:bCs/>
      <w:i/>
      <w:iCs/>
      <w:color w:val="4F81BD"/>
      <w:kern w:val="2"/>
      <w:sz w:val="21"/>
      <w:szCs w:val="22"/>
      <w:lang w:bidi="ar-SA"/>
    </w:rPr>
  </w:style>
  <w:style w:type="paragraph" w:styleId="159">
    <w:name w:val="Intense Quote"/>
    <w:basedOn w:val="1"/>
    <w:next w:val="1"/>
    <w:link w:val="158"/>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0">
    <w:name w:val="批注主题 Char2"/>
    <w:qFormat/>
    <w:uiPriority w:val="0"/>
    <w:rPr>
      <w:rFonts w:eastAsia="宋体"/>
      <w:b/>
      <w:bCs/>
      <w:kern w:val="2"/>
      <w:sz w:val="21"/>
      <w:szCs w:val="24"/>
      <w:lang w:val="en-US" w:eastAsia="zh-CN" w:bidi="ar-SA"/>
    </w:rPr>
  </w:style>
  <w:style w:type="character" w:customStyle="1" w:styleId="161">
    <w:name w:val="标题 5 Char1"/>
    <w:semiHidden/>
    <w:qFormat/>
    <w:uiPriority w:val="0"/>
    <w:rPr>
      <w:rFonts w:ascii="Calibri" w:hAnsi="Calibri" w:eastAsia="宋体"/>
      <w:b/>
      <w:kern w:val="2"/>
      <w:sz w:val="28"/>
      <w:szCs w:val="28"/>
    </w:rPr>
  </w:style>
  <w:style w:type="character" w:customStyle="1" w:styleId="162">
    <w:name w:val="日期 Char1"/>
    <w:qFormat/>
    <w:uiPriority w:val="0"/>
    <w:rPr>
      <w:rFonts w:eastAsia="宋体"/>
      <w:kern w:val="2"/>
      <w:sz w:val="21"/>
      <w:szCs w:val="24"/>
      <w:lang w:val="en-US" w:eastAsia="zh-CN" w:bidi="ar-SA"/>
    </w:rPr>
  </w:style>
  <w:style w:type="character" w:customStyle="1" w:styleId="163">
    <w:name w:val="标题 Char"/>
    <w:link w:val="59"/>
    <w:qFormat/>
    <w:uiPriority w:val="0"/>
    <w:rPr>
      <w:rFonts w:ascii="Cambria" w:hAnsi="Cambria"/>
      <w:b/>
      <w:bCs/>
      <w:kern w:val="2"/>
      <w:sz w:val="32"/>
      <w:szCs w:val="32"/>
      <w:lang w:bidi="ar-SA"/>
    </w:rPr>
  </w:style>
  <w:style w:type="character" w:customStyle="1" w:styleId="164">
    <w:name w:val="脚注文本 Char"/>
    <w:link w:val="47"/>
    <w:qFormat/>
    <w:uiPriority w:val="0"/>
    <w:rPr>
      <w:rFonts w:ascii="Calibri" w:hAnsi="Calibri"/>
      <w:bCs/>
      <w:sz w:val="18"/>
    </w:rPr>
  </w:style>
  <w:style w:type="character" w:customStyle="1" w:styleId="165">
    <w:name w:val="标题 1 Char"/>
    <w:link w:val="2"/>
    <w:qFormat/>
    <w:uiPriority w:val="0"/>
    <w:rPr>
      <w:rFonts w:eastAsia="宋体"/>
      <w:b/>
      <w:bCs/>
      <w:kern w:val="44"/>
      <w:sz w:val="30"/>
      <w:szCs w:val="44"/>
      <w:lang w:val="en-US" w:eastAsia="zh-CN" w:bidi="ar-SA"/>
    </w:rPr>
  </w:style>
  <w:style w:type="character" w:customStyle="1" w:styleId="166">
    <w:name w:val="font11"/>
    <w:qFormat/>
    <w:uiPriority w:val="0"/>
    <w:rPr>
      <w:rFonts w:hint="eastAsia" w:ascii="宋体" w:hAnsi="宋体" w:eastAsia="宋体" w:cs="宋体"/>
      <w:color w:val="000000"/>
      <w:sz w:val="24"/>
      <w:szCs w:val="24"/>
      <w:u w:val="none"/>
    </w:rPr>
  </w:style>
  <w:style w:type="character" w:customStyle="1" w:styleId="167">
    <w:name w:val="标题 5 Char"/>
    <w:link w:val="6"/>
    <w:qFormat/>
    <w:uiPriority w:val="0"/>
    <w:rPr>
      <w:rFonts w:ascii="宋体" w:hAnsi="Arial" w:eastAsia="宋体"/>
      <w:bCs/>
      <w:kern w:val="2"/>
      <w:sz w:val="28"/>
      <w:lang w:val="en-US" w:eastAsia="zh-CN" w:bidi="ar-SA"/>
    </w:rPr>
  </w:style>
  <w:style w:type="character" w:customStyle="1" w:styleId="168">
    <w:name w:val="font21"/>
    <w:qFormat/>
    <w:uiPriority w:val="0"/>
    <w:rPr>
      <w:rFonts w:hint="eastAsia" w:ascii="仿宋" w:hAnsi="仿宋" w:eastAsia="仿宋" w:cs="仿宋"/>
      <w:color w:val="000000"/>
      <w:sz w:val="24"/>
      <w:szCs w:val="24"/>
      <w:u w:val="none"/>
    </w:rPr>
  </w:style>
  <w:style w:type="character" w:customStyle="1" w:styleId="169">
    <w:name w:val="标题 7 Char"/>
    <w:link w:val="8"/>
    <w:qFormat/>
    <w:uiPriority w:val="0"/>
    <w:rPr>
      <w:rFonts w:ascii="Arial" w:hAnsi="Arial" w:eastAsia="仿宋_GB2312" w:cs="Arial"/>
      <w:b/>
      <w:bCs/>
      <w:spacing w:val="-4"/>
      <w:kern w:val="2"/>
      <w:sz w:val="24"/>
      <w:szCs w:val="24"/>
      <w:lang w:val="en-US" w:eastAsia="zh-CN" w:bidi="ar-SA"/>
    </w:rPr>
  </w:style>
  <w:style w:type="character" w:customStyle="1" w:styleId="170">
    <w:name w:val="正文文本 Char"/>
    <w:link w:val="24"/>
    <w:qFormat/>
    <w:uiPriority w:val="0"/>
    <w:rPr>
      <w:rFonts w:ascii="宋体" w:hAnsi="Arial" w:eastAsia="宋体"/>
      <w:kern w:val="2"/>
      <w:sz w:val="28"/>
      <w:lang w:val="en-US" w:eastAsia="zh-CN" w:bidi="ar-SA"/>
    </w:rPr>
  </w:style>
  <w:style w:type="character" w:customStyle="1" w:styleId="171">
    <w:name w:val="Char Char"/>
    <w:qFormat/>
    <w:uiPriority w:val="0"/>
    <w:rPr>
      <w:rFonts w:ascii="宋体" w:hAnsi="Courier New" w:eastAsia="宋体" w:cs="Courier New"/>
      <w:kern w:val="2"/>
      <w:sz w:val="21"/>
      <w:szCs w:val="21"/>
      <w:lang w:val="en-US" w:eastAsia="zh-CN" w:bidi="ar-SA"/>
    </w:rPr>
  </w:style>
  <w:style w:type="character" w:customStyle="1" w:styleId="172">
    <w:name w:val="副标题 Char1"/>
    <w:qFormat/>
    <w:uiPriority w:val="0"/>
    <w:rPr>
      <w:rFonts w:ascii="Cambria" w:hAnsi="Cambria" w:cs="Times New Roman"/>
      <w:b/>
      <w:bCs/>
      <w:kern w:val="28"/>
      <w:sz w:val="32"/>
      <w:szCs w:val="32"/>
    </w:rPr>
  </w:style>
  <w:style w:type="character" w:customStyle="1" w:styleId="173">
    <w:name w:val="正文文本缩进 2 Char"/>
    <w:link w:val="36"/>
    <w:qFormat/>
    <w:uiPriority w:val="0"/>
    <w:rPr>
      <w:rFonts w:ascii="Arial" w:hAnsi="Arial" w:eastAsia="仿宋_GB2312"/>
      <w:sz w:val="32"/>
    </w:rPr>
  </w:style>
  <w:style w:type="character" w:customStyle="1" w:styleId="174">
    <w:name w:val="标题 3 Char1"/>
    <w:semiHidden/>
    <w:qFormat/>
    <w:uiPriority w:val="0"/>
    <w:rPr>
      <w:rFonts w:ascii="Calibri" w:hAnsi="Calibri" w:eastAsia="宋体"/>
      <w:b/>
      <w:kern w:val="2"/>
      <w:sz w:val="32"/>
    </w:rPr>
  </w:style>
  <w:style w:type="character" w:customStyle="1" w:styleId="175">
    <w:name w:val="正文文本 Char_0"/>
    <w:link w:val="176"/>
    <w:qFormat/>
    <w:uiPriority w:val="0"/>
    <w:rPr>
      <w:kern w:val="2"/>
      <w:sz w:val="21"/>
      <w:szCs w:val="24"/>
    </w:rPr>
  </w:style>
  <w:style w:type="paragraph" w:customStyle="1" w:styleId="176">
    <w:name w:val="正文文本_0"/>
    <w:basedOn w:val="88"/>
    <w:link w:val="175"/>
    <w:qFormat/>
    <w:uiPriority w:val="0"/>
    <w:pPr>
      <w:spacing w:after="120"/>
    </w:pPr>
  </w:style>
  <w:style w:type="character" w:customStyle="1" w:styleId="177">
    <w:name w:val="批注主题 Char"/>
    <w:link w:val="60"/>
    <w:qFormat/>
    <w:uiPriority w:val="0"/>
    <w:rPr>
      <w:rFonts w:ascii="宋体"/>
      <w:b/>
      <w:bCs/>
      <w:sz w:val="28"/>
      <w:lang w:bidi="ar-SA"/>
    </w:rPr>
  </w:style>
  <w:style w:type="character" w:customStyle="1" w:styleId="178">
    <w:name w:val="明显引用 Char2"/>
    <w:qFormat/>
    <w:uiPriority w:val="30"/>
    <w:rPr>
      <w:b/>
      <w:bCs/>
      <w:i/>
      <w:iCs/>
      <w:color w:val="4F81BD"/>
      <w:kern w:val="2"/>
      <w:sz w:val="21"/>
      <w:szCs w:val="24"/>
    </w:rPr>
  </w:style>
  <w:style w:type="character" w:customStyle="1" w:styleId="179">
    <w:name w:val="页脚 Char"/>
    <w:link w:val="38"/>
    <w:qFormat/>
    <w:uiPriority w:val="99"/>
    <w:rPr>
      <w:rFonts w:eastAsia="宋体"/>
      <w:kern w:val="2"/>
      <w:sz w:val="18"/>
      <w:lang w:val="en-US" w:eastAsia="zh-CN" w:bidi="ar-SA"/>
    </w:rPr>
  </w:style>
  <w:style w:type="character" w:customStyle="1" w:styleId="180">
    <w:name w:val="脚注文本 Char2"/>
    <w:semiHidden/>
    <w:qFormat/>
    <w:uiPriority w:val="99"/>
    <w:rPr>
      <w:rFonts w:ascii="宋体"/>
      <w:sz w:val="18"/>
      <w:szCs w:val="18"/>
    </w:rPr>
  </w:style>
  <w:style w:type="paragraph" w:customStyle="1" w:styleId="181">
    <w:name w:val="Normal_0"/>
    <w:qFormat/>
    <w:uiPriority w:val="0"/>
    <w:rPr>
      <w:rFonts w:ascii="Times New Roman" w:hAnsi="Times New Roman" w:eastAsia="宋体" w:cs="Times New Roman"/>
      <w:sz w:val="24"/>
      <w:szCs w:val="24"/>
      <w:lang w:val="en-US" w:eastAsia="zh-CN" w:bidi="ar-SA"/>
    </w:rPr>
  </w:style>
  <w:style w:type="paragraph" w:customStyle="1" w:styleId="182">
    <w:name w:val="列出段落1"/>
    <w:basedOn w:val="1"/>
    <w:unhideWhenUsed/>
    <w:qFormat/>
    <w:uiPriority w:val="99"/>
    <w:pPr>
      <w:ind w:firstLine="420" w:firstLineChars="200"/>
    </w:pPr>
    <w:rPr>
      <w:rFonts w:ascii="Calibri" w:hAnsi="Calibri"/>
      <w:kern w:val="2"/>
      <w:sz w:val="21"/>
      <w:szCs w:val="22"/>
    </w:rPr>
  </w:style>
  <w:style w:type="paragraph" w:customStyle="1" w:styleId="183">
    <w:name w:val="Char"/>
    <w:basedOn w:val="1"/>
    <w:qFormat/>
    <w:uiPriority w:val="0"/>
    <w:rPr>
      <w:rFonts w:ascii="Tahoma" w:hAnsi="Tahoma"/>
    </w:rPr>
  </w:style>
  <w:style w:type="paragraph" w:customStyle="1" w:styleId="184">
    <w:name w:val="font9"/>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5">
    <w:name w:val="样式 宋体 五号 行距: 单倍行距"/>
    <w:basedOn w:val="1"/>
    <w:qFormat/>
    <w:uiPriority w:val="0"/>
    <w:pPr>
      <w:adjustRightInd w:val="0"/>
      <w:jc w:val="left"/>
      <w:textAlignment w:val="baseline"/>
    </w:pPr>
    <w:rPr>
      <w:rFonts w:hAnsi="宋体"/>
      <w:sz w:val="21"/>
    </w:rPr>
  </w:style>
  <w:style w:type="paragraph" w:customStyle="1" w:styleId="186">
    <w:name w:val="xl43"/>
    <w:basedOn w:val="1"/>
    <w:qFormat/>
    <w:uiPriority w:val="0"/>
    <w:pPr>
      <w:widowControl/>
      <w:spacing w:before="100" w:beforeAutospacing="1" w:after="100" w:afterAutospacing="1"/>
      <w:jc w:val="left"/>
      <w:textAlignment w:val="top"/>
    </w:pPr>
    <w:rPr>
      <w:rFonts w:hAnsi="宋体"/>
      <w:szCs w:val="24"/>
    </w:rPr>
  </w:style>
  <w:style w:type="paragraph" w:customStyle="1" w:styleId="187">
    <w:name w:val="列出段落2"/>
    <w:basedOn w:val="1"/>
    <w:qFormat/>
    <w:uiPriority w:val="0"/>
    <w:pPr>
      <w:ind w:firstLine="420" w:firstLineChars="200"/>
    </w:pPr>
    <w:rPr>
      <w:rFonts w:ascii="Calibri" w:hAnsi="Calibri"/>
      <w:kern w:val="2"/>
      <w:sz w:val="21"/>
      <w:szCs w:val="22"/>
    </w:rPr>
  </w:style>
  <w:style w:type="paragraph" w:customStyle="1" w:styleId="18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89">
    <w:name w:val="Char Char2 Char"/>
    <w:basedOn w:val="1"/>
    <w:qFormat/>
    <w:uiPriority w:val="0"/>
    <w:rPr>
      <w:rFonts w:ascii="Tahoma" w:hAnsi="Tahoma"/>
      <w:kern w:val="2"/>
      <w:szCs w:val="24"/>
    </w:rPr>
  </w:style>
  <w:style w:type="paragraph" w:customStyle="1" w:styleId="190">
    <w:name w:val="正文（缩进）"/>
    <w:basedOn w:val="1"/>
    <w:qFormat/>
    <w:uiPriority w:val="0"/>
    <w:pPr>
      <w:widowControl/>
      <w:spacing w:before="156" w:after="156"/>
      <w:ind w:firstLine="480" w:firstLineChars="200"/>
      <w:jc w:val="left"/>
    </w:pPr>
    <w:rPr>
      <w:rFonts w:ascii="仿宋_GB2312" w:eastAsia="仿宋_GB2312"/>
      <w:szCs w:val="24"/>
    </w:rPr>
  </w:style>
  <w:style w:type="paragraph" w:styleId="191">
    <w:name w:val="List Paragraph"/>
    <w:basedOn w:val="1"/>
    <w:qFormat/>
    <w:uiPriority w:val="0"/>
    <w:pPr>
      <w:ind w:firstLine="420" w:firstLineChars="200"/>
    </w:pPr>
    <w:rPr>
      <w:rFonts w:ascii="Calibri" w:hAnsi="Calibri"/>
      <w:szCs w:val="22"/>
    </w:rPr>
  </w:style>
  <w:style w:type="paragraph" w:customStyle="1" w:styleId="192">
    <w:name w:val="_Style 4"/>
    <w:basedOn w:val="1"/>
    <w:qFormat/>
    <w:uiPriority w:val="0"/>
    <w:rPr>
      <w:rFonts w:ascii="Times New Roman"/>
      <w:kern w:val="2"/>
      <w:sz w:val="21"/>
      <w:szCs w:val="24"/>
    </w:rPr>
  </w:style>
  <w:style w:type="paragraph" w:customStyle="1" w:styleId="19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5">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196">
    <w:name w:val="_Style 8"/>
    <w:basedOn w:val="1"/>
    <w:qFormat/>
    <w:uiPriority w:val="0"/>
  </w:style>
  <w:style w:type="paragraph" w:customStyle="1" w:styleId="197">
    <w:name w:val="样式 标题 2 + Times New Roman 四号 非加粗 段前: 5 磅 段后: 0 磅 行距: 固定值 20..."/>
    <w:basedOn w:val="3"/>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198">
    <w:name w:val="cjk"/>
    <w:basedOn w:val="1"/>
    <w:qFormat/>
    <w:uiPriority w:val="0"/>
    <w:pPr>
      <w:widowControl/>
      <w:spacing w:before="100" w:beforeAutospacing="1"/>
      <w:jc w:val="left"/>
    </w:pPr>
    <w:rPr>
      <w:rFonts w:hAnsi="宋体" w:cs="宋体"/>
      <w:color w:val="000000"/>
      <w:sz w:val="28"/>
      <w:szCs w:val="28"/>
    </w:rPr>
  </w:style>
  <w:style w:type="paragraph" w:customStyle="1" w:styleId="19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0">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2">
    <w:name w:val="p0"/>
    <w:basedOn w:val="1"/>
    <w:qFormat/>
    <w:uiPriority w:val="0"/>
    <w:pPr>
      <w:widowControl/>
    </w:pPr>
    <w:rPr>
      <w:rFonts w:ascii="Times New Roman"/>
      <w:sz w:val="21"/>
      <w:szCs w:val="21"/>
    </w:rPr>
  </w:style>
  <w:style w:type="paragraph" w:customStyle="1" w:styleId="20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4">
    <w:name w:val="font8"/>
    <w:basedOn w:val="1"/>
    <w:qFormat/>
    <w:uiPriority w:val="0"/>
    <w:pPr>
      <w:widowControl/>
      <w:spacing w:before="100" w:beforeAutospacing="1" w:after="100" w:afterAutospacing="1"/>
      <w:jc w:val="left"/>
    </w:pPr>
    <w:rPr>
      <w:rFonts w:hint="eastAsia" w:hAnsi="宋体"/>
      <w:color w:val="000000"/>
      <w:sz w:val="32"/>
      <w:szCs w:val="32"/>
    </w:rPr>
  </w:style>
  <w:style w:type="paragraph" w:customStyle="1" w:styleId="205">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06">
    <w:name w:val="Char10 Char Char Char Char Char Char Char Char Char"/>
    <w:basedOn w:val="1"/>
    <w:next w:val="1"/>
    <w:qFormat/>
    <w:uiPriority w:val="0"/>
    <w:rPr>
      <w:rFonts w:ascii="Calibri" w:hAnsi="Calibri"/>
      <w:kern w:val="2"/>
      <w:sz w:val="21"/>
      <w:szCs w:val="22"/>
    </w:rPr>
  </w:style>
  <w:style w:type="paragraph" w:customStyle="1" w:styleId="207">
    <w:name w:val="Normal_2"/>
    <w:qFormat/>
    <w:uiPriority w:val="0"/>
    <w:rPr>
      <w:rFonts w:ascii="Times New Roman" w:hAnsi="Times New Roman" w:eastAsia="Times New Roman" w:cs="Times New Roman"/>
      <w:sz w:val="24"/>
      <w:szCs w:val="24"/>
      <w:lang w:val="en-US" w:eastAsia="zh-CN" w:bidi="ar-SA"/>
    </w:rPr>
  </w:style>
  <w:style w:type="paragraph" w:customStyle="1" w:styleId="208">
    <w:name w:val="列出段落3"/>
    <w:basedOn w:val="1"/>
    <w:unhideWhenUsed/>
    <w:qFormat/>
    <w:uiPriority w:val="99"/>
    <w:pPr>
      <w:ind w:firstLine="420" w:firstLineChars="200"/>
    </w:pPr>
    <w:rPr>
      <w:rFonts w:ascii="Calibri" w:hAnsi="Calibri"/>
      <w:kern w:val="2"/>
      <w:sz w:val="21"/>
      <w:szCs w:val="22"/>
    </w:rPr>
  </w:style>
  <w:style w:type="paragraph" w:customStyle="1" w:styleId="209">
    <w:name w:val="font5"/>
    <w:basedOn w:val="1"/>
    <w:qFormat/>
    <w:uiPriority w:val="0"/>
    <w:pPr>
      <w:widowControl/>
      <w:spacing w:before="100" w:beforeAutospacing="1" w:after="100" w:afterAutospacing="1"/>
      <w:jc w:val="left"/>
    </w:pPr>
    <w:rPr>
      <w:rFonts w:hint="eastAsia" w:hAnsi="宋体"/>
      <w:sz w:val="18"/>
      <w:szCs w:val="18"/>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1">
    <w:name w:val="普通(网站)_0"/>
    <w:basedOn w:val="88"/>
    <w:qFormat/>
    <w:uiPriority w:val="0"/>
    <w:pPr>
      <w:widowControl/>
      <w:spacing w:before="100" w:beforeAutospacing="1" w:after="100" w:afterAutospacing="1"/>
      <w:jc w:val="left"/>
    </w:pPr>
    <w:rPr>
      <w:rFonts w:ascii="宋体" w:hAnsi="宋体"/>
      <w:kern w:val="0"/>
      <w:sz w:val="24"/>
    </w:rPr>
  </w:style>
  <w:style w:type="paragraph" w:customStyle="1" w:styleId="212">
    <w:name w:val="图1"/>
    <w:basedOn w:val="1"/>
    <w:next w:val="1"/>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4">
    <w:name w:val="D&amp;L"/>
    <w:basedOn w:val="39"/>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16">
    <w:name w:val="font7"/>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17">
    <w:name w:val="简单回函地址"/>
    <w:basedOn w:val="1"/>
    <w:qFormat/>
    <w:uiPriority w:val="0"/>
    <w:rPr>
      <w:rFonts w:ascii="Calibri" w:hAnsi="Calibri"/>
      <w:kern w:val="2"/>
      <w:sz w:val="21"/>
      <w:szCs w:val="22"/>
    </w:rPr>
  </w:style>
  <w:style w:type="paragraph" w:customStyle="1" w:styleId="21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19">
    <w:name w:val="Char Char Char Char Char Char Char1 Char"/>
    <w:basedOn w:val="1"/>
    <w:qFormat/>
    <w:uiPriority w:val="0"/>
    <w:rPr>
      <w:rFonts w:ascii="Tahoma" w:hAnsi="Tahoma"/>
    </w:rPr>
  </w:style>
  <w:style w:type="paragraph" w:customStyle="1" w:styleId="22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1">
    <w:name w:val="font6"/>
    <w:basedOn w:val="1"/>
    <w:qFormat/>
    <w:uiPriority w:val="0"/>
    <w:pPr>
      <w:widowControl/>
      <w:spacing w:before="100" w:beforeAutospacing="1" w:after="100" w:afterAutospacing="1"/>
      <w:jc w:val="left"/>
    </w:pPr>
    <w:rPr>
      <w:rFonts w:hint="eastAsia" w:hAnsi="宋体"/>
      <w:sz w:val="18"/>
      <w:szCs w:val="18"/>
    </w:rPr>
  </w:style>
  <w:style w:type="paragraph" w:customStyle="1" w:styleId="222">
    <w:name w:val="Default Paragraph Char Char Char Char"/>
    <w:basedOn w:val="1"/>
    <w:next w:val="1"/>
    <w:qFormat/>
    <w:uiPriority w:val="0"/>
    <w:pPr>
      <w:widowControl/>
      <w:spacing w:line="360" w:lineRule="auto"/>
      <w:jc w:val="left"/>
    </w:pPr>
    <w:rPr>
      <w:lang w:eastAsia="en-US"/>
    </w:rPr>
  </w:style>
  <w:style w:type="paragraph" w:customStyle="1" w:styleId="223">
    <w:name w:val="Char Char Char Char Char Char"/>
    <w:basedOn w:val="1"/>
    <w:qFormat/>
    <w:uiPriority w:val="0"/>
    <w:rPr>
      <w:rFonts w:ascii="Tahoma" w:hAnsi="Tahoma"/>
      <w:kern w:val="2"/>
    </w:rPr>
  </w:style>
  <w:style w:type="paragraph" w:customStyle="1" w:styleId="22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26">
    <w:name w:val="Normal_1"/>
    <w:qFormat/>
    <w:uiPriority w:val="0"/>
    <w:rPr>
      <w:rFonts w:ascii="Times New Roman" w:hAnsi="Times New Roman" w:eastAsia="Times New Roman" w:cs="Times New Roman"/>
      <w:sz w:val="24"/>
      <w:szCs w:val="24"/>
      <w:lang w:val="en-US" w:eastAsia="zh-CN" w:bidi="ar-SA"/>
    </w:rPr>
  </w:style>
  <w:style w:type="paragraph" w:customStyle="1" w:styleId="227">
    <w:name w:val="Char Char Char Char Char Char1 Char"/>
    <w:basedOn w:val="1"/>
    <w:qFormat/>
    <w:uiPriority w:val="0"/>
    <w:pPr>
      <w:widowControl/>
      <w:spacing w:after="160" w:line="240" w:lineRule="exact"/>
      <w:jc w:val="left"/>
    </w:pPr>
    <w:rPr>
      <w:rFonts w:ascii="Calibri" w:hAnsi="Calibri"/>
      <w:kern w:val="2"/>
      <w:sz w:val="21"/>
      <w:szCs w:val="24"/>
    </w:rPr>
  </w:style>
  <w:style w:type="paragraph" w:customStyle="1" w:styleId="228">
    <w:name w:val="范本目录"/>
    <w:basedOn w:val="1"/>
    <w:qFormat/>
    <w:uiPriority w:val="0"/>
    <w:pPr>
      <w:adjustRightInd w:val="0"/>
      <w:snapToGrid w:val="0"/>
      <w:spacing w:beforeLines="20" w:afterLines="20" w:line="540" w:lineRule="exact"/>
      <w:jc w:val="center"/>
    </w:pPr>
    <w:rPr>
      <w:rFonts w:hAnsi="宋体"/>
      <w:b/>
      <w:bCs/>
      <w:sz w:val="36"/>
      <w:szCs w:val="24"/>
    </w:rPr>
  </w:style>
  <w:style w:type="paragraph" w:customStyle="1" w:styleId="229">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0">
    <w:name w:val="TOC Heading"/>
    <w:basedOn w:val="2"/>
    <w:next w:val="1"/>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1">
    <w:name w:val="xl31"/>
    <w:basedOn w:val="1"/>
    <w:qFormat/>
    <w:uiPriority w:val="0"/>
    <w:pPr>
      <w:widowControl/>
      <w:spacing w:before="100" w:beforeAutospacing="1" w:after="100" w:afterAutospacing="1"/>
      <w:jc w:val="center"/>
    </w:pPr>
    <w:rPr>
      <w:rFonts w:hAnsi="宋体"/>
      <w:b/>
      <w:bCs/>
      <w:sz w:val="28"/>
      <w:szCs w:val="28"/>
    </w:rPr>
  </w:style>
  <w:style w:type="paragraph" w:customStyle="1" w:styleId="232">
    <w:name w:val="Char Char Char Char Char"/>
    <w:basedOn w:val="1"/>
    <w:qFormat/>
    <w:uiPriority w:val="0"/>
    <w:rPr>
      <w:rFonts w:ascii="Tahoma" w:hAnsi="Tahoma"/>
      <w:kern w:val="2"/>
    </w:rPr>
  </w:style>
  <w:style w:type="paragraph" w:customStyle="1" w:styleId="233">
    <w:name w:val="二级标题"/>
    <w:basedOn w:val="1"/>
    <w:next w:val="234"/>
    <w:qFormat/>
    <w:uiPriority w:val="0"/>
    <w:pPr>
      <w:tabs>
        <w:tab w:val="left" w:pos="992"/>
      </w:tabs>
      <w:ind w:left="992" w:hanging="567"/>
      <w:outlineLvl w:val="1"/>
    </w:pPr>
    <w:rPr>
      <w:rFonts w:ascii="黑体" w:eastAsia="黑体"/>
      <w:sz w:val="28"/>
      <w:szCs w:val="24"/>
    </w:rPr>
  </w:style>
  <w:style w:type="paragraph" w:customStyle="1" w:styleId="234">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5">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xl42"/>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38">
    <w:name w:val="Char Char Char Char Char Char Char Char Char1 Char Char Char1 Char Char Char Char Char Char"/>
    <w:basedOn w:val="1"/>
    <w:qFormat/>
    <w:uiPriority w:val="0"/>
    <w:pPr>
      <w:spacing w:line="360" w:lineRule="auto"/>
      <w:ind w:firstLine="200" w:firstLineChars="200"/>
    </w:pPr>
    <w:rPr>
      <w:rFonts w:ascii="Times New Roman"/>
      <w:kern w:val="2"/>
      <w:sz w:val="21"/>
      <w:szCs w:val="24"/>
    </w:rPr>
  </w:style>
  <w:style w:type="paragraph" w:customStyle="1" w:styleId="239">
    <w:name w:val="Char Char Char Char"/>
    <w:basedOn w:val="1"/>
    <w:qFormat/>
    <w:uiPriority w:val="0"/>
    <w:pPr>
      <w:widowControl/>
      <w:spacing w:after="160" w:line="240" w:lineRule="exact"/>
      <w:jc w:val="left"/>
    </w:pPr>
    <w:rPr>
      <w:rFonts w:ascii="Verdana" w:hAnsi="Verdana" w:eastAsia="Times New Roman"/>
      <w:sz w:val="20"/>
      <w:lang w:eastAsia="en-US"/>
    </w:rPr>
  </w:style>
  <w:style w:type="paragraph" w:customStyle="1" w:styleId="2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1">
    <w:name w:val="样式3"/>
    <w:basedOn w:val="1"/>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2">
    <w:name w:val="内文正文"/>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3">
    <w:name w:val="xl45"/>
    <w:basedOn w:val="1"/>
    <w:qFormat/>
    <w:uiPriority w:val="0"/>
    <w:pPr>
      <w:widowControl/>
      <w:spacing w:before="100" w:beforeAutospacing="1" w:after="100" w:afterAutospacing="1"/>
      <w:jc w:val="left"/>
      <w:textAlignment w:val="top"/>
    </w:pPr>
    <w:rPr>
      <w:rFonts w:hAnsi="宋体"/>
      <w:szCs w:val="24"/>
    </w:rPr>
  </w:style>
  <w:style w:type="paragraph" w:customStyle="1" w:styleId="244">
    <w:name w:val="正文无缩进"/>
    <w:basedOn w:val="1"/>
    <w:qFormat/>
    <w:uiPriority w:val="0"/>
    <w:pPr>
      <w:spacing w:line="600" w:lineRule="exact"/>
    </w:pPr>
    <w:rPr>
      <w:rFonts w:ascii="仿宋_GB2312" w:hAnsi="宋体" w:eastAsia="仿宋_GB2312"/>
      <w:kern w:val="2"/>
      <w:sz w:val="31"/>
      <w:szCs w:val="28"/>
    </w:rPr>
  </w:style>
  <w:style w:type="paragraph" w:customStyle="1" w:styleId="245">
    <w:name w:val="Char Char Char Char Char Char1"/>
    <w:basedOn w:val="1"/>
    <w:qFormat/>
    <w:uiPriority w:val="0"/>
    <w:rPr>
      <w:rFonts w:ascii="Tahoma" w:hAnsi="Tahoma"/>
      <w:kern w:val="2"/>
    </w:rPr>
  </w:style>
  <w:style w:type="paragraph" w:customStyle="1" w:styleId="246">
    <w:name w:val="样式 标题 3 + (中文) 黑体 小四 非加粗 段前: 7.8 磅 段后: 0 磅 行距: 固定值 20 磅"/>
    <w:basedOn w:val="4"/>
    <w:qFormat/>
    <w:uiPriority w:val="0"/>
    <w:pPr>
      <w:spacing w:line="400" w:lineRule="exact"/>
      <w:jc w:val="both"/>
    </w:pPr>
    <w:rPr>
      <w:rFonts w:ascii="Calibri" w:hAnsi="Calibri" w:eastAsia="黑体" w:cs="宋体"/>
      <w:b w:val="0"/>
      <w:bCs w:val="0"/>
      <w:szCs w:val="20"/>
    </w:rPr>
  </w:style>
  <w:style w:type="paragraph" w:customStyle="1" w:styleId="247">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48">
    <w:name w:val="Char Char Char Char1"/>
    <w:basedOn w:val="1"/>
    <w:qFormat/>
    <w:uiPriority w:val="0"/>
    <w:pPr>
      <w:snapToGrid w:val="0"/>
      <w:spacing w:line="360" w:lineRule="auto"/>
      <w:ind w:firstLine="200" w:firstLineChars="200"/>
    </w:pPr>
    <w:rPr>
      <w:rFonts w:ascii="Calibri" w:hAnsi="Calibri" w:eastAsia="仿宋_GB2312"/>
      <w:kern w:val="2"/>
      <w:szCs w:val="22"/>
    </w:rPr>
  </w:style>
  <w:style w:type="paragraph" w:customStyle="1" w:styleId="249">
    <w:name w:val="段落1 Char"/>
    <w:basedOn w:val="32"/>
    <w:qFormat/>
    <w:uiPriority w:val="0"/>
    <w:pPr>
      <w:spacing w:line="360" w:lineRule="auto"/>
    </w:pPr>
    <w:rPr>
      <w:rFonts w:ascii="Times New Roman" w:hAnsi="Times New Roman" w:cs="Courier New"/>
      <w:sz w:val="24"/>
      <w:szCs w:val="21"/>
    </w:rPr>
  </w:style>
  <w:style w:type="paragraph" w:customStyle="1" w:styleId="25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1">
    <w:name w:val="Char1"/>
    <w:basedOn w:val="1"/>
    <w:next w:val="1"/>
    <w:qFormat/>
    <w:uiPriority w:val="0"/>
    <w:pPr>
      <w:widowControl/>
      <w:spacing w:line="360" w:lineRule="auto"/>
      <w:jc w:val="left"/>
    </w:pPr>
    <w:rPr>
      <w:lang w:eastAsia="en-US"/>
    </w:rPr>
  </w:style>
  <w:style w:type="paragraph" w:customStyle="1" w:styleId="252">
    <w:name w:val="MsoNormal"/>
    <w:basedOn w:val="181"/>
    <w:qFormat/>
    <w:uiPriority w:val="0"/>
    <w:rPr>
      <w:rFonts w:ascii="Calibri" w:hAnsi="Calibri" w:eastAsia="Calibri"/>
      <w:sz w:val="21"/>
    </w:rPr>
  </w:style>
  <w:style w:type="paragraph" w:customStyle="1" w:styleId="253">
    <w:name w:val="Table Paragraph"/>
    <w:basedOn w:val="1"/>
    <w:qFormat/>
    <w:uiPriority w:val="1"/>
    <w:pPr>
      <w:jc w:val="left"/>
    </w:pPr>
    <w:rPr>
      <w:rFonts w:ascii="Calibri" w:hAnsi="Calibri"/>
      <w:sz w:val="22"/>
      <w:lang w:eastAsia="en-US"/>
    </w:rPr>
  </w:style>
  <w:style w:type="paragraph" w:customStyle="1" w:styleId="254">
    <w:name w:val="xl44"/>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55">
    <w:name w:val="首行缩进"/>
    <w:basedOn w:val="1"/>
    <w:qFormat/>
    <w:uiPriority w:val="99"/>
    <w:pPr>
      <w:ind w:firstLine="480" w:firstLineChars="200"/>
    </w:pPr>
    <w:rPr>
      <w:rFonts w:ascii="Calibri" w:hAnsi="Calibri" w:cs="Calibri"/>
      <w:kern w:val="2"/>
      <w:sz w:val="21"/>
      <w:szCs w:val="21"/>
      <w:lang w:val="zh-CN"/>
    </w:rPr>
  </w:style>
  <w:style w:type="paragraph" w:customStyle="1" w:styleId="25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5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基本文字 Char"/>
    <w:basedOn w:val="1"/>
    <w:qFormat/>
    <w:uiPriority w:val="0"/>
    <w:pPr>
      <w:spacing w:before="156" w:line="400" w:lineRule="atLeast"/>
      <w:ind w:firstLine="540" w:firstLineChars="225"/>
    </w:pPr>
  </w:style>
  <w:style w:type="paragraph" w:customStyle="1" w:styleId="2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0">
    <w:name w:val="目录文字"/>
    <w:basedOn w:val="1"/>
    <w:qFormat/>
    <w:uiPriority w:val="0"/>
    <w:pPr>
      <w:widowControl/>
      <w:spacing w:line="480" w:lineRule="auto"/>
      <w:jc w:val="left"/>
    </w:pPr>
    <w:rPr>
      <w:rFonts w:hAnsi="宋体"/>
    </w:rPr>
  </w:style>
  <w:style w:type="paragraph" w:customStyle="1" w:styleId="261">
    <w:name w:val="普通 (Web)"/>
    <w:basedOn w:val="1"/>
    <w:qFormat/>
    <w:uiPriority w:val="0"/>
    <w:pPr>
      <w:widowControl/>
      <w:spacing w:before="100" w:beforeAutospacing="1" w:after="100" w:afterAutospacing="1"/>
      <w:jc w:val="left"/>
    </w:pPr>
    <w:rPr>
      <w:rFonts w:hAnsi="宋体"/>
      <w:szCs w:val="24"/>
    </w:rPr>
  </w:style>
  <w:style w:type="paragraph" w:customStyle="1" w:styleId="262">
    <w:name w:val="一级标题"/>
    <w:basedOn w:val="1"/>
    <w:next w:val="233"/>
    <w:qFormat/>
    <w:uiPriority w:val="0"/>
    <w:pPr>
      <w:tabs>
        <w:tab w:val="left" w:pos="425"/>
      </w:tabs>
      <w:spacing w:afterLines="100"/>
      <w:ind w:left="850" w:hanging="425"/>
      <w:outlineLvl w:val="0"/>
    </w:pPr>
    <w:rPr>
      <w:rFonts w:ascii="黑体" w:eastAsia="黑体"/>
      <w:sz w:val="30"/>
      <w:szCs w:val="28"/>
    </w:rPr>
  </w:style>
  <w:style w:type="paragraph" w:customStyle="1" w:styleId="263">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4">
    <w:name w:val="Char Char Char Char Char1"/>
    <w:basedOn w:val="1"/>
    <w:qFormat/>
    <w:uiPriority w:val="0"/>
    <w:rPr>
      <w:rFonts w:ascii="Tahoma" w:hAnsi="Tahoma"/>
    </w:rPr>
  </w:style>
  <w:style w:type="paragraph" w:customStyle="1" w:styleId="26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66">
    <w:name w:val="段落2"/>
    <w:basedOn w:val="1"/>
    <w:qFormat/>
    <w:uiPriority w:val="0"/>
    <w:pPr>
      <w:spacing w:line="360" w:lineRule="auto"/>
      <w:ind w:firstLine="480" w:firstLineChars="200"/>
    </w:pPr>
    <w:rPr>
      <w:rFonts w:ascii="Calibri" w:hAnsi="Calibri" w:cs="Courier New"/>
      <w:kern w:val="2"/>
      <w:szCs w:val="21"/>
    </w:rPr>
  </w:style>
  <w:style w:type="paragraph" w:customStyle="1" w:styleId="267">
    <w:name w:val="Normal_3"/>
    <w:qFormat/>
    <w:uiPriority w:val="0"/>
    <w:rPr>
      <w:rFonts w:ascii="Times New Roman" w:hAnsi="Times New Roman" w:eastAsia="Times New Roman" w:cs="Times New Roman"/>
      <w:sz w:val="24"/>
      <w:szCs w:val="24"/>
      <w:lang w:val="en-US" w:eastAsia="zh-CN" w:bidi="ar-SA"/>
    </w:rPr>
  </w:style>
  <w:style w:type="paragraph" w:customStyle="1" w:styleId="268">
    <w:name w:val="样式1"/>
    <w:basedOn w:val="1"/>
    <w:qFormat/>
    <w:uiPriority w:val="0"/>
    <w:pPr>
      <w:tabs>
        <w:tab w:val="left" w:pos="709"/>
      </w:tabs>
      <w:adjustRightInd w:val="0"/>
      <w:ind w:left="709" w:hanging="709"/>
      <w:textAlignment w:val="baseline"/>
    </w:pPr>
    <w:rPr>
      <w:rFonts w:hAnsi="宋体"/>
    </w:rPr>
  </w:style>
  <w:style w:type="paragraph" w:customStyle="1" w:styleId="26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1">
    <w:name w:val="Char10 Char Char Char Char Char Char Char Char Char1"/>
    <w:basedOn w:val="1"/>
    <w:next w:val="1"/>
    <w:qFormat/>
    <w:uiPriority w:val="0"/>
    <w:rPr>
      <w:rFonts w:ascii="Calibri" w:hAnsi="Calibri"/>
      <w:kern w:val="2"/>
      <w:sz w:val="21"/>
      <w:szCs w:val="22"/>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3">
    <w:name w:val="目录"/>
    <w:basedOn w:val="1"/>
    <w:qFormat/>
    <w:uiPriority w:val="0"/>
    <w:pPr>
      <w:widowControl/>
      <w:jc w:val="center"/>
    </w:pPr>
    <w:rPr>
      <w:b/>
      <w:sz w:val="36"/>
    </w:rPr>
  </w:style>
  <w:style w:type="paragraph" w:customStyle="1" w:styleId="274">
    <w:name w:val="SUR-需求定义-第4级"/>
    <w:basedOn w:val="5"/>
    <w:next w:val="1"/>
    <w:qFormat/>
    <w:uiPriority w:val="0"/>
    <w:pPr>
      <w:tabs>
        <w:tab w:val="left" w:pos="1080"/>
      </w:tabs>
      <w:spacing w:before="0" w:after="0"/>
      <w:ind w:left="-283" w:firstLine="283"/>
      <w:jc w:val="left"/>
    </w:pPr>
    <w:rPr>
      <w:rFonts w:cs="Arial"/>
      <w:b w:val="0"/>
      <w:color w:val="0000FF"/>
      <w:sz w:val="24"/>
      <w:szCs w:val="24"/>
    </w:rPr>
  </w:style>
  <w:style w:type="character" w:customStyle="1" w:styleId="275">
    <w:name w:val="日期 字符"/>
    <w:qFormat/>
    <w:locked/>
    <w:uiPriority w:val="0"/>
    <w:rPr>
      <w:rFonts w:eastAsia="宋体"/>
      <w:b/>
      <w:kern w:val="2"/>
      <w:sz w:val="28"/>
      <w:lang w:val="en-US" w:eastAsia="zh-CN" w:bidi="ar-SA"/>
    </w:rPr>
  </w:style>
  <w:style w:type="character" w:customStyle="1" w:styleId="276">
    <w:name w:val="页眉 字符"/>
    <w:qFormat/>
    <w:uiPriority w:val="0"/>
    <w:rPr>
      <w:kern w:val="2"/>
      <w:sz w:val="18"/>
      <w:szCs w:val="18"/>
    </w:rPr>
  </w:style>
  <w:style w:type="character" w:customStyle="1" w:styleId="277">
    <w:name w:val="正文文本 (2) + 粗体"/>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78">
    <w:name w:val="样式 标题 2 + 宋体 五号 行距: 单倍行距"/>
    <w:basedOn w:val="3"/>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7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0">
    <w:name w:val="xl65"/>
    <w:basedOn w:val="1"/>
    <w:qFormat/>
    <w:uiPriority w:val="0"/>
    <w:pPr>
      <w:widowControl/>
      <w:spacing w:before="100" w:beforeAutospacing="1" w:after="100" w:afterAutospacing="1"/>
      <w:jc w:val="center"/>
    </w:pPr>
    <w:rPr>
      <w:rFonts w:hAnsi="宋体" w:cs="宋体"/>
      <w:szCs w:val="24"/>
    </w:rPr>
  </w:style>
  <w:style w:type="paragraph" w:customStyle="1" w:styleId="28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4E5BED-3F4B-4DF0-BAB7-2B0097AF9FC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60</Pages>
  <Words>30391</Words>
  <Characters>32835</Characters>
  <Lines>157</Lines>
  <Paragraphs>44</Paragraphs>
  <TotalTime>13</TotalTime>
  <ScaleCrop>false</ScaleCrop>
  <LinksUpToDate>false</LinksUpToDate>
  <CharactersWithSpaces>33617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2021-10-18T06:40:00Z</dcterms:created>
  <dc:creator>省直科</dc:creator>
  <cp:lastModifiedBy>Administrator</cp:lastModifiedBy>
  <cp:lastPrinted>2021-06-17T00:52:00Z</cp:lastPrinted>
  <dcterms:modified xsi:type="dcterms:W3CDTF">2023-02-27T06:03:42Z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D7DF7977CD9F406F8D7F28D13D3062D2</vt:lpwstr>
  </property>
</Properties>
</file>