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highlight w:val="none"/>
        </w:rPr>
      </w:pPr>
    </w:p>
    <w:p>
      <w:pPr>
        <w:tabs>
          <w:tab w:val="left" w:pos="315"/>
          <w:tab w:val="left" w:pos="8820"/>
        </w:tabs>
        <w:spacing w:line="500" w:lineRule="exact"/>
        <w:ind w:right="278" w:rightChars="127"/>
        <w:jc w:val="center"/>
        <w:rPr>
          <w:rFonts w:hAnsi="宋体"/>
          <w:b/>
          <w:bCs/>
          <w:color w:val="000000"/>
          <w:sz w:val="52"/>
          <w:szCs w:val="52"/>
          <w:highlight w:val="none"/>
        </w:rPr>
      </w:pPr>
    </w:p>
    <w:p>
      <w:pPr>
        <w:tabs>
          <w:tab w:val="left" w:pos="315"/>
          <w:tab w:val="left" w:pos="8820"/>
        </w:tabs>
        <w:spacing w:line="500" w:lineRule="exact"/>
        <w:ind w:right="278" w:rightChars="127"/>
        <w:jc w:val="center"/>
        <w:rPr>
          <w:rFonts w:hAnsi="宋体"/>
          <w:b/>
          <w:bCs/>
          <w:color w:val="000000"/>
          <w:sz w:val="52"/>
          <w:szCs w:val="52"/>
          <w:highlight w:val="none"/>
        </w:rPr>
      </w:pPr>
    </w:p>
    <w:p>
      <w:pPr>
        <w:tabs>
          <w:tab w:val="left" w:pos="315"/>
          <w:tab w:val="left" w:pos="8820"/>
        </w:tabs>
        <w:spacing w:line="500" w:lineRule="exact"/>
        <w:ind w:right="278" w:rightChars="127"/>
        <w:jc w:val="center"/>
        <w:rPr>
          <w:rFonts w:hAnsi="宋体"/>
          <w:b/>
          <w:bCs/>
          <w:color w:val="000000"/>
          <w:sz w:val="52"/>
          <w:szCs w:val="52"/>
          <w:highlight w:val="none"/>
        </w:rPr>
      </w:pPr>
    </w:p>
    <w:p>
      <w:pPr>
        <w:tabs>
          <w:tab w:val="left" w:pos="315"/>
          <w:tab w:val="left" w:pos="8820"/>
        </w:tabs>
        <w:spacing w:line="500" w:lineRule="exact"/>
        <w:ind w:right="278" w:rightChars="127"/>
        <w:jc w:val="center"/>
        <w:rPr>
          <w:rFonts w:hint="eastAsia" w:ascii="黑体" w:hAnsi="黑体" w:eastAsia="黑体"/>
          <w:b/>
          <w:bCs/>
          <w:color w:val="000000"/>
          <w:spacing w:val="-40"/>
          <w:sz w:val="52"/>
          <w:szCs w:val="52"/>
          <w:highlight w:val="none"/>
          <w:lang w:eastAsia="zh-CN"/>
        </w:rPr>
      </w:pPr>
      <w:r>
        <w:rPr>
          <w:rFonts w:hint="eastAsia" w:ascii="黑体" w:hAnsi="黑体" w:eastAsia="黑体"/>
          <w:b/>
          <w:bCs/>
          <w:color w:val="000000"/>
          <w:spacing w:val="-40"/>
          <w:sz w:val="52"/>
          <w:szCs w:val="52"/>
          <w:highlight w:val="none"/>
        </w:rPr>
        <w:t>合肥经济技术开发区公用事业</w:t>
      </w:r>
      <w:r>
        <w:rPr>
          <w:rFonts w:hint="eastAsia" w:ascii="黑体" w:hAnsi="黑体" w:eastAsia="黑体"/>
          <w:b/>
          <w:bCs/>
          <w:color w:val="000000"/>
          <w:spacing w:val="-40"/>
          <w:sz w:val="52"/>
          <w:szCs w:val="52"/>
          <w:highlight w:val="none"/>
          <w:lang w:eastAsia="zh-CN"/>
        </w:rPr>
        <w:t>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color w:val="000000"/>
          <w:sz w:val="52"/>
          <w:szCs w:val="52"/>
          <w:highlight w:val="none"/>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jc w:val="left"/>
        <w:rPr>
          <w:rFonts w:hint="eastAsia"/>
          <w:b/>
          <w:sz w:val="30"/>
          <w:szCs w:val="30"/>
          <w:highlight w:val="none"/>
        </w:rPr>
      </w:pPr>
      <w:r>
        <w:rPr>
          <w:rFonts w:hint="eastAsia" w:hAnsi="DotumChe" w:cs="宋体"/>
          <w:b/>
          <w:color w:val="000000"/>
          <w:spacing w:val="20"/>
          <w:sz w:val="32"/>
          <w:szCs w:val="32"/>
          <w:highlight w:val="none"/>
        </w:rPr>
        <w:t>项目名称：</w:t>
      </w:r>
      <w:r>
        <w:rPr>
          <w:rFonts w:hint="eastAsia"/>
          <w:b/>
          <w:sz w:val="30"/>
          <w:szCs w:val="30"/>
          <w:highlight w:val="none"/>
        </w:rPr>
        <w:t>公用公司管养范围公众责任保险采购</w:t>
      </w:r>
    </w:p>
    <w:p>
      <w:pPr>
        <w:autoSpaceDE w:val="0"/>
        <w:autoSpaceDN w:val="0"/>
        <w:adjustRightInd w:val="0"/>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项目编号：GYGSZB-202</w:t>
      </w:r>
      <w:r>
        <w:rPr>
          <w:rFonts w:hint="eastAsia" w:hAnsi="DotumChe" w:cs="宋体"/>
          <w:b/>
          <w:color w:val="000000"/>
          <w:spacing w:val="20"/>
          <w:sz w:val="32"/>
          <w:szCs w:val="32"/>
          <w:highlight w:val="none"/>
          <w:lang w:val="en-US" w:eastAsia="zh-CN"/>
        </w:rPr>
        <w:t>3009</w:t>
      </w:r>
    </w:p>
    <w:p>
      <w:pPr>
        <w:tabs>
          <w:tab w:val="left" w:pos="2410"/>
        </w:tabs>
        <w:autoSpaceDE w:val="0"/>
        <w:autoSpaceDN w:val="0"/>
        <w:adjustRightInd w:val="0"/>
        <w:snapToGrid w:val="0"/>
        <w:spacing w:line="360" w:lineRule="auto"/>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3</w:t>
      </w:r>
      <w:r>
        <w:rPr>
          <w:rFonts w:hint="eastAsia" w:hAnsi="DotumChe" w:cs="宋体"/>
          <w:b/>
          <w:color w:val="000000"/>
          <w:spacing w:val="20"/>
          <w:sz w:val="32"/>
          <w:szCs w:val="32"/>
          <w:highlight w:val="none"/>
        </w:rPr>
        <w:t>年</w:t>
      </w:r>
      <w:r>
        <w:rPr>
          <w:rFonts w:hint="eastAsia" w:hAnsi="DotumChe" w:cs="宋体"/>
          <w:b/>
          <w:color w:val="000000"/>
          <w:spacing w:val="20"/>
          <w:sz w:val="32"/>
          <w:szCs w:val="32"/>
          <w:highlight w:val="none"/>
          <w:lang w:val="en-US" w:eastAsia="zh-CN"/>
        </w:rPr>
        <w:t>3</w:t>
      </w:r>
      <w:r>
        <w:rPr>
          <w:rFonts w:hint="eastAsia" w:hAnsi="DotumChe" w:cs="宋体"/>
          <w:b/>
          <w:color w:val="000000"/>
          <w:spacing w:val="20"/>
          <w:sz w:val="32"/>
          <w:szCs w:val="32"/>
          <w:highlight w:val="none"/>
        </w:rPr>
        <w:t>月</w:t>
      </w:r>
    </w:p>
    <w:p>
      <w:pPr>
        <w:pStyle w:val="23"/>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0"/>
        <w:tabs>
          <w:tab w:val="right" w:leader="dot" w:pos="9628"/>
        </w:tabs>
        <w:spacing w:line="360" w:lineRule="auto"/>
        <w:rPr>
          <w:rStyle w:val="71"/>
          <w:color w:val="000000"/>
          <w:sz w:val="28"/>
          <w:szCs w:val="28"/>
          <w:highlight w:val="none"/>
        </w:rPr>
      </w:pPr>
      <w:bookmarkStart w:id="0" w:name="_Hlt519045295"/>
      <w:bookmarkEnd w:id="0"/>
      <w:bookmarkStart w:id="1" w:name="_Hlt526418134"/>
      <w:bookmarkEnd w:id="1"/>
      <w:bookmarkStart w:id="2" w:name="_Hlt533241375"/>
      <w:bookmarkEnd w:id="2"/>
      <w:r>
        <w:rPr>
          <w:rStyle w:val="71"/>
          <w:rFonts w:hint="eastAsia"/>
          <w:color w:val="000000"/>
          <w:sz w:val="28"/>
          <w:szCs w:val="28"/>
          <w:highlight w:val="none"/>
        </w:rPr>
        <w:t>一、投标公告......... .... .... .... ..................... .........3</w:t>
      </w:r>
    </w:p>
    <w:p>
      <w:pPr>
        <w:pStyle w:val="40"/>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1"/>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0"/>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1"/>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1"/>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1"/>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0"/>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1"/>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1"/>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1"/>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1"/>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0"/>
        <w:tabs>
          <w:tab w:val="right" w:leader="dot" w:pos="8965"/>
        </w:tabs>
        <w:rPr>
          <w:rStyle w:val="71"/>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1"/>
          <w:rFonts w:hint="eastAsia" w:hAnsi="宋体"/>
          <w:color w:val="000000"/>
          <w:sz w:val="28"/>
          <w:szCs w:val="28"/>
          <w:highlight w:val="none"/>
        </w:rPr>
        <w:t>四</w:t>
      </w:r>
      <w:r>
        <w:rPr>
          <w:rStyle w:val="71"/>
          <w:rFonts w:hAnsi="宋体"/>
          <w:color w:val="000000"/>
          <w:sz w:val="28"/>
          <w:szCs w:val="28"/>
          <w:highlight w:val="none"/>
        </w:rPr>
        <w:t>、</w:t>
      </w:r>
      <w:r>
        <w:rPr>
          <w:rStyle w:val="71"/>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0"/>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1"/>
          <w:rFonts w:hint="eastAsia" w:hAnsi="宋体"/>
          <w:color w:val="000000"/>
          <w:sz w:val="28"/>
          <w:szCs w:val="28"/>
          <w:highlight w:val="none"/>
        </w:rPr>
        <w:t>五、采购</w:t>
      </w:r>
      <w:bookmarkStart w:id="3" w:name="_Hlt527617983"/>
      <w:bookmarkStart w:id="4" w:name="_Hlt527617982"/>
      <w:r>
        <w:rPr>
          <w:rStyle w:val="71"/>
          <w:rFonts w:hint="eastAsia" w:hAnsi="宋体"/>
          <w:color w:val="000000"/>
          <w:sz w:val="28"/>
          <w:szCs w:val="28"/>
          <w:highlight w:val="none"/>
        </w:rPr>
        <w:t>需</w:t>
      </w:r>
      <w:bookmarkEnd w:id="3"/>
      <w:bookmarkEnd w:id="4"/>
      <w:r>
        <w:rPr>
          <w:rStyle w:val="71"/>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color w:val="000000"/>
          <w:sz w:val="28"/>
          <w:szCs w:val="28"/>
          <w:highlight w:val="none"/>
        </w:rPr>
        <w:t>32</w:t>
      </w:r>
    </w:p>
    <w:p>
      <w:pPr>
        <w:pStyle w:val="40"/>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1"/>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37</w:t>
      </w:r>
      <w:r>
        <w:rPr>
          <w:rFonts w:hint="eastAsia"/>
          <w:color w:val="000000"/>
          <w:sz w:val="28"/>
          <w:szCs w:val="28"/>
          <w:highlight w:val="none"/>
        </w:rPr>
        <w:fldChar w:fldCharType="end"/>
      </w:r>
    </w:p>
    <w:p>
      <w:pPr>
        <w:pStyle w:val="40"/>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0"/>
        <w:tabs>
          <w:tab w:val="right" w:leader="dot" w:pos="9628"/>
        </w:tabs>
        <w:spacing w:before="0" w:after="0" w:line="480" w:lineRule="auto"/>
        <w:jc w:val="center"/>
        <w:outlineLvl w:val="0"/>
        <w:rPr>
          <w:rFonts w:hAnsi="宋体" w:cs="宋体"/>
          <w:bCs/>
          <w:caps w:val="0"/>
          <w:color w:val="000000"/>
          <w:sz w:val="28"/>
          <w:highlight w:val="none"/>
        </w:rPr>
      </w:pPr>
    </w:p>
    <w:p>
      <w:pPr>
        <w:pStyle w:val="40"/>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rPr>
        <w:t>合肥经济技术开发区公用事业</w:t>
      </w:r>
      <w:r>
        <w:rPr>
          <w:rFonts w:hint="eastAsia" w:hAnsi="宋体"/>
          <w:color w:val="000000"/>
          <w:szCs w:val="18"/>
          <w:highlight w:val="none"/>
          <w:lang w:eastAsia="zh-CN"/>
        </w:rPr>
        <w:t>发展有限公司</w:t>
      </w:r>
      <w:r>
        <w:rPr>
          <w:rFonts w:hint="eastAsia" w:hAnsi="宋体"/>
          <w:color w:val="000000"/>
          <w:szCs w:val="18"/>
          <w:highlight w:val="none"/>
        </w:rPr>
        <w:t xml:space="preserve"> （以下简称公用公司）</w:t>
      </w:r>
      <w:r>
        <w:rPr>
          <w:rFonts w:hint="eastAsia" w:hAnsi="宋体" w:cs="宋体"/>
          <w:color w:val="000000"/>
          <w:highlight w:val="none"/>
        </w:rPr>
        <w:t>“公用公司管养范围公众责任保险采购”项目进行公开招标，欢迎符合条件的单位参加报价。</w:t>
      </w:r>
    </w:p>
    <w:p>
      <w:pPr>
        <w:autoSpaceDE w:val="0"/>
        <w:autoSpaceDN w:val="0"/>
        <w:adjustRightInd w:val="0"/>
        <w:spacing w:line="360" w:lineRule="auto"/>
        <w:ind w:firstLine="215" w:firstLineChars="9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1、项目编号：GYGSZB-202</w:t>
      </w:r>
      <w:r>
        <w:rPr>
          <w:rFonts w:hint="eastAsia" w:hAnsi="宋体"/>
          <w:color w:val="000000"/>
          <w:szCs w:val="18"/>
          <w:highlight w:val="none"/>
          <w:lang w:val="en-US" w:eastAsia="zh-CN"/>
        </w:rPr>
        <w:t>3009</w:t>
      </w:r>
    </w:p>
    <w:p>
      <w:pPr>
        <w:autoSpaceDE w:val="0"/>
        <w:autoSpaceDN w:val="0"/>
        <w:adjustRightInd w:val="0"/>
        <w:spacing w:line="360" w:lineRule="auto"/>
        <w:ind w:firstLine="438" w:firstLineChars="200"/>
        <w:jc w:val="left"/>
        <w:rPr>
          <w:rFonts w:hAnsi="宋体" w:cs="宋体"/>
          <w:color w:val="000000"/>
          <w:highlight w:val="none"/>
        </w:rPr>
      </w:pPr>
      <w:r>
        <w:rPr>
          <w:rFonts w:hint="eastAsia" w:hAnsi="宋体"/>
          <w:color w:val="000000"/>
          <w:szCs w:val="18"/>
          <w:highlight w:val="none"/>
        </w:rPr>
        <w:t>2、项目名称：</w:t>
      </w:r>
      <w:r>
        <w:rPr>
          <w:rFonts w:hint="eastAsia" w:hAnsi="宋体" w:cs="宋体"/>
          <w:color w:val="000000"/>
          <w:highlight w:val="none"/>
        </w:rPr>
        <w:t>公用公司管养范围公众责任保险采购</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3、项目地点：合肥经开区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4、项目单位：合肥经济技术开发区公用事业</w:t>
      </w:r>
      <w:r>
        <w:rPr>
          <w:rFonts w:hint="eastAsia" w:hAnsi="宋体"/>
          <w:color w:val="000000"/>
          <w:szCs w:val="18"/>
          <w:highlight w:val="none"/>
          <w:lang w:eastAsia="zh-CN"/>
        </w:rPr>
        <w:t>发展有限公司</w:t>
      </w:r>
      <w:r>
        <w:rPr>
          <w:rFonts w:hint="eastAsia" w:hAnsi="宋体"/>
          <w:color w:val="000000"/>
          <w:szCs w:val="18"/>
          <w:highlight w:val="none"/>
        </w:rPr>
        <w:t xml:space="preserve"> （以下简称公用公司）</w:t>
      </w:r>
    </w:p>
    <w:p>
      <w:pPr>
        <w:autoSpaceDE w:val="0"/>
        <w:autoSpaceDN w:val="0"/>
        <w:adjustRightInd w:val="0"/>
        <w:spacing w:line="360" w:lineRule="auto"/>
        <w:ind w:firstLine="438" w:firstLineChars="200"/>
        <w:rPr>
          <w:color w:val="000000"/>
          <w:szCs w:val="18"/>
          <w:highlight w:val="none"/>
        </w:rPr>
      </w:pPr>
      <w:r>
        <w:rPr>
          <w:rFonts w:hint="eastAsia" w:hAnsi="宋体"/>
          <w:color w:val="000000"/>
          <w:szCs w:val="18"/>
          <w:highlight w:val="none"/>
        </w:rPr>
        <w:t>5、项目概况：公用公司管养范围内市政设施、两湖、停车场、泵站等公众责任保险采购，对因公共设施由于意外事故造成第三者人身伤亡或财产损失进行承保。</w:t>
      </w:r>
      <w:r>
        <w:rPr>
          <w:rFonts w:hint="eastAsia"/>
          <w:color w:val="000000"/>
          <w:szCs w:val="18"/>
          <w:highlight w:val="none"/>
        </w:rPr>
        <w:t>具体采购需求见后附件。</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int="eastAsia" w:hAnsi="宋体" w:eastAsia="宋体"/>
          <w:color w:val="000000"/>
          <w:szCs w:val="18"/>
          <w:highlight w:val="none"/>
          <w:lang w:val="en-US" w:eastAsia="zh-CN"/>
        </w:rPr>
      </w:pPr>
      <w:r>
        <w:rPr>
          <w:rFonts w:hint="eastAsia" w:hAnsi="宋体"/>
          <w:color w:val="000000"/>
          <w:szCs w:val="18"/>
          <w:highlight w:val="none"/>
        </w:rPr>
        <w:t>7、项目预算：</w:t>
      </w:r>
      <w:r>
        <w:rPr>
          <w:rFonts w:hint="eastAsia" w:hAnsi="宋体"/>
          <w:color w:val="000000"/>
          <w:szCs w:val="18"/>
          <w:highlight w:val="none"/>
          <w:lang w:val="en-US" w:eastAsia="zh-CN"/>
        </w:rPr>
        <w:t>14.75</w:t>
      </w:r>
      <w:r>
        <w:rPr>
          <w:rFonts w:hint="eastAsia" w:hAnsi="宋体"/>
          <w:color w:val="000000"/>
          <w:szCs w:val="18"/>
          <w:highlight w:val="none"/>
        </w:rPr>
        <w:t>万</w:t>
      </w:r>
      <w:r>
        <w:rPr>
          <w:rFonts w:hint="eastAsia" w:hAnsi="宋体"/>
          <w:color w:val="000000"/>
          <w:szCs w:val="18"/>
          <w:highlight w:val="none"/>
          <w:lang w:val="en-US" w:eastAsia="zh-CN"/>
        </w:rPr>
        <w:t>元</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8、项目类别：服务类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（二）供应商资格</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1、符合《中华人民共和国政府采购法》第二十二条规定；</w:t>
      </w:r>
    </w:p>
    <w:p>
      <w:pPr>
        <w:autoSpaceDE w:val="0"/>
        <w:autoSpaceDN w:val="0"/>
        <w:adjustRightInd w:val="0"/>
        <w:spacing w:line="360" w:lineRule="auto"/>
        <w:ind w:left="438" w:leftChars="200" w:firstLine="0" w:firstLineChars="0"/>
        <w:jc w:val="left"/>
        <w:rPr>
          <w:rFonts w:hAnsi="宋体"/>
          <w:color w:val="000000"/>
          <w:szCs w:val="18"/>
          <w:highlight w:val="none"/>
        </w:rPr>
      </w:pPr>
      <w:r>
        <w:rPr>
          <w:rFonts w:hAnsi="宋体"/>
          <w:color w:val="000000"/>
          <w:szCs w:val="18"/>
          <w:highlight w:val="none"/>
        </w:rPr>
        <w:t>2、</w:t>
      </w:r>
      <w:r>
        <w:rPr>
          <w:rFonts w:hint="eastAsia" w:hAnsi="宋体"/>
          <w:color w:val="000000"/>
          <w:szCs w:val="18"/>
          <w:highlight w:val="none"/>
        </w:rPr>
        <w:t>具有中国银行保险监督管理委员会（或原保监会）颁发的《经营保险业务许可证》</w:t>
      </w:r>
      <w:r>
        <w:rPr>
          <w:rFonts w:hint="eastAsia" w:hAnsi="宋体"/>
          <w:color w:val="000000"/>
          <w:szCs w:val="18"/>
          <w:highlight w:val="none"/>
          <w:lang w:eastAsia="zh-CN"/>
        </w:rPr>
        <w:t>；</w:t>
      </w:r>
      <w:r>
        <w:rPr>
          <w:rFonts w:hint="eastAsia" w:hAnsi="宋体"/>
          <w:color w:val="000000"/>
          <w:szCs w:val="18"/>
          <w:highlight w:val="none"/>
          <w:lang w:val="en-US" w:eastAsia="zh-CN"/>
        </w:rPr>
        <w:t>3、</w:t>
      </w:r>
      <w:r>
        <w:rPr>
          <w:rFonts w:hAnsi="宋体"/>
          <w:color w:val="000000"/>
          <w:szCs w:val="18"/>
          <w:highlight w:val="none"/>
        </w:rPr>
        <w:t>同一保险公司只能有一家投标人参加投标；</w:t>
      </w:r>
    </w:p>
    <w:p>
      <w:pPr>
        <w:autoSpaceDE w:val="0"/>
        <w:autoSpaceDN w:val="0"/>
        <w:adjustRightInd w:val="0"/>
        <w:spacing w:line="360" w:lineRule="auto"/>
        <w:ind w:left="438" w:leftChars="200" w:firstLine="0" w:firstLineChars="0"/>
        <w:jc w:val="left"/>
        <w:rPr>
          <w:rFonts w:hAnsi="宋体"/>
          <w:color w:val="000000"/>
          <w:szCs w:val="18"/>
          <w:highlight w:val="none"/>
        </w:rPr>
      </w:pPr>
      <w:r>
        <w:rPr>
          <w:rFonts w:hint="eastAsia" w:hAnsi="宋体"/>
          <w:color w:val="000000"/>
          <w:szCs w:val="18"/>
          <w:highlight w:val="none"/>
          <w:lang w:val="en-US" w:eastAsia="zh-CN"/>
        </w:rPr>
        <w:t>4、</w:t>
      </w:r>
      <w:r>
        <w:rPr>
          <w:rFonts w:hint="eastAsia" w:hAnsi="宋体"/>
          <w:color w:val="000000"/>
          <w:szCs w:val="18"/>
          <w:highlight w:val="none"/>
        </w:rPr>
        <w:t>2019年以来，具有承保过类似公众责任险服务业绩。</w:t>
      </w:r>
    </w:p>
    <w:p>
      <w:pPr>
        <w:widowControl/>
        <w:spacing w:line="360" w:lineRule="auto"/>
        <w:ind w:firstLine="438" w:firstLineChars="200"/>
        <w:rPr>
          <w:rFonts w:hAnsi="宋体"/>
          <w:color w:val="000000"/>
          <w:szCs w:val="21"/>
          <w:highlight w:val="none"/>
        </w:rPr>
      </w:pPr>
      <w:r>
        <w:rPr>
          <w:rFonts w:hint="eastAsia" w:hAnsi="宋体"/>
          <w:color w:val="000000"/>
          <w:szCs w:val="21"/>
          <w:highlight w:val="none"/>
          <w:lang w:val="en-US" w:eastAsia="zh-CN"/>
        </w:rPr>
        <w:t>5</w:t>
      </w:r>
      <w:r>
        <w:rPr>
          <w:rFonts w:hAnsi="宋体"/>
          <w:color w:val="000000"/>
          <w:szCs w:val="21"/>
          <w:highlight w:val="none"/>
        </w:rPr>
        <w:t>、本项目不接受联合体投标；</w:t>
      </w:r>
    </w:p>
    <w:p>
      <w:pPr>
        <w:widowControl/>
        <w:spacing w:line="360" w:lineRule="auto"/>
        <w:ind w:firstLine="438" w:firstLineChars="200"/>
        <w:rPr>
          <w:rFonts w:hAnsi="宋体"/>
          <w:color w:val="000000"/>
          <w:szCs w:val="18"/>
          <w:highlight w:val="none"/>
        </w:rPr>
      </w:pPr>
      <w:r>
        <w:rPr>
          <w:rFonts w:hint="eastAsia" w:hAnsi="宋体"/>
          <w:color w:val="000000"/>
          <w:szCs w:val="18"/>
          <w:highlight w:val="none"/>
          <w:lang w:val="en-US" w:eastAsia="zh-CN"/>
        </w:rPr>
        <w:t>6</w:t>
      </w:r>
      <w:r>
        <w:rPr>
          <w:rFonts w:hint="eastAsia" w:hAnsi="宋体"/>
          <w:color w:val="000000"/>
          <w:szCs w:val="18"/>
          <w:highlight w:val="none"/>
        </w:rPr>
        <w:t>、供应商存在以下不良信用记录情形之一的，不得推荐为成交候选供应商，不得确定为成交供应商：</w:t>
      </w:r>
    </w:p>
    <w:p>
      <w:pPr>
        <w:widowControl/>
        <w:spacing w:line="360" w:lineRule="auto"/>
        <w:ind w:firstLine="438" w:firstLineChars="200"/>
        <w:rPr>
          <w:rFonts w:hAnsi="宋体"/>
          <w:color w:val="000000"/>
          <w:szCs w:val="18"/>
          <w:highlight w:val="none"/>
        </w:rPr>
      </w:pPr>
      <w:r>
        <w:rPr>
          <w:rFonts w:hint="eastAsia" w:hAnsi="宋体"/>
          <w:color w:val="000000"/>
          <w:szCs w:val="18"/>
          <w:highlight w:val="none"/>
        </w:rPr>
        <w:t>（1）供应商被人民法院列入失信被执行人的；</w:t>
      </w:r>
    </w:p>
    <w:p>
      <w:pPr>
        <w:widowControl/>
        <w:spacing w:line="360" w:lineRule="auto"/>
        <w:ind w:firstLine="438" w:firstLineChars="200"/>
        <w:rPr>
          <w:rFonts w:hAnsi="宋体"/>
          <w:color w:val="000000"/>
          <w:szCs w:val="18"/>
          <w:highlight w:val="none"/>
        </w:rPr>
      </w:pPr>
      <w:r>
        <w:rPr>
          <w:rFonts w:hint="eastAsia" w:hAnsi="宋体"/>
          <w:color w:val="000000"/>
          <w:szCs w:val="18"/>
          <w:highlight w:val="none"/>
        </w:rPr>
        <w:t>（2）供应商或其法定代表人或拟派项目经理（项目负责人）被人民检察院列入行贿犯罪档案的；</w:t>
      </w:r>
    </w:p>
    <w:p>
      <w:pPr>
        <w:widowControl/>
        <w:spacing w:line="360" w:lineRule="auto"/>
        <w:ind w:firstLine="438" w:firstLineChars="200"/>
        <w:rPr>
          <w:rFonts w:hAnsi="宋体"/>
          <w:color w:val="000000"/>
          <w:szCs w:val="18"/>
          <w:highlight w:val="none"/>
        </w:rPr>
      </w:pPr>
      <w:r>
        <w:rPr>
          <w:rFonts w:hint="eastAsia" w:hAnsi="宋体"/>
          <w:color w:val="000000"/>
          <w:szCs w:val="18"/>
          <w:highlight w:val="none"/>
        </w:rPr>
        <w:t>（3）供应商被工商行政管理部门列入企业经营异常名录的；</w:t>
      </w:r>
    </w:p>
    <w:p>
      <w:pPr>
        <w:widowControl/>
        <w:spacing w:line="360" w:lineRule="auto"/>
        <w:ind w:firstLine="438" w:firstLineChars="200"/>
        <w:rPr>
          <w:rFonts w:hAnsi="宋体"/>
          <w:color w:val="000000"/>
          <w:szCs w:val="18"/>
          <w:highlight w:val="none"/>
        </w:rPr>
      </w:pPr>
      <w:r>
        <w:rPr>
          <w:rFonts w:hint="eastAsia" w:hAnsi="宋体"/>
          <w:color w:val="000000"/>
          <w:szCs w:val="18"/>
          <w:highlight w:val="none"/>
        </w:rPr>
        <w:t>（4）供应商被税务部门列入重大税收违法案件当事人名单的；</w:t>
      </w:r>
    </w:p>
    <w:p>
      <w:pPr>
        <w:widowControl/>
        <w:spacing w:line="360" w:lineRule="auto"/>
        <w:ind w:firstLine="438" w:firstLineChars="200"/>
        <w:rPr>
          <w:rFonts w:hAnsi="宋体"/>
          <w:color w:val="000000"/>
          <w:szCs w:val="18"/>
          <w:highlight w:val="none"/>
        </w:rPr>
      </w:pPr>
      <w:r>
        <w:rPr>
          <w:rFonts w:hint="eastAsia" w:hAnsi="宋体"/>
          <w:color w:val="000000"/>
          <w:szCs w:val="18"/>
          <w:highlight w:val="none"/>
        </w:rPr>
        <w:t>（5）供应商被政府采购监管部门列入政府采购严重违法失信行为记录名单的。</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1、开标时间：</w:t>
      </w:r>
      <w:r>
        <w:rPr>
          <w:rFonts w:hAnsi="宋体"/>
          <w:color w:val="000000"/>
          <w:szCs w:val="18"/>
          <w:highlight w:val="none"/>
        </w:rPr>
        <w:t>202</w:t>
      </w:r>
      <w:r>
        <w:rPr>
          <w:rFonts w:hint="eastAsia" w:hAnsi="宋体"/>
          <w:color w:val="000000"/>
          <w:szCs w:val="18"/>
          <w:highlight w:val="none"/>
          <w:lang w:val="en-US" w:eastAsia="zh-CN"/>
        </w:rPr>
        <w:t>3</w:t>
      </w:r>
      <w:r>
        <w:rPr>
          <w:rFonts w:hint="eastAsia" w:hAnsi="宋体"/>
          <w:color w:val="000000"/>
          <w:szCs w:val="18"/>
          <w:highlight w:val="none"/>
        </w:rPr>
        <w:t>年</w:t>
      </w:r>
      <w:r>
        <w:rPr>
          <w:rFonts w:hint="eastAsia" w:hAnsi="宋体"/>
          <w:color w:val="000000"/>
          <w:szCs w:val="18"/>
          <w:highlight w:val="none"/>
          <w:lang w:val="en-US" w:eastAsia="zh-CN"/>
        </w:rPr>
        <w:t>3</w:t>
      </w:r>
      <w:r>
        <w:rPr>
          <w:rFonts w:hint="eastAsia" w:hAnsi="宋体"/>
          <w:color w:val="000000"/>
          <w:szCs w:val="18"/>
          <w:highlight w:val="none"/>
        </w:rPr>
        <w:t>月</w:t>
      </w:r>
      <w:r>
        <w:rPr>
          <w:rFonts w:hint="eastAsia" w:hAnsi="宋体"/>
          <w:color w:val="000000"/>
          <w:szCs w:val="18"/>
          <w:highlight w:val="none"/>
          <w:lang w:val="en-US" w:eastAsia="zh-CN"/>
        </w:rPr>
        <w:t>13</w:t>
      </w:r>
      <w:r>
        <w:rPr>
          <w:rFonts w:hint="eastAsia" w:hAnsi="宋体"/>
          <w:color w:val="000000"/>
          <w:szCs w:val="18"/>
          <w:highlight w:val="none"/>
        </w:rPr>
        <w:t>日</w:t>
      </w:r>
      <w:r>
        <w:rPr>
          <w:rFonts w:hAnsi="宋体"/>
          <w:color w:val="000000"/>
          <w:szCs w:val="18"/>
          <w:highlight w:val="none"/>
        </w:rPr>
        <w:t>1</w:t>
      </w:r>
      <w:r>
        <w:rPr>
          <w:rFonts w:hint="eastAsia" w:hAnsi="宋体"/>
          <w:color w:val="000000"/>
          <w:szCs w:val="18"/>
          <w:highlight w:val="none"/>
        </w:rPr>
        <w:t>0：0</w:t>
      </w:r>
      <w:r>
        <w:rPr>
          <w:rFonts w:hAnsi="宋体"/>
          <w:color w:val="000000"/>
          <w:szCs w:val="18"/>
          <w:highlight w:val="none"/>
        </w:rPr>
        <w:t>0</w:t>
      </w:r>
    </w:p>
    <w:p>
      <w:pPr>
        <w:spacing w:line="360" w:lineRule="auto"/>
        <w:ind w:firstLine="435"/>
        <w:rPr>
          <w:rFonts w:hAnsi="宋体" w:cs="@仿宋_GB2312"/>
          <w:kern w:val="2"/>
          <w:szCs w:val="18"/>
          <w:highlight w:val="none"/>
        </w:rPr>
      </w:pPr>
      <w:r>
        <w:rPr>
          <w:rFonts w:hint="eastAsia" w:hAnsi="宋体"/>
          <w:color w:val="000000"/>
          <w:szCs w:val="18"/>
          <w:highlight w:val="none"/>
        </w:rPr>
        <w:t>2、开标地点：</w:t>
      </w:r>
      <w:r>
        <w:rPr>
          <w:rFonts w:hint="eastAsia" w:cs="@仿宋_GB2312" w:asciiTheme="minorEastAsia" w:hAnsiTheme="minorEastAsia" w:eastAsiaTheme="minorEastAsia"/>
          <w:kern w:val="2"/>
          <w:szCs w:val="24"/>
          <w:highlight w:val="none"/>
        </w:rPr>
        <w:t>合肥经济技术开发区繁华大道2</w:t>
      </w:r>
      <w:r>
        <w:rPr>
          <w:rFonts w:cs="@仿宋_GB2312" w:asciiTheme="minorEastAsia" w:hAnsiTheme="minorEastAsia" w:eastAsiaTheme="minorEastAsia"/>
          <w:kern w:val="2"/>
          <w:szCs w:val="24"/>
          <w:highlight w:val="none"/>
        </w:rPr>
        <w:t>66号合肥经济技术开发区公用事业</w:t>
      </w:r>
      <w:r>
        <w:rPr>
          <w:rFonts w:hint="eastAsia" w:cs="@仿宋_GB2312" w:asciiTheme="minorEastAsia" w:hAnsiTheme="minorEastAsia" w:eastAsiaTheme="minorEastAsia"/>
          <w:kern w:val="2"/>
          <w:szCs w:val="24"/>
          <w:highlight w:val="none"/>
          <w:lang w:eastAsia="zh-CN"/>
        </w:rPr>
        <w:t>发展有限公司</w:t>
      </w:r>
      <w:r>
        <w:rPr>
          <w:rFonts w:hint="eastAsia" w:cs="@仿宋_GB2312" w:asciiTheme="minorEastAsia" w:hAnsiTheme="minorEastAsia" w:eastAsiaTheme="minorEastAsia"/>
          <w:kern w:val="2"/>
          <w:szCs w:val="24"/>
          <w:highlight w:val="none"/>
        </w:rPr>
        <w:t>3</w:t>
      </w:r>
      <w:r>
        <w:rPr>
          <w:rFonts w:cs="@仿宋_GB2312" w:asciiTheme="minorEastAsia" w:hAnsiTheme="minorEastAsia" w:eastAsiaTheme="minorEastAsia"/>
          <w:kern w:val="2"/>
          <w:szCs w:val="24"/>
          <w:highlight w:val="none"/>
        </w:rPr>
        <w:t>14开标室</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（一）项目单位：合肥经济技术开发区公用事业</w:t>
      </w:r>
      <w:r>
        <w:rPr>
          <w:rFonts w:hint="eastAsia" w:hAnsi="宋体"/>
          <w:color w:val="000000"/>
          <w:szCs w:val="18"/>
          <w:highlight w:val="none"/>
          <w:lang w:eastAsia="zh-CN"/>
        </w:rPr>
        <w:t>发展有限公司</w:t>
      </w:r>
      <w:r>
        <w:rPr>
          <w:rFonts w:hint="eastAsia" w:hAnsi="宋体"/>
          <w:color w:val="000000"/>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地址：合肥经济技术开发区繁华大道266号合肥经济技术开发区公用事业</w:t>
      </w:r>
      <w:r>
        <w:rPr>
          <w:rFonts w:hint="eastAsia" w:hAnsi="宋体"/>
          <w:color w:val="000000"/>
          <w:szCs w:val="18"/>
          <w:highlight w:val="none"/>
          <w:lang w:eastAsia="zh-CN"/>
        </w:rPr>
        <w:t>发展有限公司</w:t>
      </w:r>
      <w:r>
        <w:rPr>
          <w:rFonts w:hAnsi="宋体"/>
          <w:color w:val="000000"/>
          <w:szCs w:val="18"/>
          <w:highlight w:val="none"/>
        </w:rPr>
        <w:t>303</w:t>
      </w:r>
      <w:r>
        <w:rPr>
          <w:rFonts w:hint="eastAsia" w:hAnsi="宋体"/>
          <w:color w:val="000000"/>
          <w:szCs w:val="18"/>
          <w:highlight w:val="none"/>
        </w:rPr>
        <w:t>综合部</w:t>
      </w:r>
    </w:p>
    <w:p>
      <w:pPr>
        <w:widowControl/>
        <w:spacing w:line="440" w:lineRule="exact"/>
        <w:ind w:firstLine="438" w:firstLineChars="200"/>
        <w:jc w:val="left"/>
        <w:rPr>
          <w:rFonts w:hAnsi="宋体" w:cs="宋体"/>
          <w:highlight w:val="none"/>
        </w:rPr>
      </w:pPr>
      <w:r>
        <w:rPr>
          <w:rFonts w:hint="eastAsia" w:hAnsi="宋体" w:cs="宋体"/>
          <w:highlight w:val="none"/>
        </w:rPr>
        <w:t>项目采购联系人：</w:t>
      </w:r>
      <w:r>
        <w:rPr>
          <w:rFonts w:hint="eastAsia" w:hAnsi="宋体" w:cs="宋体"/>
          <w:highlight w:val="none"/>
          <w:lang w:val="en-US" w:eastAsia="zh-CN"/>
        </w:rPr>
        <w:t>张</w:t>
      </w:r>
      <w:r>
        <w:rPr>
          <w:rFonts w:hint="eastAsia" w:hAnsi="宋体" w:cs="宋体"/>
          <w:highlight w:val="none"/>
        </w:rPr>
        <w:t>工  电话：0551-638</w:t>
      </w:r>
      <w:r>
        <w:rPr>
          <w:rFonts w:hAnsi="宋体" w:cs="宋体"/>
          <w:highlight w:val="none"/>
        </w:rPr>
        <w:t>11</w:t>
      </w:r>
      <w:r>
        <w:rPr>
          <w:rFonts w:hint="eastAsia" w:hAnsi="宋体" w:cs="宋体"/>
          <w:highlight w:val="none"/>
        </w:rPr>
        <w:t>071</w:t>
      </w:r>
    </w:p>
    <w:p>
      <w:pPr>
        <w:widowControl/>
        <w:spacing w:line="440" w:lineRule="exact"/>
        <w:ind w:firstLine="438" w:firstLineChars="200"/>
        <w:jc w:val="left"/>
        <w:rPr>
          <w:rFonts w:hAnsi="宋体" w:cs="宋体"/>
          <w:highlight w:val="none"/>
        </w:rPr>
      </w:pPr>
      <w:r>
        <w:rPr>
          <w:rFonts w:hint="eastAsia" w:hAnsi="宋体" w:cs="宋体"/>
          <w:highlight w:val="none"/>
        </w:rPr>
        <w:t>现场勘查联系人：王工  电话：0551-63816652</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s="宋体"/>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438" w:firstLineChars="200"/>
        <w:jc w:val="left"/>
        <w:rPr>
          <w:rFonts w:hAnsi="宋体"/>
          <w:color w:val="000000"/>
          <w:szCs w:val="18"/>
          <w:highlight w:val="none"/>
        </w:rPr>
      </w:pP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8106829"/>
            <w:bookmarkStart w:id="9" w:name="_Toc200336330"/>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5"/>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5"/>
              <w:widowControl w:val="0"/>
              <w:spacing w:before="0" w:beforeAutospacing="0" w:after="0" w:afterAutospacing="0"/>
              <w:jc w:val="both"/>
              <w:rPr>
                <w:rFonts w:hint="eastAsia" w:eastAsia="宋体"/>
                <w:b w:val="0"/>
                <w:bCs w:val="0"/>
                <w:color w:val="000000"/>
                <w:sz w:val="24"/>
                <w:szCs w:val="18"/>
                <w:highlight w:val="none"/>
                <w:lang w:eastAsia="zh-CN"/>
              </w:rPr>
            </w:pPr>
            <w:r>
              <w:rPr>
                <w:rFonts w:hint="eastAsia"/>
                <w:b w:val="0"/>
                <w:bCs w:val="0"/>
                <w:color w:val="000000"/>
                <w:sz w:val="24"/>
                <w:szCs w:val="18"/>
                <w:highlight w:val="none"/>
              </w:rPr>
              <w:t>合肥经济技术开发区公用事业</w:t>
            </w:r>
            <w:r>
              <w:rPr>
                <w:rFonts w:hint="eastAsia"/>
                <w:b w:val="0"/>
                <w:bCs w:val="0"/>
                <w:color w:val="000000"/>
                <w:sz w:val="24"/>
                <w:szCs w:val="18"/>
                <w:highlight w:val="none"/>
                <w:lang w:eastAsia="zh-CN"/>
              </w:rPr>
              <w:t>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pStyle w:val="235"/>
              <w:widowControl w:val="0"/>
              <w:spacing w:before="0" w:beforeAutospacing="0" w:after="0" w:afterAutospacing="0" w:line="360" w:lineRule="auto"/>
              <w:jc w:val="both"/>
              <w:rPr>
                <w:rFonts w:hint="default" w:eastAsiaTheme="minorEastAsia"/>
                <w:b w:val="0"/>
                <w:bCs w:val="0"/>
                <w:color w:val="000000"/>
                <w:sz w:val="24"/>
                <w:szCs w:val="24"/>
                <w:highlight w:val="none"/>
                <w:lang w:val="en-US" w:eastAsia="zh-CN"/>
              </w:rPr>
            </w:pPr>
            <w:r>
              <w:rPr>
                <w:rFonts w:hint="eastAsia" w:eastAsiaTheme="minorEastAsia"/>
                <w:b w:val="0"/>
                <w:bCs w:val="0"/>
                <w:color w:val="000000"/>
                <w:sz w:val="24"/>
                <w:szCs w:val="18"/>
                <w:highlight w:val="none"/>
              </w:rPr>
              <w:t>“公用公司管养范围公众责任保险采购”</w:t>
            </w:r>
            <w:r>
              <w:rPr>
                <w:rFonts w:hint="eastAsia" w:cs="仿宋_GB2312" w:asciiTheme="minorEastAsia" w:hAnsiTheme="minorEastAsia" w:eastAsiaTheme="minorEastAsia"/>
                <w:b w:val="0"/>
                <w:bCs w:val="0"/>
                <w:sz w:val="24"/>
                <w:szCs w:val="24"/>
                <w:highlight w:val="none"/>
              </w:rPr>
              <w:t>GYGSZB-202</w:t>
            </w:r>
            <w:r>
              <w:rPr>
                <w:rFonts w:hint="eastAsia" w:cs="仿宋_GB2312" w:asciiTheme="minorEastAsia" w:hAnsiTheme="minorEastAsia" w:eastAsiaTheme="minorEastAsia"/>
                <w:b w:val="0"/>
                <w:bCs w:val="0"/>
                <w:sz w:val="24"/>
                <w:szCs w:val="24"/>
                <w:highlight w:val="none"/>
                <w:lang w:val="en-US" w:eastAsia="zh-CN"/>
              </w:rPr>
              <w:t>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color w:val="000000"/>
                <w:highlight w:val="none"/>
              </w:rPr>
            </w:pPr>
            <w:r>
              <w:rPr>
                <w:rFonts w:hint="eastAsia" w:hAnsi="宋体"/>
                <w:color w:val="000000"/>
                <w:highlight w:val="none"/>
              </w:rPr>
              <w:t>供应商资格</w:t>
            </w:r>
          </w:p>
        </w:tc>
        <w:tc>
          <w:tcPr>
            <w:tcW w:w="7223" w:type="dxa"/>
            <w:vAlign w:val="center"/>
          </w:tcPr>
          <w:p>
            <w:pPr>
              <w:autoSpaceDE w:val="0"/>
              <w:autoSpaceDN w:val="0"/>
              <w:adjustRightInd w:val="0"/>
              <w:spacing w:line="360" w:lineRule="auto"/>
              <w:jc w:val="left"/>
              <w:rPr>
                <w:rFonts w:hAnsi="宋体"/>
                <w:color w:val="000000"/>
                <w:szCs w:val="18"/>
                <w:highlight w:val="none"/>
              </w:rPr>
            </w:pPr>
            <w:r>
              <w:rPr>
                <w:rFonts w:hint="eastAsia" w:hAnsi="宋体"/>
                <w:color w:val="000000"/>
                <w:szCs w:val="18"/>
                <w:highlight w:val="none"/>
              </w:rPr>
              <w:t>1、符合《中华人民共和国政府采购法》第二十二条规定；</w:t>
            </w:r>
          </w:p>
          <w:p>
            <w:pPr>
              <w:widowControl/>
              <w:spacing w:line="520" w:lineRule="exact"/>
              <w:jc w:val="left"/>
              <w:rPr>
                <w:rFonts w:hint="eastAsia" w:hAnsi="宋体"/>
                <w:color w:val="000000"/>
                <w:szCs w:val="18"/>
                <w:highlight w:val="none"/>
                <w:lang w:eastAsia="zh-CN"/>
              </w:rPr>
            </w:pPr>
            <w:r>
              <w:rPr>
                <w:rFonts w:hAnsi="宋体"/>
                <w:color w:val="000000"/>
                <w:szCs w:val="18"/>
                <w:highlight w:val="none"/>
              </w:rPr>
              <w:t>2、</w:t>
            </w:r>
            <w:r>
              <w:rPr>
                <w:rFonts w:hint="eastAsia" w:hAnsi="宋体"/>
                <w:color w:val="000000"/>
                <w:szCs w:val="18"/>
                <w:highlight w:val="none"/>
              </w:rPr>
              <w:t>具有中国银行保险监督管理委员会（或原保监会）颁发的《经营保险业务许可证》</w:t>
            </w:r>
            <w:r>
              <w:rPr>
                <w:rFonts w:hint="eastAsia" w:hAnsi="宋体"/>
                <w:color w:val="000000"/>
                <w:szCs w:val="18"/>
                <w:highlight w:val="none"/>
                <w:lang w:eastAsia="zh-CN"/>
              </w:rPr>
              <w:t>；</w:t>
            </w:r>
          </w:p>
          <w:p>
            <w:pPr>
              <w:widowControl/>
              <w:spacing w:line="520" w:lineRule="exact"/>
              <w:jc w:val="left"/>
              <w:rPr>
                <w:rFonts w:hAnsi="宋体"/>
                <w:color w:val="000000"/>
                <w:szCs w:val="18"/>
                <w:highlight w:val="none"/>
              </w:rPr>
            </w:pPr>
            <w:r>
              <w:rPr>
                <w:rFonts w:hint="eastAsia" w:hAnsi="宋体"/>
                <w:color w:val="000000"/>
                <w:szCs w:val="18"/>
                <w:highlight w:val="none"/>
                <w:lang w:val="en-US" w:eastAsia="zh-CN"/>
              </w:rPr>
              <w:t>3、</w:t>
            </w:r>
            <w:r>
              <w:rPr>
                <w:rFonts w:hAnsi="宋体"/>
                <w:color w:val="000000"/>
                <w:szCs w:val="18"/>
                <w:highlight w:val="none"/>
              </w:rPr>
              <w:t>同一保险公司只能有一家投标人参加投标；</w:t>
            </w:r>
          </w:p>
          <w:p>
            <w:pPr>
              <w:widowControl/>
              <w:spacing w:line="520" w:lineRule="exact"/>
              <w:jc w:val="left"/>
              <w:rPr>
                <w:bCs/>
                <w:color w:val="000000"/>
                <w:szCs w:val="24"/>
                <w:highlight w:val="none"/>
              </w:rPr>
            </w:pPr>
            <w:r>
              <w:rPr>
                <w:rFonts w:hint="eastAsia" w:hAnsi="宋体"/>
                <w:color w:val="000000"/>
                <w:szCs w:val="18"/>
                <w:highlight w:val="none"/>
                <w:lang w:val="en-US" w:eastAsia="zh-CN"/>
              </w:rPr>
              <w:t>4、</w:t>
            </w:r>
            <w:r>
              <w:rPr>
                <w:rFonts w:hint="eastAsia" w:hAnsi="宋体"/>
                <w:color w:val="000000"/>
                <w:szCs w:val="18"/>
                <w:highlight w:val="none"/>
              </w:rPr>
              <w:t>2019年以来，具有承保过类似公众责任险服务业绩。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5"/>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5"/>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5"/>
              <w:widowControl w:val="0"/>
              <w:spacing w:before="0" w:beforeAutospacing="0" w:after="0" w:afterAutospacing="0"/>
              <w:jc w:val="both"/>
              <w:rPr>
                <w:b w:val="0"/>
                <w:bCs w:val="0"/>
                <w:color w:val="000000"/>
                <w:sz w:val="24"/>
                <w:highlight w:val="none"/>
              </w:rPr>
            </w:pP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spacing w:line="360" w:lineRule="auto"/>
              <w:rPr>
                <w:rFonts w:hAnsi="宋体"/>
                <w:szCs w:val="24"/>
                <w:highlight w:val="none"/>
              </w:rPr>
            </w:pPr>
            <w:r>
              <w:rPr>
                <w:rFonts w:hint="eastAsia" w:ascii="Tahoma" w:hAnsi="宋体" w:cs="宋体"/>
                <w:color w:val="000000"/>
                <w:szCs w:val="21"/>
                <w:highlight w:val="none"/>
              </w:rPr>
              <w:t>付款方式：</w:t>
            </w:r>
            <w:r>
              <w:rPr>
                <w:rFonts w:hint="eastAsia" w:hAnsi="宋体"/>
                <w:highlight w:val="none"/>
              </w:rPr>
              <w:t>合同签订后，按年度付款，提前5个工作日一次性付清当年度保费。</w:t>
            </w:r>
          </w:p>
          <w:p>
            <w:pPr>
              <w:pStyle w:val="223"/>
              <w:spacing w:line="500" w:lineRule="exact"/>
              <w:rPr>
                <w:rFonts w:hAnsi="宋体" w:cs="宋体"/>
                <w:color w:val="000000"/>
                <w:szCs w:val="21"/>
                <w:highlight w:val="none"/>
              </w:rPr>
            </w:pPr>
            <w:r>
              <w:rPr>
                <w:rFonts w:hint="eastAsia" w:hAnsi="宋体" w:cs="宋体"/>
                <w:color w:val="000000"/>
                <w:szCs w:val="21"/>
                <w:highlight w:val="none"/>
              </w:rPr>
              <w:t>投标人提交的投标文件中如有关于付款条件的表述与招标文件规定不符，投标无效。供应商提交的响应文件中如有关于付款条件的表述与投标文件规定不符，将被视为实质性不响应，将导致投标无效。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spacing w:line="500" w:lineRule="exact"/>
              <w:rPr>
                <w:rFonts w:hAnsi="宋体"/>
                <w:color w:val="FF0000"/>
                <w:highlight w:val="none"/>
              </w:rPr>
            </w:pPr>
            <w:r>
              <w:rPr>
                <w:rFonts w:hAnsi="宋体"/>
                <w:color w:val="auto"/>
                <w:highlight w:val="none"/>
              </w:rPr>
              <w:t>1＋X（X≤2）年，合同期满后，经双方协商一致可续签，一年一签，续签合同不超过2次。服务内容、质量及费用保持不变。服务期内，采购人有权提前终止合同，所缴纳保费按实际承保期限支付（年度费用</w:t>
            </w:r>
            <w:r>
              <w:rPr>
                <w:rFonts w:hint="eastAsia" w:hAnsi="宋体"/>
                <w:color w:val="auto"/>
                <w:highlight w:val="none"/>
              </w:rPr>
              <w:t>/12*实际承保月份</w:t>
            </w:r>
            <w:r>
              <w:rPr>
                <w:rFonts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pStyle w:val="218"/>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int="eastAsia" w:hAnsi="宋体" w:eastAsia="宋体"/>
                <w:b/>
                <w:color w:val="000000"/>
                <w:highlight w:val="none"/>
                <w:lang w:val="en-US" w:eastAsia="zh-CN"/>
              </w:rPr>
            </w:pPr>
            <w:r>
              <w:rPr>
                <w:rFonts w:hint="eastAsia" w:hAnsi="宋体"/>
                <w:b/>
                <w:color w:val="00000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int="eastAsia" w:hAnsi="宋体"/>
                <w:b/>
                <w:bCs/>
                <w:color w:val="000000"/>
                <w:highlight w:val="none"/>
                <w:lang w:val="en-US" w:eastAsia="zh-CN"/>
              </w:rPr>
              <w:t>3</w:t>
            </w:r>
            <w:r>
              <w:rPr>
                <w:rFonts w:hint="eastAsia" w:hAnsi="宋体"/>
                <w:b/>
                <w:bCs/>
                <w:color w:val="000000"/>
                <w:highlight w:val="none"/>
              </w:rPr>
              <w:t>年</w:t>
            </w:r>
            <w:r>
              <w:rPr>
                <w:rFonts w:hint="eastAsia" w:hAnsi="宋体"/>
                <w:b/>
                <w:bCs/>
                <w:color w:val="000000"/>
                <w:highlight w:val="none"/>
                <w:lang w:val="en-US" w:eastAsia="zh-CN"/>
              </w:rPr>
              <w:t>3</w:t>
            </w:r>
            <w:r>
              <w:rPr>
                <w:rFonts w:hint="eastAsia" w:hAnsi="宋体"/>
                <w:b/>
                <w:bCs/>
                <w:color w:val="000000"/>
                <w:highlight w:val="none"/>
              </w:rPr>
              <w:t>月</w:t>
            </w:r>
            <w:r>
              <w:rPr>
                <w:rFonts w:hint="eastAsia" w:hAnsi="宋体"/>
                <w:b/>
                <w:bCs/>
                <w:color w:val="000000"/>
                <w:highlight w:val="none"/>
                <w:lang w:val="en-US" w:eastAsia="zh-CN"/>
              </w:rPr>
              <w:t>10</w:t>
            </w:r>
            <w:r>
              <w:rPr>
                <w:rFonts w:hint="eastAsia" w:hAnsi="宋体"/>
                <w:b/>
                <w:bCs/>
                <w:color w:val="000000"/>
                <w:highlight w:val="none"/>
              </w:rPr>
              <w:t>日17：30时前接受网上答疑（逾期不予受理），疑问的提出与答疑获取详见招标文件第三章投标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Ansi="宋体"/>
                <w:color w:val="000000"/>
                <w:highlight w:val="none"/>
              </w:rPr>
            </w:pPr>
            <w:r>
              <w:rPr>
                <w:rFonts w:hint="eastAsia" w:hAnsi="宋体"/>
                <w:color w:val="000000"/>
                <w:highlight w:val="none"/>
              </w:rPr>
              <w:t>有效最低价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beforeLines="50" w:afterLines="50" w:line="360" w:lineRule="auto"/>
              <w:jc w:val="left"/>
              <w:rPr>
                <w:rFonts w:hAnsi="宋体" w:cs="宋体"/>
                <w:color w:val="000000"/>
                <w:szCs w:val="24"/>
                <w:highlight w:val="none"/>
              </w:rPr>
            </w:pPr>
            <w:r>
              <w:rPr>
                <w:rFonts w:hint="eastAsia" w:hAnsi="宋体" w:cs="宋体"/>
                <w:color w:val="000000"/>
                <w:szCs w:val="24"/>
                <w:highlight w:val="none"/>
              </w:rPr>
              <w:t>本项目无履约保证金。</w:t>
            </w:r>
          </w:p>
          <w:p>
            <w:pPr>
              <w:spacing w:beforeLines="50" w:afterLines="50" w:line="360" w:lineRule="auto"/>
              <w:jc w:val="left"/>
              <w:rPr>
                <w:rFonts w:hAnsi="宋体" w:cs="宋体"/>
                <w:color w:val="000000"/>
                <w:szCs w:val="24"/>
                <w:highlight w:val="none"/>
              </w:rPr>
            </w:pPr>
            <w:r>
              <w:rPr>
                <w:rFonts w:hint="eastAsia" w:hAnsi="宋体" w:cs="宋体"/>
                <w:color w:val="000000"/>
                <w:szCs w:val="24"/>
                <w:highlight w:val="none"/>
              </w:rPr>
              <w:t>成交价的0%（保留到百位数）；</w:t>
            </w:r>
          </w:p>
          <w:p>
            <w:pPr>
              <w:spacing w:line="360" w:lineRule="auto"/>
              <w:rPr>
                <w:rFonts w:hAnsi="宋体"/>
                <w:color w:val="000000"/>
                <w:highlight w:val="none"/>
              </w:rPr>
            </w:pPr>
            <w:r>
              <w:rPr>
                <w:rFonts w:hint="eastAsia" w:hAnsi="宋体"/>
                <w:color w:val="000000"/>
                <w:highlight w:val="none"/>
              </w:rPr>
              <w:t>期限：项目竣工验收合格后一月内无息返还。</w:t>
            </w:r>
          </w:p>
          <w:p>
            <w:pPr>
              <w:spacing w:line="360" w:lineRule="auto"/>
              <w:rPr>
                <w:rFonts w:hAnsi="宋体"/>
                <w:color w:val="000000"/>
                <w:highlight w:val="none"/>
              </w:rPr>
            </w:pPr>
            <w:r>
              <w:rPr>
                <w:rFonts w:hint="eastAsia" w:hAnsi="宋体"/>
                <w:color w:val="000000"/>
                <w:highlight w:val="none"/>
              </w:rPr>
              <w:t>收受方式为：□</w:t>
            </w:r>
            <w:r>
              <w:rPr>
                <w:rFonts w:hint="eastAsia" w:hAnsi="宋体"/>
                <w:color w:val="000000"/>
                <w:highlight w:val="none"/>
                <w:u w:val="single"/>
              </w:rPr>
              <w:t>转账/电汇</w:t>
            </w:r>
            <w:r>
              <w:rPr>
                <w:rFonts w:hint="eastAsia" w:hAnsi="宋体"/>
                <w:color w:val="000000"/>
                <w:highlight w:val="none"/>
              </w:rPr>
              <w:t>，</w:t>
            </w:r>
          </w:p>
          <w:p>
            <w:pPr>
              <w:spacing w:line="360" w:lineRule="auto"/>
              <w:rPr>
                <w:rFonts w:hAnsi="宋体"/>
                <w:color w:val="000000"/>
                <w:szCs w:val="24"/>
                <w:highlight w:val="none"/>
              </w:rPr>
            </w:pPr>
            <w:r>
              <w:rPr>
                <w:rFonts w:hint="eastAsia" w:hAnsi="宋体"/>
                <w:color w:val="000000"/>
                <w:highlight w:val="none"/>
              </w:rPr>
              <w:t>收受人为□</w:t>
            </w:r>
            <w:r>
              <w:rPr>
                <w:rFonts w:hint="eastAsia" w:hAnsi="宋体"/>
                <w:color w:val="000000"/>
                <w:highlight w:val="none"/>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ind w:firstLine="219" w:firstLineChars="100"/>
              <w:rPr>
                <w:color w:val="000000"/>
                <w:highlight w:val="none"/>
              </w:rPr>
            </w:pPr>
            <w:r>
              <w:rPr>
                <w:rFonts w:hint="eastAsia"/>
                <w:color w:val="000000"/>
                <w:highlight w:val="none"/>
              </w:rPr>
              <w:t>业绩</w:t>
            </w:r>
          </w:p>
        </w:tc>
        <w:tc>
          <w:tcPr>
            <w:tcW w:w="7223" w:type="dxa"/>
            <w:vAlign w:val="center"/>
          </w:tcPr>
          <w:p>
            <w:pPr>
              <w:autoSpaceDE w:val="0"/>
              <w:autoSpaceDN w:val="0"/>
              <w:adjustRightInd w:val="0"/>
              <w:spacing w:line="360" w:lineRule="auto"/>
              <w:jc w:val="left"/>
              <w:rPr>
                <w:color w:val="000000"/>
                <w:highlight w:val="none"/>
              </w:rPr>
            </w:pPr>
            <w:r>
              <w:rPr>
                <w:rFonts w:hint="eastAsia" w:hAnsi="宋体"/>
                <w:color w:val="000000"/>
                <w:szCs w:val="18"/>
                <w:highlight w:val="none"/>
              </w:rPr>
              <w:t>2019年以来，具有承保过类似公众责任险服务业绩。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21</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22</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38" w:firstLineChars="200"/>
        <w:rPr>
          <w:rFonts w:ascii="宋体" w:hAnsi="宋体" w:eastAsia="宋体"/>
          <w:color w:val="000000"/>
          <w:sz w:val="24"/>
          <w:szCs w:val="24"/>
          <w:highlight w:val="none"/>
        </w:rPr>
      </w:pPr>
      <w:bookmarkStart w:id="11" w:name="_Hlt526418143"/>
      <w:bookmarkEnd w:id="11"/>
      <w:bookmarkStart w:id="12" w:name="_Hlt509649998"/>
      <w:bookmarkEnd w:id="12"/>
      <w:bookmarkStart w:id="13" w:name="_Hlt509650126"/>
      <w:bookmarkEnd w:id="13"/>
      <w:bookmarkStart w:id="14" w:name="_Hlt509650955"/>
      <w:bookmarkEnd w:id="14"/>
      <w:bookmarkStart w:id="15" w:name="_Hlt509649722"/>
      <w:bookmarkEnd w:id="15"/>
      <w:bookmarkStart w:id="16" w:name="_Hlt509650686"/>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49678"/>
      <w:bookmarkEnd w:id="18"/>
      <w:bookmarkStart w:id="19" w:name="_Hlt509650333"/>
      <w:bookmarkEnd w:id="19"/>
      <w:bookmarkStart w:id="20" w:name="_Hlt509649645"/>
      <w:bookmarkEnd w:id="20"/>
      <w:bookmarkStart w:id="21" w:name="_Hlt509650932"/>
      <w:bookmarkEnd w:id="21"/>
      <w:bookmarkStart w:id="22" w:name="_Hlt509650929"/>
      <w:bookmarkEnd w:id="22"/>
      <w:bookmarkStart w:id="23" w:name="_Hlt509650936"/>
      <w:bookmarkEnd w:id="23"/>
      <w:bookmarkStart w:id="24" w:name="_Hlt509649330"/>
      <w:bookmarkEnd w:id="24"/>
      <w:bookmarkStart w:id="25" w:name="_Hlt526418153"/>
      <w:bookmarkEnd w:id="25"/>
      <w:bookmarkStart w:id="26" w:name="_Hlt509650103"/>
      <w:bookmarkEnd w:id="26"/>
      <w:bookmarkStart w:id="27" w:name="_Hlt509650961"/>
      <w:bookmarkEnd w:id="27"/>
      <w:bookmarkStart w:id="28" w:name="_Hlt509649795"/>
      <w:bookmarkEnd w:id="28"/>
      <w:bookmarkStart w:id="29" w:name="_Hlt509649669"/>
      <w:bookmarkEnd w:id="29"/>
      <w:bookmarkStart w:id="30" w:name="_Hlt509650690"/>
      <w:bookmarkEnd w:id="30"/>
      <w:bookmarkStart w:id="31" w:name="_Hlt509650116"/>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2.1采购监督管理部门：合肥经济技术开发区公用事业</w:t>
      </w:r>
      <w:r>
        <w:rPr>
          <w:rFonts w:hint="eastAsia" w:hAnsi="宋体"/>
          <w:color w:val="000000"/>
          <w:szCs w:val="24"/>
          <w:highlight w:val="none"/>
          <w:lang w:eastAsia="zh-CN"/>
        </w:rPr>
        <w:t>发展有限公司</w:t>
      </w:r>
      <w:r>
        <w:rPr>
          <w:rFonts w:hint="eastAsia" w:hAnsi="宋体"/>
          <w:color w:val="000000"/>
          <w:szCs w:val="24"/>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rPr>
      </w:pPr>
      <w:r>
        <w:rPr>
          <w:rFonts w:hint="eastAsia" w:hAnsi="宋体"/>
          <w:color w:val="000000"/>
          <w:szCs w:val="24"/>
          <w:highlight w:val="none"/>
        </w:rPr>
        <w:t>6.4在确定成交供应商之前，供应商试图在响应文件审查、澄清、比较和评价时对评标小组、采购人等施加任何影响都可能导致其投</w:t>
      </w:r>
      <w:r>
        <w:rPr>
          <w:rFonts w:hint="eastAsia" w:hAnsi="宋体"/>
          <w:color w:val="000000"/>
          <w:szCs w:val="24"/>
        </w:rPr>
        <w:t>标无效。</w:t>
      </w:r>
    </w:p>
    <w:p>
      <w:pPr>
        <w:spacing w:line="360" w:lineRule="auto"/>
        <w:ind w:firstLine="438" w:firstLineChars="200"/>
        <w:rPr>
          <w:rFonts w:hAnsi="宋体"/>
          <w:b/>
          <w:bCs/>
          <w:color w:val="000000"/>
          <w:szCs w:val="24"/>
        </w:rPr>
      </w:pPr>
      <w:r>
        <w:rPr>
          <w:rFonts w:hint="eastAsia" w:hAnsi="宋体"/>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rPr>
      </w:pPr>
      <w:r>
        <w:rPr>
          <w:rFonts w:hint="eastAsia" w:hAnsi="宋体"/>
          <w:b/>
          <w:color w:val="000000"/>
          <w:szCs w:val="24"/>
        </w:rPr>
        <w:t>7.联合体投标</w:t>
      </w:r>
    </w:p>
    <w:p>
      <w:pPr>
        <w:spacing w:line="360" w:lineRule="auto"/>
        <w:ind w:firstLine="438" w:firstLineChars="200"/>
        <w:rPr>
          <w:rFonts w:hAnsi="宋体"/>
          <w:color w:val="000000"/>
          <w:szCs w:val="24"/>
        </w:rPr>
      </w:pPr>
      <w:r>
        <w:rPr>
          <w:rFonts w:hint="eastAsia" w:hAnsi="宋体"/>
          <w:color w:val="000000"/>
          <w:szCs w:val="24"/>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rPr>
      </w:pPr>
      <w:r>
        <w:rPr>
          <w:rFonts w:hint="eastAsia" w:hAnsi="宋体"/>
          <w:color w:val="000000"/>
          <w:szCs w:val="24"/>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rPr>
      </w:pPr>
      <w:r>
        <w:rPr>
          <w:rFonts w:hint="eastAsia" w:hAnsi="宋体"/>
          <w:bCs/>
          <w:color w:val="000000"/>
          <w:szCs w:val="24"/>
        </w:rPr>
        <w:t>7.3</w:t>
      </w:r>
      <w:r>
        <w:rPr>
          <w:rFonts w:hint="eastAsia" w:hAnsi="宋体"/>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rPr>
      </w:pPr>
      <w:r>
        <w:rPr>
          <w:rFonts w:hint="eastAsia" w:hAnsi="宋体"/>
          <w:color w:val="000000"/>
          <w:szCs w:val="24"/>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rPr>
      </w:pPr>
      <w:r>
        <w:rPr>
          <w:rFonts w:hint="eastAsia" w:hAnsi="宋体"/>
          <w:b/>
          <w:bCs/>
          <w:color w:val="000000"/>
          <w:szCs w:val="24"/>
        </w:rPr>
        <w:t>8.投标品牌</w:t>
      </w:r>
    </w:p>
    <w:p>
      <w:pPr>
        <w:spacing w:line="360" w:lineRule="auto"/>
        <w:ind w:firstLine="438" w:firstLineChars="200"/>
        <w:rPr>
          <w:rFonts w:hAnsi="宋体"/>
          <w:color w:val="000000"/>
          <w:szCs w:val="24"/>
        </w:rPr>
      </w:pPr>
      <w:r>
        <w:rPr>
          <w:rFonts w:hint="eastAsia" w:hAnsi="宋体"/>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rPr>
      </w:pPr>
      <w:r>
        <w:rPr>
          <w:rFonts w:hint="eastAsia" w:hAnsi="宋体"/>
          <w:b/>
          <w:bCs/>
          <w:color w:val="000000"/>
          <w:szCs w:val="24"/>
        </w:rPr>
        <w:t>9.投标专用章的效力</w:t>
      </w:r>
    </w:p>
    <w:p>
      <w:pPr>
        <w:spacing w:line="360" w:lineRule="auto"/>
        <w:ind w:firstLine="438" w:firstLineChars="200"/>
        <w:rPr>
          <w:rFonts w:hAnsi="宋体"/>
          <w:color w:val="000000"/>
          <w:szCs w:val="24"/>
        </w:rPr>
      </w:pPr>
      <w:r>
        <w:rPr>
          <w:rFonts w:hint="eastAsia" w:hAnsi="宋体"/>
          <w:color w:val="000000"/>
          <w:szCs w:val="24"/>
        </w:rPr>
        <w:t>9.1投标文件中明确要求加盖公章的，供应商必须加盖供应商公章。</w:t>
      </w:r>
      <w:r>
        <w:rPr>
          <w:rFonts w:hAnsi="宋体"/>
          <w:color w:val="000000"/>
          <w:szCs w:val="24"/>
        </w:rPr>
        <w:t>在有授权文件表明投标专用章法律效力等同于</w:t>
      </w:r>
      <w:r>
        <w:rPr>
          <w:rFonts w:hint="eastAsia" w:hAnsi="宋体"/>
          <w:color w:val="000000"/>
          <w:szCs w:val="24"/>
        </w:rPr>
        <w:t>供应商</w:t>
      </w:r>
      <w:r>
        <w:rPr>
          <w:rFonts w:hAnsi="宋体"/>
          <w:color w:val="000000"/>
          <w:szCs w:val="24"/>
        </w:rPr>
        <w:t>公章的情况下，</w:t>
      </w:r>
      <w:r>
        <w:rPr>
          <w:rFonts w:hint="eastAsia" w:hAnsi="宋体"/>
          <w:color w:val="000000"/>
          <w:szCs w:val="24"/>
        </w:rPr>
        <w:t>可以加</w:t>
      </w:r>
      <w:r>
        <w:rPr>
          <w:rFonts w:hAnsi="宋体"/>
          <w:color w:val="000000"/>
          <w:szCs w:val="24"/>
        </w:rPr>
        <w:t>盖投标专用章</w:t>
      </w:r>
      <w:r>
        <w:rPr>
          <w:rFonts w:hint="eastAsia" w:hAnsi="宋体"/>
          <w:color w:val="000000"/>
          <w:szCs w:val="24"/>
        </w:rPr>
        <w:t>，否则将导致投标无效。</w:t>
      </w:r>
    </w:p>
    <w:p>
      <w:pPr>
        <w:spacing w:line="360" w:lineRule="auto"/>
        <w:ind w:firstLine="438" w:firstLineChars="200"/>
        <w:rPr>
          <w:rFonts w:hAnsi="宋体"/>
          <w:b/>
          <w:bCs/>
          <w:color w:val="000000"/>
          <w:szCs w:val="24"/>
        </w:rPr>
      </w:pPr>
      <w:r>
        <w:rPr>
          <w:rFonts w:hint="eastAsia" w:hAnsi="宋体"/>
          <w:b/>
          <w:bCs/>
          <w:color w:val="000000"/>
          <w:szCs w:val="24"/>
        </w:rPr>
        <w:t>10.合同标的转让</w:t>
      </w:r>
    </w:p>
    <w:p>
      <w:pPr>
        <w:spacing w:line="360" w:lineRule="auto"/>
        <w:ind w:firstLine="438" w:firstLineChars="200"/>
        <w:rPr>
          <w:rFonts w:hAnsi="宋体"/>
          <w:color w:val="000000"/>
          <w:szCs w:val="24"/>
        </w:rPr>
      </w:pPr>
      <w:r>
        <w:rPr>
          <w:rFonts w:hint="eastAsia" w:hAnsi="宋体"/>
          <w:color w:val="000000"/>
          <w:szCs w:val="24"/>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rPr>
      </w:pPr>
      <w:r>
        <w:rPr>
          <w:rFonts w:hint="eastAsia" w:hAnsi="宋体"/>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rPr>
      </w:pPr>
      <w:r>
        <w:rPr>
          <w:rFonts w:hint="eastAsia" w:hAnsi="宋体"/>
          <w:color w:val="000000"/>
          <w:szCs w:val="24"/>
        </w:rPr>
        <w:t>10.3成交供应商应当就分包项目向采购人负责，接受分包的人就分包项目承担连带责任。</w:t>
      </w:r>
    </w:p>
    <w:p>
      <w:pPr>
        <w:spacing w:line="360" w:lineRule="auto"/>
        <w:ind w:firstLine="438" w:firstLineChars="200"/>
        <w:rPr>
          <w:rFonts w:hAnsi="宋体"/>
          <w:color w:val="000000"/>
          <w:szCs w:val="24"/>
        </w:rPr>
      </w:pPr>
      <w:r>
        <w:rPr>
          <w:rFonts w:hint="eastAsia" w:hAnsi="宋体"/>
          <w:color w:val="000000"/>
          <w:szCs w:val="24"/>
        </w:rPr>
        <w:t>10.4未经政府采购管理部门批准，进口设备不得转包。</w:t>
      </w:r>
    </w:p>
    <w:p>
      <w:pPr>
        <w:spacing w:line="360" w:lineRule="auto"/>
        <w:ind w:firstLine="438" w:firstLineChars="200"/>
        <w:rPr>
          <w:rFonts w:hAnsi="宋体"/>
          <w:b/>
          <w:bCs/>
          <w:color w:val="000000"/>
          <w:szCs w:val="24"/>
        </w:rPr>
      </w:pPr>
      <w:r>
        <w:rPr>
          <w:rFonts w:hint="eastAsia" w:hAnsi="宋体"/>
          <w:b/>
          <w:bCs/>
          <w:color w:val="000000"/>
          <w:szCs w:val="24"/>
        </w:rPr>
        <w:t>11.采购信息的发布</w:t>
      </w:r>
    </w:p>
    <w:p>
      <w:pPr>
        <w:spacing w:line="360" w:lineRule="auto"/>
        <w:ind w:firstLine="438" w:firstLineChars="200"/>
        <w:rPr>
          <w:rFonts w:hAnsi="宋体"/>
          <w:color w:val="000000"/>
          <w:szCs w:val="24"/>
        </w:rPr>
      </w:pPr>
      <w:r>
        <w:rPr>
          <w:rFonts w:hint="eastAsia" w:hAnsi="宋体"/>
          <w:color w:val="000000"/>
          <w:szCs w:val="24"/>
        </w:rPr>
        <w:t>11.1与本次采购活动相关的信息，将在合肥经济技术开发区公用事业</w:t>
      </w:r>
      <w:r>
        <w:rPr>
          <w:rFonts w:hint="eastAsia" w:hAnsi="宋体"/>
          <w:color w:val="000000"/>
          <w:szCs w:val="24"/>
          <w:lang w:eastAsia="zh-CN"/>
        </w:rPr>
        <w:t>发展有限公司</w:t>
      </w:r>
      <w:r>
        <w:rPr>
          <w:rFonts w:hint="eastAsia" w:hAnsi="宋体"/>
          <w:color w:val="000000"/>
          <w:szCs w:val="24"/>
        </w:rPr>
        <w:t>网站(</w:t>
      </w:r>
      <w:r>
        <w:rPr>
          <w:rFonts w:hAnsi="宋体"/>
          <w:color w:val="000000"/>
          <w:szCs w:val="24"/>
        </w:rPr>
        <w:t>http://www.hfpudc.com/</w:t>
      </w:r>
      <w:r>
        <w:rPr>
          <w:rFonts w:hint="eastAsia" w:hAnsi="宋体"/>
          <w:color w:val="000000"/>
          <w:szCs w:val="24"/>
        </w:rPr>
        <w:t>)发布。</w:t>
      </w:r>
    </w:p>
    <w:p>
      <w:pPr>
        <w:pStyle w:val="3"/>
        <w:spacing w:before="0" w:after="0" w:line="360" w:lineRule="auto"/>
        <w:ind w:firstLine="438" w:firstLineChars="200"/>
        <w:rPr>
          <w:rFonts w:ascii="宋体" w:hAnsi="宋体" w:eastAsia="宋体"/>
          <w:color w:val="000000"/>
          <w:sz w:val="24"/>
          <w:szCs w:val="24"/>
        </w:rPr>
      </w:pPr>
      <w:bookmarkStart w:id="33" w:name="_Toc419376297"/>
      <w:bookmarkStart w:id="34" w:name="_Toc527131316"/>
      <w:r>
        <w:rPr>
          <w:rFonts w:hint="eastAsia" w:ascii="宋体" w:hAnsi="宋体" w:eastAsia="宋体"/>
          <w:color w:val="000000"/>
          <w:sz w:val="24"/>
          <w:szCs w:val="24"/>
        </w:rPr>
        <w:t>（二）招标文件</w:t>
      </w:r>
      <w:bookmarkEnd w:id="33"/>
      <w:bookmarkEnd w:id="34"/>
      <w:bookmarkStart w:id="35" w:name="_Hlt509649791"/>
      <w:bookmarkEnd w:id="35"/>
      <w:bookmarkStart w:id="36" w:name="_Hlt509649930"/>
      <w:bookmarkEnd w:id="36"/>
      <w:bookmarkStart w:id="37" w:name="_Hlt509650361"/>
      <w:bookmarkEnd w:id="37"/>
    </w:p>
    <w:p>
      <w:pPr>
        <w:spacing w:line="360" w:lineRule="auto"/>
        <w:ind w:firstLine="438" w:firstLineChars="200"/>
        <w:rPr>
          <w:rFonts w:hAnsi="宋体"/>
          <w:b/>
          <w:color w:val="000000"/>
          <w:szCs w:val="24"/>
        </w:rPr>
      </w:pPr>
      <w:bookmarkStart w:id="38" w:name="_Hlt509650734"/>
      <w:bookmarkEnd w:id="38"/>
      <w:r>
        <w:rPr>
          <w:rFonts w:hint="eastAsia" w:hAnsi="宋体"/>
          <w:b/>
          <w:color w:val="000000"/>
          <w:szCs w:val="24"/>
        </w:rPr>
        <w:t>12.招标文件构成</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招标文件包括以下部分：</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.1一、</w:t>
      </w:r>
      <w:r>
        <w:rPr>
          <w:rFonts w:hint="eastAsia" w:hAnsi="宋体"/>
          <w:bCs/>
          <w:color w:val="000000"/>
          <w:szCs w:val="24"/>
        </w:rPr>
        <w:t>招标公告；</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.2二、</w:t>
      </w:r>
      <w:r>
        <w:rPr>
          <w:rFonts w:hint="eastAsia" w:hAnsi="宋体"/>
          <w:bCs/>
          <w:color w:val="000000"/>
          <w:szCs w:val="24"/>
        </w:rPr>
        <w:t>供应商须知前附表；</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.3三、</w:t>
      </w:r>
      <w:r>
        <w:rPr>
          <w:rFonts w:hint="eastAsia" w:hAnsi="宋体"/>
          <w:bCs/>
          <w:color w:val="000000"/>
          <w:szCs w:val="24"/>
        </w:rPr>
        <w:t>采购需求；</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.4四、</w:t>
      </w:r>
      <w:r>
        <w:rPr>
          <w:rFonts w:hint="eastAsia" w:hAnsi="宋体"/>
          <w:bCs/>
          <w:color w:val="000000"/>
          <w:szCs w:val="24"/>
        </w:rPr>
        <w:t>供应商须知；</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.5五、</w:t>
      </w:r>
      <w:r>
        <w:rPr>
          <w:rFonts w:hint="eastAsia" w:hAnsi="宋体"/>
          <w:bCs/>
          <w:color w:val="000000"/>
          <w:szCs w:val="24"/>
        </w:rPr>
        <w:t>合同条款；</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.6六、</w:t>
      </w:r>
      <w:r>
        <w:rPr>
          <w:rFonts w:hint="eastAsia" w:hAnsi="宋体"/>
          <w:bCs/>
          <w:color w:val="000000"/>
          <w:szCs w:val="24"/>
        </w:rPr>
        <w:t>响应文件格式；</w:t>
      </w:r>
    </w:p>
    <w:p>
      <w:pPr>
        <w:spacing w:line="360" w:lineRule="auto"/>
        <w:ind w:firstLine="438" w:firstLineChars="200"/>
        <w:rPr>
          <w:rFonts w:hAnsi="宋体"/>
          <w:color w:val="000000"/>
          <w:szCs w:val="24"/>
        </w:rPr>
      </w:pPr>
      <w:r>
        <w:rPr>
          <w:rFonts w:hint="eastAsia" w:hAnsi="宋体"/>
          <w:bCs/>
          <w:color w:val="000000"/>
          <w:szCs w:val="24"/>
        </w:rPr>
        <w:t>12.1.7合肥经济技术开发区公用事业</w:t>
      </w:r>
      <w:r>
        <w:rPr>
          <w:rFonts w:hint="eastAsia" w:hAnsi="宋体"/>
          <w:bCs/>
          <w:color w:val="000000"/>
          <w:szCs w:val="24"/>
          <w:lang w:eastAsia="zh-CN"/>
        </w:rPr>
        <w:t>发展有限公司</w:t>
      </w:r>
      <w:r>
        <w:rPr>
          <w:rFonts w:hint="eastAsia" w:hAnsi="宋体"/>
          <w:bCs/>
          <w:color w:val="000000"/>
          <w:szCs w:val="24"/>
        </w:rPr>
        <w:t>发布的</w:t>
      </w:r>
      <w:r>
        <w:rPr>
          <w:rFonts w:hint="eastAsia"/>
          <w:color w:val="000000"/>
          <w:szCs w:val="24"/>
        </w:rPr>
        <w:t>图纸、工程量清单、控制价、答疑、补遗、补充通知等。</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w:t>
      </w:r>
      <w:r>
        <w:rPr>
          <w:rFonts w:hint="eastAsia" w:hAnsi="宋体"/>
          <w:color w:val="000000"/>
          <w:szCs w:val="24"/>
        </w:rPr>
        <w:t>2供应商应认真阅读投标文件中所有的事项、格式、条件、条款和规范等要求。</w:t>
      </w:r>
    </w:p>
    <w:p>
      <w:pPr>
        <w:spacing w:line="360" w:lineRule="auto"/>
        <w:ind w:firstLine="438" w:firstLineChars="200"/>
        <w:rPr>
          <w:rFonts w:hAnsi="宋体"/>
          <w:color w:val="000000"/>
          <w:szCs w:val="24"/>
        </w:rPr>
      </w:pPr>
      <w:r>
        <w:rPr>
          <w:rFonts w:hint="eastAsia" w:hAnsi="宋体"/>
          <w:color w:val="000000"/>
          <w:szCs w:val="24"/>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rPr>
      </w:pPr>
      <w:r>
        <w:rPr>
          <w:rFonts w:hint="eastAsia" w:hAnsi="宋体"/>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rPr>
        <w:t>公用公司</w:t>
      </w:r>
      <w:r>
        <w:rPr>
          <w:rFonts w:hint="eastAsia" w:hAnsi="宋体"/>
          <w:color w:val="000000"/>
          <w:szCs w:val="24"/>
        </w:rPr>
        <w:t>提出，否则由此引起的损失由供应商自行承担。</w:t>
      </w:r>
    </w:p>
    <w:p>
      <w:pPr>
        <w:spacing w:line="360" w:lineRule="auto"/>
        <w:ind w:firstLine="438" w:firstLineChars="200"/>
        <w:rPr>
          <w:rFonts w:hAnsi="宋体"/>
          <w:b/>
          <w:color w:val="000000"/>
          <w:szCs w:val="24"/>
        </w:rPr>
      </w:pPr>
      <w:r>
        <w:rPr>
          <w:rFonts w:hint="eastAsia" w:hAnsi="宋体"/>
          <w:b/>
          <w:color w:val="000000"/>
          <w:szCs w:val="24"/>
        </w:rPr>
        <w:t>13.答疑及投标文件的澄清与修改</w:t>
      </w:r>
    </w:p>
    <w:p>
      <w:pPr>
        <w:spacing w:line="360" w:lineRule="auto"/>
        <w:ind w:firstLine="438" w:firstLineChars="200"/>
        <w:rPr>
          <w:rFonts w:hAnsi="宋体"/>
          <w:color w:val="000000"/>
          <w:szCs w:val="24"/>
        </w:rPr>
      </w:pPr>
      <w:r>
        <w:rPr>
          <w:rFonts w:hint="eastAsia" w:hAnsi="宋体"/>
          <w:color w:val="000000"/>
          <w:szCs w:val="24"/>
        </w:rPr>
        <w:t>13</w:t>
      </w:r>
      <w:r>
        <w:rPr>
          <w:rFonts w:hAnsi="宋体"/>
          <w:color w:val="000000"/>
          <w:szCs w:val="24"/>
        </w:rPr>
        <w:t>.</w:t>
      </w:r>
      <w:r>
        <w:rPr>
          <w:rFonts w:hint="eastAsia" w:hAnsi="宋体"/>
          <w:color w:val="000000"/>
          <w:szCs w:val="24"/>
        </w:rPr>
        <w:t>1供应商如果对投标文件、工程量清单、控制价等内容有相关疑问，可以于供应商须知前附表列明的答疑接受时间前，以书面形式向</w:t>
      </w:r>
      <w:r>
        <w:rPr>
          <w:rFonts w:hint="eastAsia" w:hAnsi="宋体"/>
          <w:bCs/>
          <w:color w:val="000000"/>
          <w:szCs w:val="24"/>
        </w:rPr>
        <w:t>采购人</w:t>
      </w:r>
      <w:r>
        <w:rPr>
          <w:rFonts w:hint="eastAsia" w:hAnsi="宋体"/>
          <w:color w:val="000000"/>
          <w:szCs w:val="24"/>
        </w:rPr>
        <w:t>提出。</w:t>
      </w:r>
    </w:p>
    <w:p>
      <w:pPr>
        <w:spacing w:line="360" w:lineRule="auto"/>
        <w:ind w:firstLine="438" w:firstLineChars="200"/>
        <w:rPr>
          <w:rFonts w:hAnsi="宋体"/>
          <w:color w:val="000000"/>
          <w:szCs w:val="24"/>
        </w:rPr>
      </w:pPr>
      <w:r>
        <w:rPr>
          <w:rFonts w:hint="eastAsia" w:hAnsi="宋体"/>
          <w:color w:val="000000"/>
          <w:szCs w:val="24"/>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rPr>
      </w:pPr>
      <w:r>
        <w:rPr>
          <w:rFonts w:hint="eastAsia" w:hAnsi="宋体"/>
          <w:color w:val="000000"/>
          <w:szCs w:val="24"/>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rPr>
      </w:pPr>
      <w:r>
        <w:rPr>
          <w:rFonts w:hint="eastAsia" w:hAnsi="宋体"/>
          <w:color w:val="000000"/>
          <w:szCs w:val="24"/>
        </w:rPr>
        <w:t>13.2</w:t>
      </w:r>
      <w:r>
        <w:rPr>
          <w:rFonts w:hint="eastAsia" w:hAnsi="宋体"/>
          <w:bCs/>
          <w:color w:val="000000"/>
          <w:szCs w:val="24"/>
        </w:rPr>
        <w:t>公用公司</w:t>
      </w:r>
      <w:r>
        <w:rPr>
          <w:rFonts w:hint="eastAsia" w:hAnsi="宋体"/>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rPr>
      </w:pPr>
      <w:r>
        <w:rPr>
          <w:rFonts w:hint="eastAsia" w:hAnsi="宋体"/>
          <w:color w:val="000000"/>
          <w:szCs w:val="24"/>
        </w:rPr>
        <w:t>13.3在投标截止时间前，</w:t>
      </w:r>
      <w:r>
        <w:rPr>
          <w:rFonts w:hint="eastAsia" w:hAnsi="宋体"/>
          <w:bCs/>
          <w:color w:val="000000"/>
          <w:szCs w:val="24"/>
        </w:rPr>
        <w:t>公用公司</w:t>
      </w:r>
      <w:r>
        <w:rPr>
          <w:rFonts w:hint="eastAsia" w:hAnsi="宋体"/>
          <w:color w:val="000000"/>
          <w:szCs w:val="24"/>
        </w:rPr>
        <w:t>可以视采购具体情况，延长投标截止时间和投标时间，并在投标文件要求提交响应文件的截止时间一日前，在网站上发布变更公告。在上述情况下，</w:t>
      </w:r>
      <w:r>
        <w:rPr>
          <w:rFonts w:hint="eastAsia" w:hAnsi="宋体"/>
          <w:bCs/>
          <w:color w:val="000000"/>
          <w:szCs w:val="24"/>
        </w:rPr>
        <w:t>采购人</w:t>
      </w:r>
      <w:r>
        <w:rPr>
          <w:rFonts w:hint="eastAsia" w:hAnsi="宋体"/>
          <w:color w:val="000000"/>
          <w:szCs w:val="24"/>
        </w:rPr>
        <w:t>和供应商在投标截止期方面的全部权力、责任和义务，将适用于延长后新的投标截止期。</w:t>
      </w:r>
    </w:p>
    <w:p>
      <w:pPr>
        <w:spacing w:line="360" w:lineRule="auto"/>
        <w:ind w:firstLine="438" w:firstLineChars="200"/>
        <w:rPr>
          <w:rFonts w:hAnsi="宋体"/>
          <w:color w:val="000000"/>
          <w:szCs w:val="27"/>
        </w:rPr>
      </w:pPr>
      <w:r>
        <w:rPr>
          <w:rFonts w:hint="eastAsia" w:hAnsi="宋体"/>
          <w:color w:val="000000"/>
          <w:szCs w:val="24"/>
        </w:rPr>
        <w:t>13.4</w:t>
      </w:r>
      <w:r>
        <w:rPr>
          <w:rFonts w:hint="eastAsia" w:hAnsi="宋体"/>
          <w:color w:val="000000"/>
        </w:rPr>
        <w:t>采购人发布澄清、更正或更改公告</w:t>
      </w:r>
      <w:r>
        <w:rPr>
          <w:rFonts w:hAnsi="宋体"/>
          <w:color w:val="000000"/>
        </w:rPr>
        <w:t>，澄清或修改的内容不影响响应文件编制的</w:t>
      </w:r>
      <w:r>
        <w:rPr>
          <w:rFonts w:hint="eastAsia" w:hAnsi="宋体"/>
          <w:color w:val="000000"/>
        </w:rPr>
        <w:t>，</w:t>
      </w:r>
      <w:r>
        <w:rPr>
          <w:rFonts w:hint="eastAsia" w:hAnsi="宋体"/>
          <w:color w:val="000000"/>
          <w:szCs w:val="24"/>
        </w:rPr>
        <w:t>可不改变投标截止时间和投标时间。</w:t>
      </w:r>
      <w:bookmarkStart w:id="39" w:name="_Toc419376298"/>
    </w:p>
    <w:p>
      <w:pPr>
        <w:pStyle w:val="2"/>
        <w:spacing w:before="260" w:after="260" w:line="500" w:lineRule="exact"/>
        <w:jc w:val="center"/>
        <w:rPr>
          <w:rFonts w:hAnsi="宋体"/>
          <w:color w:val="000000"/>
          <w:sz w:val="24"/>
          <w:szCs w:val="24"/>
        </w:rPr>
      </w:pPr>
      <w:bookmarkStart w:id="40" w:name="_Toc527131317"/>
      <w:r>
        <w:rPr>
          <w:rFonts w:hint="eastAsia" w:hAnsi="宋体"/>
          <w:color w:val="000000"/>
          <w:sz w:val="24"/>
          <w:szCs w:val="24"/>
        </w:rPr>
        <w:t>（三）响应文件的编制</w:t>
      </w:r>
      <w:bookmarkEnd w:id="39"/>
      <w:bookmarkEnd w:id="40"/>
    </w:p>
    <w:p>
      <w:pPr>
        <w:spacing w:line="360" w:lineRule="auto"/>
        <w:ind w:firstLine="438" w:firstLineChars="200"/>
        <w:rPr>
          <w:rFonts w:hAnsi="宋体"/>
          <w:b/>
          <w:color w:val="000000"/>
          <w:szCs w:val="24"/>
        </w:rPr>
      </w:pPr>
      <w:r>
        <w:rPr>
          <w:rFonts w:hint="eastAsia" w:hAnsi="宋体"/>
          <w:b/>
          <w:color w:val="000000"/>
          <w:szCs w:val="24"/>
        </w:rPr>
        <w:t>14.响应文件构成与格式（详见第六章）</w:t>
      </w:r>
    </w:p>
    <w:p>
      <w:pPr>
        <w:spacing w:line="360" w:lineRule="auto"/>
        <w:ind w:firstLine="438" w:firstLineChars="200"/>
        <w:rPr>
          <w:rFonts w:hAnsi="宋体"/>
          <w:color w:val="000000"/>
          <w:szCs w:val="24"/>
        </w:rPr>
      </w:pPr>
      <w:bookmarkStart w:id="41" w:name="_Hlt509650345"/>
      <w:bookmarkEnd w:id="41"/>
      <w:r>
        <w:rPr>
          <w:rFonts w:hint="eastAsia" w:hAnsi="宋体"/>
          <w:color w:val="000000"/>
          <w:szCs w:val="24"/>
        </w:rPr>
        <w:t>14.1响应文件是对投标文件的实质性响应及承诺文件。</w:t>
      </w:r>
    </w:p>
    <w:p>
      <w:pPr>
        <w:spacing w:line="360" w:lineRule="auto"/>
        <w:ind w:firstLine="438" w:firstLineChars="200"/>
        <w:jc w:val="left"/>
        <w:rPr>
          <w:rFonts w:hAnsi="宋体"/>
          <w:color w:val="000000"/>
          <w:szCs w:val="24"/>
        </w:rPr>
      </w:pPr>
      <w:r>
        <w:rPr>
          <w:rFonts w:hint="eastAsia" w:hAnsi="宋体"/>
          <w:color w:val="000000"/>
          <w:szCs w:val="24"/>
        </w:rPr>
        <w:t>14.2</w:t>
      </w:r>
      <w:r>
        <w:rPr>
          <w:rFonts w:hint="eastAsia" w:hAnsi="宋体"/>
          <w:bCs/>
          <w:color w:val="000000"/>
          <w:szCs w:val="24"/>
        </w:rPr>
        <w:t>除非注明“供应商可自行制作格式”，响应文件应使用投标文件提供的格式。</w:t>
      </w:r>
    </w:p>
    <w:p>
      <w:pPr>
        <w:spacing w:line="360" w:lineRule="auto"/>
        <w:ind w:firstLine="438" w:firstLineChars="200"/>
        <w:rPr>
          <w:rFonts w:hAnsi="宋体"/>
          <w:color w:val="000000"/>
          <w:szCs w:val="24"/>
        </w:rPr>
      </w:pPr>
      <w:r>
        <w:rPr>
          <w:rFonts w:hint="eastAsia" w:hAnsi="宋体"/>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rPr>
      </w:pPr>
      <w:r>
        <w:rPr>
          <w:rFonts w:hint="eastAsia" w:hAnsi="宋体"/>
          <w:color w:val="000000"/>
          <w:szCs w:val="24"/>
        </w:rPr>
        <w:t>14.4除非投标文件另有规定，响应文件应使用中华人民共和国法定计量单位。</w:t>
      </w:r>
    </w:p>
    <w:p>
      <w:pPr>
        <w:spacing w:line="360" w:lineRule="auto"/>
        <w:ind w:firstLine="438" w:firstLineChars="200"/>
        <w:rPr>
          <w:rFonts w:hAnsi="宋体"/>
          <w:color w:val="000000"/>
          <w:szCs w:val="24"/>
        </w:rPr>
      </w:pPr>
      <w:r>
        <w:rPr>
          <w:rFonts w:hint="eastAsia" w:hAnsi="宋体"/>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rPr>
      </w:pPr>
      <w:r>
        <w:rPr>
          <w:rFonts w:hint="eastAsia" w:hAnsi="宋体"/>
          <w:color w:val="000000"/>
          <w:szCs w:val="24"/>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rPr>
      </w:pPr>
      <w:r>
        <w:rPr>
          <w:rFonts w:hint="eastAsia" w:hAnsi="宋体"/>
          <w:color w:val="000000"/>
          <w:szCs w:val="24"/>
        </w:rPr>
        <w:t>14.7电报、电话、传真形式的投标概不接受。</w:t>
      </w:r>
    </w:p>
    <w:p>
      <w:pPr>
        <w:spacing w:line="360" w:lineRule="auto"/>
        <w:ind w:firstLine="438" w:firstLineChars="200"/>
        <w:rPr>
          <w:rFonts w:hAnsi="宋体"/>
          <w:color w:val="000000"/>
          <w:szCs w:val="24"/>
        </w:rPr>
      </w:pPr>
      <w:r>
        <w:rPr>
          <w:rFonts w:hint="eastAsia" w:hAnsi="宋体"/>
          <w:color w:val="000000"/>
          <w:szCs w:val="24"/>
        </w:rPr>
        <w:t>14.8除非投标文件另有规定，</w:t>
      </w:r>
      <w:r>
        <w:rPr>
          <w:rFonts w:hint="eastAsia" w:hAnsi="宋体"/>
          <w:bCs/>
          <w:color w:val="000000"/>
          <w:szCs w:val="24"/>
        </w:rPr>
        <w:t>采购人</w:t>
      </w:r>
      <w:r>
        <w:rPr>
          <w:rFonts w:hint="eastAsia" w:hAnsi="宋体"/>
          <w:color w:val="000000"/>
          <w:szCs w:val="24"/>
        </w:rPr>
        <w:t>一律不予退还供应商的响应文件。</w:t>
      </w:r>
    </w:p>
    <w:p>
      <w:pPr>
        <w:spacing w:line="360" w:lineRule="auto"/>
        <w:ind w:firstLine="438" w:firstLineChars="200"/>
        <w:rPr>
          <w:rFonts w:hAnsi="宋体"/>
          <w:color w:val="000000"/>
          <w:szCs w:val="24"/>
        </w:rPr>
      </w:pPr>
      <w:r>
        <w:rPr>
          <w:rFonts w:hint="eastAsia" w:hAnsi="宋体"/>
          <w:b/>
          <w:color w:val="000000"/>
          <w:szCs w:val="24"/>
        </w:rPr>
        <w:t>15.报价</w:t>
      </w:r>
    </w:p>
    <w:p>
      <w:pPr>
        <w:spacing w:line="360" w:lineRule="auto"/>
        <w:ind w:firstLine="429" w:firstLineChars="196"/>
        <w:rPr>
          <w:rFonts w:hAnsi="宋体"/>
          <w:color w:val="000000"/>
          <w:kern w:val="2"/>
          <w:szCs w:val="24"/>
        </w:rPr>
      </w:pPr>
      <w:r>
        <w:rPr>
          <w:rFonts w:hint="eastAsia" w:hAnsi="宋体"/>
          <w:color w:val="000000"/>
          <w:kern w:val="2"/>
          <w:szCs w:val="24"/>
        </w:rPr>
        <w:t>15.1供应商应以“包</w:t>
      </w:r>
      <w:r>
        <w:rPr>
          <w:rFonts w:hAnsi="宋体"/>
          <w:color w:val="000000"/>
          <w:kern w:val="2"/>
          <w:szCs w:val="24"/>
        </w:rPr>
        <w:t>”</w:t>
      </w:r>
      <w:r>
        <w:rPr>
          <w:rFonts w:hint="eastAsia" w:hAnsi="宋体"/>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rPr>
      </w:pPr>
      <w:r>
        <w:rPr>
          <w:rFonts w:hAnsi="宋体"/>
          <w:color w:val="000000"/>
          <w:kern w:val="2"/>
          <w:szCs w:val="24"/>
        </w:rPr>
        <w:t>1</w:t>
      </w:r>
      <w:r>
        <w:rPr>
          <w:rFonts w:hint="eastAsia" w:hAnsi="宋体"/>
          <w:color w:val="000000"/>
          <w:kern w:val="2"/>
          <w:szCs w:val="24"/>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rPr>
      </w:pPr>
      <w:r>
        <w:rPr>
          <w:rFonts w:hAnsi="宋体"/>
          <w:color w:val="000000"/>
          <w:kern w:val="2"/>
          <w:szCs w:val="24"/>
        </w:rPr>
        <w:t>1</w:t>
      </w:r>
      <w:r>
        <w:rPr>
          <w:rFonts w:hint="eastAsia" w:hAnsi="宋体"/>
          <w:color w:val="000000"/>
          <w:kern w:val="2"/>
          <w:szCs w:val="24"/>
        </w:rPr>
        <w:t>5.3报价应当低于</w:t>
      </w:r>
      <w:r>
        <w:rPr>
          <w:rFonts w:hAnsi="宋体"/>
          <w:color w:val="000000"/>
          <w:kern w:val="2"/>
          <w:szCs w:val="24"/>
        </w:rPr>
        <w:t>同类货物和服务的市场平均价格。</w:t>
      </w:r>
      <w:r>
        <w:rPr>
          <w:rFonts w:hint="eastAsia" w:hAnsi="宋体"/>
          <w:color w:val="000000"/>
          <w:kern w:val="2"/>
          <w:szCs w:val="24"/>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rPr>
      </w:pPr>
      <w:r>
        <w:rPr>
          <w:rFonts w:hAnsi="宋体"/>
          <w:color w:val="000000"/>
          <w:kern w:val="2"/>
          <w:szCs w:val="24"/>
        </w:rPr>
        <w:t>1</w:t>
      </w:r>
      <w:r>
        <w:rPr>
          <w:rFonts w:hint="eastAsia" w:hAnsi="宋体"/>
          <w:color w:val="000000"/>
          <w:kern w:val="2"/>
          <w:szCs w:val="24"/>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rPr>
      </w:pPr>
      <w:r>
        <w:rPr>
          <w:rFonts w:hint="eastAsia" w:hAnsi="宋体"/>
          <w:color w:val="000000"/>
          <w:kern w:val="2"/>
          <w:szCs w:val="24"/>
        </w:rPr>
        <w:t>（1）如单价累计与总价不符，以单价累计为准；</w:t>
      </w:r>
    </w:p>
    <w:p>
      <w:pPr>
        <w:spacing w:line="360" w:lineRule="auto"/>
        <w:ind w:firstLine="550"/>
        <w:rPr>
          <w:rFonts w:hAnsi="宋体"/>
          <w:color w:val="000000"/>
          <w:kern w:val="2"/>
          <w:szCs w:val="24"/>
        </w:rPr>
      </w:pPr>
      <w:r>
        <w:rPr>
          <w:rFonts w:hint="eastAsia" w:hAnsi="宋体"/>
          <w:color w:val="000000"/>
          <w:kern w:val="2"/>
          <w:szCs w:val="24"/>
        </w:rPr>
        <w:t>（2）小写与大写不符，以大写为准。</w:t>
      </w:r>
    </w:p>
    <w:p>
      <w:pPr>
        <w:spacing w:line="360" w:lineRule="auto"/>
        <w:ind w:firstLine="537" w:firstLineChars="245"/>
        <w:rPr>
          <w:rFonts w:hAnsi="宋体"/>
          <w:color w:val="000000"/>
          <w:kern w:val="2"/>
          <w:szCs w:val="24"/>
        </w:rPr>
      </w:pPr>
      <w:r>
        <w:rPr>
          <w:rFonts w:hint="eastAsia" w:hAnsi="宋体"/>
          <w:color w:val="000000"/>
          <w:kern w:val="2"/>
          <w:szCs w:val="24"/>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6</w:t>
      </w:r>
      <w:r>
        <w:rPr>
          <w:rFonts w:hint="eastAsia" w:hAnsi="宋体"/>
          <w:color w:val="000000"/>
          <w:kern w:val="2"/>
          <w:szCs w:val="24"/>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7</w:t>
      </w:r>
      <w:r>
        <w:rPr>
          <w:rFonts w:hint="eastAsia" w:hAnsi="宋体"/>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5.8除</w:t>
      </w:r>
      <w:r>
        <w:rPr>
          <w:rFonts w:hint="eastAsia" w:ascii="黑体" w:hAnsi="黑体"/>
          <w:color w:val="000000"/>
          <w:kern w:val="2"/>
          <w:szCs w:val="24"/>
        </w:rPr>
        <w:t>国家</w:t>
      </w:r>
      <w:r>
        <w:rPr>
          <w:rFonts w:ascii="黑体" w:hAnsi="黑体"/>
          <w:color w:val="000000"/>
          <w:kern w:val="2"/>
          <w:szCs w:val="24"/>
        </w:rPr>
        <w:t>或政府部门</w:t>
      </w:r>
      <w:r>
        <w:rPr>
          <w:rFonts w:hint="eastAsia" w:hAnsi="宋体"/>
          <w:color w:val="000000"/>
          <w:kern w:val="2"/>
          <w:szCs w:val="24"/>
        </w:rPr>
        <w:t>政策性文件规定以外，供应商所报价格在合同实施期间不因市场变化因素而变动。</w:t>
      </w:r>
    </w:p>
    <w:p>
      <w:pPr>
        <w:spacing w:line="360" w:lineRule="auto"/>
        <w:ind w:firstLine="438" w:firstLineChars="200"/>
        <w:rPr>
          <w:rFonts w:hAnsi="宋体"/>
          <w:b/>
          <w:bCs/>
          <w:color w:val="000000"/>
          <w:szCs w:val="24"/>
        </w:rPr>
      </w:pPr>
      <w:r>
        <w:rPr>
          <w:rFonts w:hint="eastAsia" w:hAnsi="宋体"/>
          <w:b/>
          <w:bCs/>
          <w:color w:val="000000"/>
          <w:szCs w:val="24"/>
        </w:rPr>
        <w:t>16.投标内容填写及说明</w:t>
      </w:r>
    </w:p>
    <w:p>
      <w:pPr>
        <w:spacing w:line="360" w:lineRule="auto"/>
        <w:ind w:firstLine="438" w:firstLineChars="200"/>
        <w:rPr>
          <w:rFonts w:hAnsi="宋体"/>
          <w:color w:val="000000"/>
          <w:szCs w:val="24"/>
          <w:u w:val="single"/>
        </w:rPr>
      </w:pPr>
      <w:r>
        <w:rPr>
          <w:rFonts w:hint="eastAsia" w:hAnsi="宋体"/>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rPr>
      </w:pPr>
      <w:r>
        <w:rPr>
          <w:rFonts w:hint="eastAsia" w:hAnsi="宋体"/>
          <w:color w:val="000000"/>
          <w:szCs w:val="24"/>
        </w:rPr>
        <w:t>16.2供应商应在响应文件中提交投标文件要求的有关证明文件，作为其响应文件的一部分。</w:t>
      </w:r>
    </w:p>
    <w:p>
      <w:pPr>
        <w:spacing w:line="360" w:lineRule="auto"/>
        <w:ind w:firstLine="438" w:firstLineChars="200"/>
        <w:rPr>
          <w:rFonts w:hAnsi="宋体"/>
          <w:color w:val="000000"/>
          <w:szCs w:val="24"/>
        </w:rPr>
      </w:pPr>
      <w:r>
        <w:rPr>
          <w:rFonts w:hint="eastAsia" w:hAnsi="宋体"/>
          <w:color w:val="000000"/>
          <w:szCs w:val="24"/>
        </w:rPr>
        <w:t>16</w:t>
      </w:r>
      <w:r>
        <w:rPr>
          <w:rFonts w:hAnsi="宋体"/>
          <w:color w:val="000000"/>
          <w:szCs w:val="24"/>
        </w:rPr>
        <w:t>.</w:t>
      </w:r>
      <w:r>
        <w:rPr>
          <w:rFonts w:hint="eastAsia" w:hAnsi="宋体"/>
          <w:color w:val="000000"/>
          <w:szCs w:val="24"/>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6</w:t>
      </w:r>
      <w:r>
        <w:rPr>
          <w:rFonts w:hAnsi="宋体"/>
          <w:color w:val="000000"/>
          <w:szCs w:val="24"/>
        </w:rPr>
        <w:t>.</w:t>
      </w:r>
      <w:r>
        <w:rPr>
          <w:rFonts w:hint="eastAsia" w:hAnsi="宋体"/>
          <w:color w:val="000000"/>
          <w:szCs w:val="24"/>
        </w:rPr>
        <w:t>4响应文件应字迹清楚、编排有序、内容齐全、不得涂改或增删。如有错漏处必须修改，应在修改处加盖供应商公章。</w:t>
      </w:r>
    </w:p>
    <w:p>
      <w:pPr>
        <w:spacing w:line="360" w:lineRule="auto"/>
        <w:ind w:firstLine="429" w:firstLineChars="196"/>
        <w:rPr>
          <w:rFonts w:hAnsi="宋体"/>
          <w:color w:val="000000"/>
        </w:rPr>
      </w:pPr>
      <w:r>
        <w:rPr>
          <w:rFonts w:hint="eastAsia" w:hAnsi="宋体"/>
          <w:color w:val="000000"/>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rPr>
      </w:pPr>
      <w:r>
        <w:rPr>
          <w:rFonts w:hint="eastAsia" w:hAnsi="宋体"/>
          <w:b/>
          <w:color w:val="000000"/>
          <w:szCs w:val="24"/>
        </w:rPr>
        <w:t>17.投标保证金</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.1</w:t>
      </w:r>
      <w:r>
        <w:rPr>
          <w:rFonts w:hint="eastAsia" w:hAnsi="宋体"/>
          <w:color w:val="000000"/>
          <w:szCs w:val="24"/>
        </w:rPr>
        <w:t>投标前，供应商应向</w:t>
      </w:r>
      <w:r>
        <w:rPr>
          <w:rFonts w:hint="eastAsia" w:hAnsi="宋体"/>
          <w:bCs/>
          <w:color w:val="000000"/>
          <w:szCs w:val="24"/>
        </w:rPr>
        <w:t>采购人</w:t>
      </w:r>
      <w:r>
        <w:rPr>
          <w:rFonts w:hint="eastAsia" w:hAnsi="宋体"/>
          <w:color w:val="000000"/>
          <w:szCs w:val="24"/>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.2</w:t>
      </w:r>
      <w:r>
        <w:rPr>
          <w:rFonts w:hint="eastAsia" w:hAnsi="宋体"/>
          <w:color w:val="000000"/>
          <w:szCs w:val="24"/>
        </w:rPr>
        <w:t>投标保证金可采取下列任何一种形式：</w:t>
      </w:r>
    </w:p>
    <w:p>
      <w:pPr>
        <w:spacing w:line="360" w:lineRule="auto"/>
        <w:ind w:firstLine="438" w:firstLineChars="200"/>
        <w:rPr>
          <w:rFonts w:hAnsi="宋体"/>
          <w:color w:val="000000"/>
          <w:szCs w:val="24"/>
        </w:rPr>
      </w:pPr>
      <w:r>
        <w:rPr>
          <w:rFonts w:hint="eastAsia" w:hAnsi="宋体"/>
          <w:color w:val="000000"/>
          <w:szCs w:val="24"/>
        </w:rPr>
        <w:t>17.2.1异地电汇；</w:t>
      </w:r>
    </w:p>
    <w:p>
      <w:pPr>
        <w:spacing w:line="360" w:lineRule="auto"/>
        <w:ind w:firstLine="438" w:firstLineChars="200"/>
        <w:rPr>
          <w:rFonts w:hAnsi="宋体"/>
          <w:color w:val="000000"/>
          <w:szCs w:val="24"/>
        </w:rPr>
      </w:pPr>
      <w:r>
        <w:rPr>
          <w:rFonts w:hint="eastAsia" w:hAnsi="宋体"/>
          <w:color w:val="000000"/>
          <w:szCs w:val="24"/>
        </w:rPr>
        <w:t>17.2.2本地转帐；</w:t>
      </w:r>
    </w:p>
    <w:p>
      <w:pPr>
        <w:spacing w:line="360" w:lineRule="auto"/>
        <w:ind w:firstLine="438" w:firstLineChars="200"/>
        <w:rPr>
          <w:rFonts w:hAnsi="宋体"/>
          <w:color w:val="000000"/>
          <w:szCs w:val="24"/>
          <w:u w:val="single"/>
        </w:rPr>
      </w:pPr>
      <w:r>
        <w:rPr>
          <w:rFonts w:hint="eastAsia" w:hAnsi="宋体"/>
          <w:color w:val="000000"/>
          <w:szCs w:val="24"/>
        </w:rPr>
        <w:t>17.3</w:t>
      </w:r>
      <w:r>
        <w:rPr>
          <w:rFonts w:hint="eastAsia" w:hAnsi="宋体"/>
          <w:bCs/>
          <w:color w:val="000000"/>
          <w:szCs w:val="24"/>
        </w:rPr>
        <w:t>采购人</w:t>
      </w:r>
      <w:r>
        <w:rPr>
          <w:rFonts w:hint="eastAsia" w:hAnsi="宋体"/>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u w:val="single"/>
        </w:rPr>
      </w:pPr>
      <w:r>
        <w:rPr>
          <w:rFonts w:hint="eastAsia" w:hAnsi="宋体"/>
          <w:color w:val="000000"/>
          <w:szCs w:val="24"/>
        </w:rPr>
        <w:t>17</w:t>
      </w:r>
      <w:r>
        <w:rPr>
          <w:rFonts w:hAnsi="宋体"/>
          <w:color w:val="000000"/>
          <w:szCs w:val="24"/>
        </w:rPr>
        <w:t>.</w:t>
      </w:r>
      <w:r>
        <w:rPr>
          <w:rFonts w:hint="eastAsia" w:hAnsi="宋体"/>
          <w:color w:val="000000"/>
          <w:szCs w:val="24"/>
        </w:rPr>
        <w:t>4未按要求提交投标保证金的投标，将被视为非响应性投标而导致投标无效。</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5</w:t>
      </w:r>
      <w:r>
        <w:rPr>
          <w:rFonts w:hint="eastAsia" w:hAnsi="宋体"/>
          <w:bCs/>
          <w:color w:val="000000"/>
          <w:szCs w:val="24"/>
        </w:rPr>
        <w:t>采购人</w:t>
      </w:r>
      <w:r>
        <w:rPr>
          <w:rFonts w:hint="eastAsia" w:hAnsi="宋体"/>
          <w:color w:val="000000"/>
          <w:szCs w:val="24"/>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rPr>
      </w:pPr>
      <w:r>
        <w:rPr>
          <w:rFonts w:hint="eastAsia" w:hAnsi="宋体"/>
          <w:color w:val="000000"/>
          <w:szCs w:val="24"/>
        </w:rPr>
        <w:t>投标保证金只退还至供应商账户。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6下列任何情况发生时，投标保证金将不予退还：</w:t>
      </w:r>
    </w:p>
    <w:p>
      <w:pPr>
        <w:spacing w:line="360" w:lineRule="auto"/>
        <w:ind w:firstLine="438" w:firstLineChars="200"/>
        <w:rPr>
          <w:rFonts w:hAnsi="宋体"/>
          <w:color w:val="000000"/>
        </w:rPr>
      </w:pPr>
      <w:r>
        <w:rPr>
          <w:rFonts w:hint="eastAsia" w:hAnsi="宋体"/>
          <w:color w:val="000000"/>
        </w:rPr>
        <w:t>（一）供应商在提交响应文件截止时间后撤回响应文件的；</w:t>
      </w:r>
    </w:p>
    <w:p>
      <w:pPr>
        <w:spacing w:line="360" w:lineRule="auto"/>
        <w:ind w:firstLine="438" w:firstLineChars="200"/>
        <w:rPr>
          <w:rFonts w:hAnsi="宋体"/>
          <w:color w:val="000000"/>
        </w:rPr>
      </w:pPr>
      <w:r>
        <w:rPr>
          <w:rFonts w:hint="eastAsia" w:hAnsi="宋体"/>
          <w:color w:val="000000"/>
        </w:rPr>
        <w:t>（二）供应商在响应文件中提供虚假材料的；</w:t>
      </w:r>
    </w:p>
    <w:p>
      <w:pPr>
        <w:spacing w:line="360" w:lineRule="auto"/>
        <w:ind w:firstLine="438" w:firstLineChars="200"/>
        <w:rPr>
          <w:rFonts w:hAnsi="宋体"/>
          <w:color w:val="000000"/>
        </w:rPr>
      </w:pPr>
      <w:r>
        <w:rPr>
          <w:rFonts w:hint="eastAsia" w:hAnsi="宋体"/>
          <w:color w:val="000000"/>
        </w:rPr>
        <w:t>（三）除因不可抗力或投标文件认可的情形以外，成交供应商放弃成交资格或不与采购人签订合同的；</w:t>
      </w:r>
    </w:p>
    <w:p>
      <w:pPr>
        <w:spacing w:line="360" w:lineRule="auto"/>
        <w:ind w:firstLine="438" w:firstLineChars="200"/>
        <w:rPr>
          <w:rFonts w:hAnsi="宋体"/>
          <w:color w:val="000000"/>
        </w:rPr>
      </w:pPr>
      <w:r>
        <w:rPr>
          <w:rFonts w:hint="eastAsia" w:hAnsi="宋体"/>
          <w:color w:val="000000"/>
        </w:rPr>
        <w:t>（四）供应商与采购人、其他供应商或者采购代理机构恶意串通的；</w:t>
      </w:r>
    </w:p>
    <w:p>
      <w:pPr>
        <w:spacing w:line="360" w:lineRule="auto"/>
        <w:ind w:firstLine="438" w:firstLineChars="200"/>
        <w:rPr>
          <w:rFonts w:hAnsi="宋体"/>
          <w:color w:val="000000"/>
        </w:rPr>
      </w:pPr>
      <w:r>
        <w:rPr>
          <w:rFonts w:hint="eastAsia" w:hAnsi="宋体"/>
          <w:color w:val="000000"/>
        </w:rPr>
        <w:t>（五）采购文件规定的其他情形。</w:t>
      </w:r>
    </w:p>
    <w:p>
      <w:pPr>
        <w:spacing w:line="360" w:lineRule="auto"/>
        <w:ind w:firstLine="438" w:firstLineChars="200"/>
        <w:rPr>
          <w:rFonts w:hAnsi="宋体"/>
          <w:b/>
          <w:color w:val="000000"/>
          <w:szCs w:val="24"/>
        </w:rPr>
      </w:pPr>
      <w:r>
        <w:rPr>
          <w:rFonts w:hint="eastAsia" w:hAnsi="宋体"/>
          <w:b/>
          <w:color w:val="000000"/>
          <w:szCs w:val="24"/>
        </w:rPr>
        <w:t>18.投标有效期</w:t>
      </w:r>
    </w:p>
    <w:p>
      <w:pPr>
        <w:spacing w:line="360" w:lineRule="auto"/>
        <w:ind w:firstLine="438" w:firstLineChars="200"/>
        <w:rPr>
          <w:rFonts w:hAnsi="宋体"/>
          <w:color w:val="000000"/>
          <w:szCs w:val="24"/>
        </w:rPr>
      </w:pPr>
      <w:r>
        <w:rPr>
          <w:rFonts w:hint="eastAsia" w:hAnsi="宋体"/>
          <w:color w:val="000000"/>
          <w:szCs w:val="24"/>
        </w:rPr>
        <w:t>18.1为</w:t>
      </w:r>
      <w:r>
        <w:rPr>
          <w:rFonts w:hAnsi="宋体"/>
          <w:color w:val="000000"/>
          <w:szCs w:val="24"/>
        </w:rPr>
        <w:t>保证</w:t>
      </w:r>
      <w:r>
        <w:rPr>
          <w:rFonts w:hint="eastAsia" w:hAnsi="宋体"/>
          <w:color w:val="000000"/>
          <w:szCs w:val="24"/>
        </w:rPr>
        <w:t>采购</w:t>
      </w:r>
      <w:r>
        <w:rPr>
          <w:rFonts w:hAnsi="宋体"/>
          <w:color w:val="000000"/>
          <w:szCs w:val="24"/>
        </w:rPr>
        <w:t>人有足够的时间完成评标和与成交供应商签订合同</w:t>
      </w:r>
      <w:r>
        <w:rPr>
          <w:rFonts w:hint="eastAsia" w:hAnsi="宋体"/>
          <w:color w:val="000000"/>
          <w:szCs w:val="24"/>
        </w:rPr>
        <w:t>，规定投标有效期。投标有效期期限见供应商须知前附表。</w:t>
      </w:r>
    </w:p>
    <w:p>
      <w:pPr>
        <w:spacing w:line="360" w:lineRule="auto"/>
        <w:ind w:firstLine="438" w:firstLineChars="200"/>
        <w:rPr>
          <w:rFonts w:hAnsi="宋体"/>
          <w:color w:val="000000"/>
          <w:szCs w:val="24"/>
        </w:rPr>
      </w:pPr>
      <w:r>
        <w:rPr>
          <w:rFonts w:hint="eastAsia" w:hAnsi="宋体"/>
          <w:color w:val="000000"/>
          <w:szCs w:val="24"/>
        </w:rPr>
        <w:t>18.2在投标有效期内，供应商的投标保持有效，供应商不得要求撤销或修改其响应文件。</w:t>
      </w:r>
    </w:p>
    <w:p>
      <w:pPr>
        <w:spacing w:line="360" w:lineRule="auto"/>
        <w:ind w:firstLine="438" w:firstLineChars="200"/>
        <w:rPr>
          <w:rFonts w:hAnsi="宋体"/>
          <w:color w:val="000000"/>
          <w:szCs w:val="24"/>
        </w:rPr>
      </w:pPr>
      <w:r>
        <w:rPr>
          <w:rFonts w:hint="eastAsia" w:hAnsi="宋体"/>
          <w:color w:val="000000"/>
          <w:szCs w:val="24"/>
        </w:rPr>
        <w:t>18.3</w:t>
      </w:r>
      <w:r>
        <w:rPr>
          <w:rFonts w:hAnsi="宋体"/>
          <w:color w:val="000000"/>
          <w:szCs w:val="24"/>
        </w:rPr>
        <w:t>投标有效期从</w:t>
      </w:r>
      <w:r>
        <w:rPr>
          <w:rFonts w:hint="eastAsia" w:hAnsi="宋体"/>
          <w:color w:val="000000"/>
          <w:szCs w:val="24"/>
        </w:rPr>
        <w:t>响应文件递交截止日</w:t>
      </w:r>
      <w:r>
        <w:rPr>
          <w:rFonts w:hAnsi="宋体"/>
          <w:color w:val="000000"/>
          <w:szCs w:val="24"/>
        </w:rPr>
        <w:t>起计算。</w:t>
      </w:r>
    </w:p>
    <w:p>
      <w:pPr>
        <w:spacing w:line="360" w:lineRule="auto"/>
        <w:ind w:firstLine="438" w:firstLineChars="200"/>
        <w:rPr>
          <w:rFonts w:hAnsi="宋体"/>
          <w:color w:val="000000"/>
          <w:szCs w:val="24"/>
        </w:rPr>
      </w:pPr>
      <w:r>
        <w:rPr>
          <w:rFonts w:hint="eastAsia" w:hAnsi="宋体"/>
          <w:color w:val="000000"/>
          <w:szCs w:val="24"/>
        </w:rPr>
        <w:t>18.4在原定投标有效期满之前，如果出现特殊情况，</w:t>
      </w:r>
      <w:r>
        <w:rPr>
          <w:rFonts w:hint="eastAsia" w:hAnsi="宋体"/>
          <w:bCs/>
          <w:color w:val="000000"/>
          <w:szCs w:val="24"/>
        </w:rPr>
        <w:t>采购人</w:t>
      </w:r>
      <w:r>
        <w:rPr>
          <w:rFonts w:hint="eastAsia" w:hAnsi="宋体"/>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rPr>
      </w:pPr>
      <w:r>
        <w:rPr>
          <w:rFonts w:hint="eastAsia" w:hAnsi="宋体"/>
          <w:b/>
          <w:color w:val="000000"/>
          <w:szCs w:val="24"/>
        </w:rPr>
        <w:t>19.响应文件份数和签署</w:t>
      </w:r>
    </w:p>
    <w:p>
      <w:pPr>
        <w:pStyle w:val="108"/>
        <w:snapToGrid w:val="0"/>
        <w:spacing w:line="300" w:lineRule="auto"/>
        <w:ind w:firstLine="548" w:firstLineChars="250"/>
        <w:rPr>
          <w:rFonts w:hAnsi="宋体"/>
          <w:color w:val="000000"/>
          <w:szCs w:val="24"/>
        </w:rPr>
      </w:pPr>
      <w:bookmarkStart w:id="42" w:name="_Hlt509650572"/>
      <w:bookmarkEnd w:id="42"/>
      <w:bookmarkStart w:id="43" w:name="_Toc419376299"/>
      <w:r>
        <w:rPr>
          <w:rFonts w:hint="eastAsia" w:ascii="宋体" w:hAnsi="宋体"/>
          <w:color w:val="000000"/>
          <w:sz w:val="24"/>
        </w:rPr>
        <w:t>19</w:t>
      </w:r>
      <w:r>
        <w:rPr>
          <w:rFonts w:ascii="宋体" w:hAnsi="宋体"/>
          <w:color w:val="000000"/>
          <w:sz w:val="24"/>
        </w:rPr>
        <w:t>.1</w:t>
      </w:r>
      <w:r>
        <w:rPr>
          <w:rFonts w:hint="eastAsia" w:ascii="宋体" w:hAnsi="宋体"/>
          <w:color w:val="000000"/>
          <w:sz w:val="24"/>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rPr>
      </w:pPr>
      <w:bookmarkStart w:id="44" w:name="_Toc527131318"/>
      <w:r>
        <w:rPr>
          <w:rFonts w:hint="eastAsia" w:ascii="宋体" w:hAnsi="宋体" w:eastAsia="宋体"/>
          <w:color w:val="000000"/>
          <w:sz w:val="24"/>
          <w:szCs w:val="24"/>
        </w:rPr>
        <w:t>（四）响应文件的递交</w:t>
      </w:r>
      <w:bookmarkEnd w:id="43"/>
      <w:bookmarkEnd w:id="44"/>
      <w:bookmarkStart w:id="45" w:name="_Hlt509649414"/>
      <w:bookmarkEnd w:id="45"/>
    </w:p>
    <w:p>
      <w:pPr>
        <w:spacing w:line="360" w:lineRule="auto"/>
        <w:ind w:firstLine="438" w:firstLineChars="200"/>
        <w:rPr>
          <w:rFonts w:hAnsi="宋体"/>
          <w:b/>
          <w:color w:val="000000"/>
          <w:szCs w:val="24"/>
        </w:rPr>
      </w:pPr>
      <w:r>
        <w:rPr>
          <w:rFonts w:hint="eastAsia" w:hAnsi="宋体"/>
          <w:b/>
          <w:color w:val="000000"/>
          <w:szCs w:val="24"/>
        </w:rPr>
        <w:t>20.响应文件的密封和标记</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rPr>
      </w:pPr>
      <w:r>
        <w:rPr>
          <w:rFonts w:hint="eastAsia" w:ascii="黑体" w:hAnsi="黑体" w:cs="黑体"/>
          <w:color w:val="000000"/>
          <w:kern w:val="2"/>
          <w:szCs w:val="22"/>
        </w:rPr>
        <w:t>20.2建议供应商将正本单独封装，全部副本一起封装。</w:t>
      </w:r>
    </w:p>
    <w:p>
      <w:pPr>
        <w:spacing w:line="360" w:lineRule="auto"/>
        <w:ind w:firstLine="548" w:firstLineChars="25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hint="eastAsia" w:ascii="黑体" w:hAnsi="黑体" w:cs="黑体"/>
          <w:color w:val="000000"/>
          <w:kern w:val="2"/>
          <w:szCs w:val="22"/>
        </w:rPr>
        <w:t>0.</w:t>
      </w:r>
      <w:r>
        <w:rPr>
          <w:rFonts w:ascii="黑体" w:hAnsi="黑体" w:cs="黑体"/>
          <w:color w:val="000000"/>
          <w:kern w:val="2"/>
          <w:szCs w:val="22"/>
        </w:rPr>
        <w:t>3</w:t>
      </w:r>
      <w:r>
        <w:rPr>
          <w:rFonts w:hint="eastAsia" w:ascii="黑体" w:hAnsi="黑体" w:cs="黑体"/>
          <w:color w:val="000000"/>
          <w:kern w:val="2"/>
          <w:szCs w:val="22"/>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rPr>
      </w:pPr>
      <w:r>
        <w:rPr>
          <w:rFonts w:hint="eastAsia" w:hAnsi="宋体"/>
          <w:b/>
          <w:color w:val="000000"/>
          <w:szCs w:val="24"/>
        </w:rPr>
        <w:t>21.响应文件的递交</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1.2在投标文件要求提交响应文件的截止时间之后送达的响应文件，采购人将拒绝接收。</w:t>
      </w:r>
    </w:p>
    <w:p>
      <w:pPr>
        <w:spacing w:line="360" w:lineRule="auto"/>
        <w:ind w:firstLine="438" w:firstLineChars="200"/>
        <w:rPr>
          <w:rFonts w:hAnsi="宋体"/>
          <w:b/>
          <w:color w:val="000000"/>
          <w:szCs w:val="24"/>
        </w:rPr>
      </w:pPr>
      <w:r>
        <w:rPr>
          <w:rFonts w:hint="eastAsia" w:hAnsi="宋体"/>
          <w:b/>
          <w:color w:val="000000"/>
          <w:szCs w:val="24"/>
        </w:rPr>
        <w:t>22.响应文件的修改和撤回</w:t>
      </w:r>
    </w:p>
    <w:p>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hint="eastAsia" w:ascii="黑体" w:hAnsi="黑体" w:cs="黑体"/>
          <w:color w:val="000000"/>
          <w:kern w:val="2"/>
          <w:szCs w:val="22"/>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rPr>
      </w:pPr>
      <w:bookmarkStart w:id="48" w:name="_Toc527131319"/>
      <w:r>
        <w:rPr>
          <w:rFonts w:hint="eastAsia" w:ascii="宋体" w:hAnsi="宋体" w:eastAsia="宋体"/>
          <w:color w:val="000000"/>
          <w:sz w:val="24"/>
          <w:szCs w:val="24"/>
        </w:rPr>
        <w:t>（五）投标与评审</w:t>
      </w:r>
      <w:bookmarkEnd w:id="48"/>
    </w:p>
    <w:p>
      <w:pPr>
        <w:spacing w:line="360" w:lineRule="auto"/>
        <w:ind w:firstLine="438" w:firstLineChars="200"/>
        <w:rPr>
          <w:rFonts w:hAnsi="宋体"/>
          <w:b/>
          <w:color w:val="000000"/>
          <w:szCs w:val="24"/>
        </w:rPr>
      </w:pPr>
      <w:r>
        <w:rPr>
          <w:rFonts w:hint="eastAsia" w:hAnsi="宋体"/>
          <w:b/>
          <w:color w:val="000000"/>
          <w:szCs w:val="24"/>
        </w:rPr>
        <w:t>23.接收响应文件</w:t>
      </w:r>
    </w:p>
    <w:p>
      <w:pPr>
        <w:spacing w:line="360" w:lineRule="auto"/>
        <w:ind w:firstLine="438" w:firstLineChars="200"/>
        <w:rPr>
          <w:rFonts w:hAnsi="宋体"/>
          <w:color w:val="000000"/>
          <w:szCs w:val="24"/>
        </w:rPr>
      </w:pPr>
      <w:r>
        <w:rPr>
          <w:rFonts w:hint="eastAsia" w:hAnsi="宋体"/>
          <w:color w:val="000000"/>
          <w:szCs w:val="24"/>
        </w:rPr>
        <w:t>23.1</w:t>
      </w:r>
      <w:r>
        <w:rPr>
          <w:rFonts w:hint="eastAsia" w:hAnsi="宋体"/>
          <w:bCs/>
          <w:color w:val="000000"/>
          <w:szCs w:val="24"/>
        </w:rPr>
        <w:t>采购人</w:t>
      </w:r>
      <w:r>
        <w:rPr>
          <w:rFonts w:hint="eastAsia" w:hAnsi="宋体"/>
          <w:color w:val="000000"/>
          <w:szCs w:val="24"/>
        </w:rPr>
        <w:t>将在供应商须知前附表规定的时间和地点接收响应文件。</w:t>
      </w:r>
    </w:p>
    <w:p>
      <w:pPr>
        <w:spacing w:line="360" w:lineRule="auto"/>
        <w:ind w:firstLine="438" w:firstLineChars="200"/>
        <w:rPr>
          <w:rFonts w:hAnsi="宋体"/>
          <w:color w:val="000000"/>
          <w:szCs w:val="24"/>
        </w:rPr>
      </w:pPr>
      <w:r>
        <w:rPr>
          <w:rFonts w:hint="eastAsia" w:hAnsi="宋体"/>
          <w:color w:val="000000"/>
          <w:szCs w:val="24"/>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rPr>
      </w:pPr>
      <w:r>
        <w:rPr>
          <w:rFonts w:hint="eastAsia" w:hAnsi="宋体"/>
          <w:b/>
          <w:color w:val="000000"/>
          <w:szCs w:val="24"/>
        </w:rPr>
        <w:t>24.投标小组</w:t>
      </w:r>
    </w:p>
    <w:p>
      <w:pPr>
        <w:spacing w:line="360" w:lineRule="auto"/>
        <w:ind w:firstLine="438" w:firstLineChars="200"/>
        <w:rPr>
          <w:rFonts w:hAnsi="宋体"/>
          <w:bCs/>
          <w:color w:val="000000"/>
          <w:szCs w:val="24"/>
        </w:rPr>
      </w:pPr>
      <w:r>
        <w:rPr>
          <w:rFonts w:hint="eastAsia" w:hAnsi="宋体"/>
          <w:bCs/>
          <w:color w:val="000000"/>
          <w:szCs w:val="24"/>
        </w:rPr>
        <w:t>24</w:t>
      </w:r>
      <w:r>
        <w:rPr>
          <w:rFonts w:hAnsi="宋体"/>
          <w:bCs/>
          <w:color w:val="000000"/>
          <w:szCs w:val="24"/>
        </w:rPr>
        <w:t>.</w:t>
      </w:r>
      <w:r>
        <w:rPr>
          <w:rFonts w:hint="eastAsia" w:hAnsi="宋体"/>
          <w:bCs/>
          <w:color w:val="000000"/>
          <w:szCs w:val="24"/>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rPr>
      </w:pPr>
      <w:r>
        <w:rPr>
          <w:rFonts w:hint="eastAsia" w:hAnsi="宋体"/>
          <w:bCs/>
          <w:color w:val="000000"/>
          <w:szCs w:val="24"/>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rPr>
      </w:pPr>
      <w:r>
        <w:rPr>
          <w:rFonts w:hint="eastAsia" w:hAnsi="宋体"/>
          <w:bCs/>
          <w:color w:val="000000"/>
          <w:szCs w:val="24"/>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rPr>
      </w:pPr>
      <w:r>
        <w:rPr>
          <w:rFonts w:hint="eastAsia" w:hAnsi="宋体"/>
          <w:b/>
          <w:color w:val="000000"/>
          <w:szCs w:val="24"/>
        </w:rPr>
        <w:t>25.响应文件评审与投标</w:t>
      </w:r>
    </w:p>
    <w:p>
      <w:pPr>
        <w:spacing w:line="360" w:lineRule="auto"/>
        <w:ind w:firstLine="435"/>
        <w:rPr>
          <w:rFonts w:asciiTheme="minorEastAsia" w:hAnsiTheme="minorEastAsia" w:eastAsiaTheme="minorEastAsia"/>
        </w:rPr>
      </w:pPr>
      <w:r>
        <w:rPr>
          <w:rFonts w:hAnsi="宋体"/>
          <w:color w:val="000000"/>
        </w:rPr>
        <w:t>2</w:t>
      </w:r>
      <w:r>
        <w:rPr>
          <w:rFonts w:hint="eastAsia" w:hAnsi="宋体"/>
          <w:color w:val="000000"/>
        </w:rPr>
        <w:t>5.1采用有效最低价法评审。</w:t>
      </w:r>
      <w:r>
        <w:rPr>
          <w:rFonts w:hint="eastAsia" w:asciiTheme="minorEastAsia" w:hAnsiTheme="minorEastAsia" w:eastAsiaTheme="minorEastAsia"/>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rPr>
      </w:pPr>
      <w:r>
        <w:rPr>
          <w:rFonts w:hAnsi="宋体"/>
          <w:color w:val="000000"/>
        </w:rPr>
        <w:t>2</w:t>
      </w:r>
      <w:r>
        <w:rPr>
          <w:rFonts w:hint="eastAsia" w:hAnsi="宋体"/>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rPr>
      </w:pPr>
      <w:r>
        <w:rPr>
          <w:rFonts w:hAnsi="宋体"/>
          <w:color w:val="000000"/>
        </w:rPr>
        <w:t>2</w:t>
      </w:r>
      <w:r>
        <w:rPr>
          <w:rFonts w:hint="eastAsia" w:hAnsi="宋体"/>
          <w:color w:val="000000"/>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rPr>
      </w:pPr>
      <w:r>
        <w:rPr>
          <w:rFonts w:hint="eastAsia" w:hAnsi="宋体"/>
          <w:color w:val="000000"/>
        </w:rPr>
        <w:t>询标函格式如下：</w:t>
      </w: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Cs/>
          <w:color w:val="000000"/>
          <w:sz w:val="36"/>
          <w:szCs w:val="44"/>
        </w:rPr>
      </w:pPr>
      <w:r>
        <w:rPr>
          <w:rFonts w:hint="eastAsia" w:ascii="华文中宋" w:hAnsi="华文中宋" w:eastAsia="华文中宋"/>
          <w:b/>
          <w:bCs/>
          <w:color w:val="000000"/>
          <w:sz w:val="36"/>
          <w:szCs w:val="44"/>
        </w:rPr>
        <w:t>询 标 函</w:t>
      </w:r>
    </w:p>
    <w:p>
      <w:pPr>
        <w:spacing w:line="460" w:lineRule="exact"/>
        <w:ind w:firstLine="219" w:firstLineChars="100"/>
        <w:rPr>
          <w:rFonts w:hAnsi="宋体"/>
          <w:b/>
          <w:bCs/>
          <w:color w:val="000000"/>
          <w:szCs w:val="24"/>
        </w:rPr>
      </w:pPr>
      <w:r>
        <w:rPr>
          <w:rFonts w:hint="eastAsia" w:hAnsi="宋体"/>
          <w:b/>
          <w:bCs/>
          <w:color w:val="000000"/>
          <w:szCs w:val="24"/>
        </w:rPr>
        <w:t>项目名称：</w:t>
      </w:r>
    </w:p>
    <w:p>
      <w:pPr>
        <w:spacing w:line="460" w:lineRule="exact"/>
        <w:ind w:firstLine="219" w:firstLineChars="100"/>
        <w:rPr>
          <w:rFonts w:hAnsi="宋体"/>
          <w:bCs/>
          <w:color w:val="000000"/>
          <w:szCs w:val="24"/>
        </w:rPr>
      </w:pPr>
      <w:r>
        <w:rPr>
          <w:rFonts w:hint="eastAsia" w:hAnsi="宋体"/>
          <w:b/>
          <w:bCs/>
          <w:color w:val="000000"/>
          <w:szCs w:val="24"/>
        </w:rPr>
        <w:t xml:space="preserve">项目编号：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询标内容</w:t>
            </w:r>
          </w:p>
        </w:tc>
        <w:tc>
          <w:tcPr>
            <w:tcW w:w="7200" w:type="dxa"/>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rPr>
            </w:pPr>
            <w:r>
              <w:rPr>
                <w:rFonts w:hint="eastAsia" w:hAnsi="宋体"/>
                <w:b/>
                <w:bCs/>
                <w:color w:val="000000"/>
                <w:szCs w:val="24"/>
              </w:rPr>
              <w:t>供应商</w:t>
            </w:r>
          </w:p>
          <w:p>
            <w:pPr>
              <w:jc w:val="center"/>
              <w:rPr>
                <w:rFonts w:hAnsi="宋体"/>
                <w:b/>
                <w:bCs/>
                <w:color w:val="000000"/>
                <w:szCs w:val="24"/>
              </w:rPr>
            </w:pPr>
            <w:r>
              <w:rPr>
                <w:rFonts w:hint="eastAsia" w:hAnsi="宋体"/>
                <w:b/>
                <w:bCs/>
                <w:color w:val="000000"/>
                <w:szCs w:val="24"/>
              </w:rPr>
              <w:t>说明并签字</w:t>
            </w:r>
          </w:p>
        </w:tc>
        <w:tc>
          <w:tcPr>
            <w:tcW w:w="7200" w:type="dxa"/>
          </w:tcPr>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spacing w:line="360" w:lineRule="auto"/>
              <w:rPr>
                <w:rFonts w:hAnsi="宋体"/>
                <w:color w:val="000000"/>
                <w:szCs w:val="24"/>
              </w:rPr>
            </w:pPr>
            <w:r>
              <w:rPr>
                <w:rFonts w:hint="eastAsia" w:hAnsi="宋体"/>
                <w:color w:val="000000"/>
                <w:szCs w:val="24"/>
              </w:rPr>
              <w:t>供应商：</w:t>
            </w:r>
          </w:p>
          <w:p>
            <w:pPr>
              <w:spacing w:line="360" w:lineRule="auto"/>
              <w:rPr>
                <w:rFonts w:hAnsi="宋体"/>
                <w:color w:val="000000"/>
                <w:szCs w:val="24"/>
              </w:rPr>
            </w:pPr>
            <w:r>
              <w:rPr>
                <w:rFonts w:hint="eastAsia" w:hAnsi="宋体"/>
                <w:color w:val="000000"/>
                <w:szCs w:val="24"/>
              </w:rPr>
              <w:t>授权委托人签字：</w:t>
            </w:r>
          </w:p>
          <w:p>
            <w:pPr>
              <w:spacing w:line="360" w:lineRule="auto"/>
              <w:rPr>
                <w:rFonts w:hAnsi="宋体"/>
                <w:color w:val="000000"/>
                <w:szCs w:val="24"/>
              </w:rPr>
            </w:pPr>
            <w:r>
              <w:rPr>
                <w:rFonts w:hint="eastAsia" w:hAnsi="宋体"/>
                <w:color w:val="000000"/>
                <w:szCs w:val="24"/>
              </w:rPr>
              <w:t>授权委托人身份证号：</w:t>
            </w:r>
          </w:p>
          <w:p>
            <w:pPr>
              <w:spacing w:line="360" w:lineRule="auto"/>
              <w:rPr>
                <w:rFonts w:hAnsi="宋体"/>
                <w:color w:val="000000"/>
                <w:szCs w:val="24"/>
              </w:rPr>
            </w:pPr>
            <w:r>
              <w:rPr>
                <w:rFonts w:hint="eastAsia" w:hAnsi="宋体"/>
                <w:color w:val="000000"/>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评审结论</w:t>
            </w:r>
          </w:p>
        </w:tc>
        <w:tc>
          <w:tcPr>
            <w:tcW w:w="7200" w:type="dxa"/>
            <w:vAlign w:val="center"/>
          </w:tcPr>
          <w:p>
            <w:pPr>
              <w:rPr>
                <w:rFonts w:hAnsi="宋体"/>
                <w:bCs/>
                <w:color w:val="000000"/>
                <w:szCs w:val="24"/>
              </w:rPr>
            </w:pPr>
            <w:r>
              <w:rPr>
                <w:rFonts w:hint="eastAsia" w:hAnsi="宋体"/>
                <w:bCs/>
                <w:color w:val="000000"/>
                <w:szCs w:val="24"/>
              </w:rPr>
              <w:t>□通过。通过理由：</w:t>
            </w:r>
          </w:p>
          <w:p>
            <w:pPr>
              <w:rPr>
                <w:rFonts w:hAnsi="宋体"/>
                <w:bCs/>
                <w:color w:val="000000"/>
                <w:szCs w:val="24"/>
              </w:rPr>
            </w:pPr>
          </w:p>
          <w:p>
            <w:pPr>
              <w:rPr>
                <w:rFonts w:hAnsi="宋体"/>
                <w:bCs/>
                <w:color w:val="000000"/>
                <w:szCs w:val="24"/>
              </w:rPr>
            </w:pPr>
            <w:r>
              <w:rPr>
                <w:rFonts w:hint="eastAsia" w:hAnsi="宋体"/>
                <w:bCs/>
                <w:color w:val="000000"/>
                <w:szCs w:val="24"/>
              </w:rPr>
              <w:t>□不通过。不通过的投标文件条款依据：</w:t>
            </w:r>
          </w:p>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评审小组签字</w:t>
            </w:r>
          </w:p>
        </w:tc>
        <w:tc>
          <w:tcPr>
            <w:tcW w:w="7200" w:type="dxa"/>
            <w:vAlign w:val="center"/>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rPr>
            </w:pPr>
            <w:r>
              <w:rPr>
                <w:rFonts w:hint="eastAsia" w:hAnsi="宋体"/>
                <w:b/>
                <w:bCs/>
                <w:color w:val="000000"/>
                <w:szCs w:val="24"/>
              </w:rPr>
              <w:t>监督员签字</w:t>
            </w:r>
          </w:p>
        </w:tc>
        <w:tc>
          <w:tcPr>
            <w:tcW w:w="7200" w:type="dxa"/>
          </w:tcPr>
          <w:p>
            <w:pPr>
              <w:rPr>
                <w:rFonts w:hAnsi="宋体"/>
                <w:color w:val="000000"/>
                <w:szCs w:val="24"/>
              </w:rPr>
            </w:pPr>
          </w:p>
        </w:tc>
      </w:tr>
    </w:tbl>
    <w:p>
      <w:pPr>
        <w:spacing w:line="360" w:lineRule="auto"/>
        <w:ind w:firstLine="4371" w:firstLineChars="1996"/>
        <w:rPr>
          <w:rFonts w:hAnsi="宋体"/>
          <w:color w:val="000000"/>
          <w:szCs w:val="24"/>
        </w:rPr>
      </w:pPr>
      <w:r>
        <w:rPr>
          <w:rFonts w:hint="eastAsia" w:hAnsi="宋体"/>
          <w:color w:val="000000"/>
          <w:szCs w:val="24"/>
        </w:rPr>
        <w:t>时间：    年月 日</w:t>
      </w: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r>
        <w:rPr>
          <w:rFonts w:hint="eastAsia" w:hAnsi="宋体"/>
          <w:color w:val="000000"/>
        </w:rPr>
        <w:t>25.4 投标文件的实质性响应内容及评审要求详见下表。</w:t>
      </w:r>
    </w:p>
    <w:tbl>
      <w:tblPr>
        <w:tblStyle w:val="62"/>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8"/>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rPr>
            </w:pPr>
            <w:r>
              <w:rPr>
                <w:rFonts w:hint="eastAsia" w:ascii="宋体" w:hAnsi="宋体"/>
                <w:b/>
                <w:color w:val="000000"/>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序号</w:t>
            </w:r>
          </w:p>
        </w:tc>
        <w:tc>
          <w:tcPr>
            <w:tcW w:w="1888" w:type="dxa"/>
            <w:tcBorders>
              <w:bottom w:val="single" w:color="auto" w:sz="4" w:space="0"/>
            </w:tcBorders>
            <w:vAlign w:val="center"/>
          </w:tcPr>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实质性响应</w:t>
            </w:r>
          </w:p>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营业执照</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合法有效</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3</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无重大违法记录声明函、无不良信用声明函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4</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授权委托书</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原件，符合投标文件要求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rPr>
                <w:rFonts w:hAnsi="宋体"/>
                <w:color w:val="000000"/>
              </w:rPr>
            </w:pPr>
            <w:r>
              <w:rPr>
                <w:rFonts w:hint="eastAsia" w:hAnsi="宋体"/>
                <w:color w:val="000000"/>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5</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投标保证金</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6</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供应商资质</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7</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业绩</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符合投标文件要求（如有）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8</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本地化服务</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9</w:t>
            </w:r>
          </w:p>
        </w:tc>
        <w:tc>
          <w:tcPr>
            <w:tcW w:w="1888" w:type="dxa"/>
            <w:vAlign w:val="center"/>
          </w:tcPr>
          <w:p>
            <w:pPr>
              <w:spacing w:after="50" w:line="360" w:lineRule="auto"/>
              <w:ind w:right="-10"/>
              <w:jc w:val="center"/>
              <w:rPr>
                <w:rFonts w:hAnsi="宋体"/>
                <w:color w:val="000000"/>
              </w:rPr>
            </w:pPr>
            <w:r>
              <w:rPr>
                <w:rFonts w:hint="eastAsia" w:hAnsi="宋体"/>
                <w:color w:val="000000"/>
              </w:rPr>
              <w:t>响应文件规范性</w:t>
            </w:r>
          </w:p>
        </w:tc>
        <w:tc>
          <w:tcPr>
            <w:tcW w:w="2768" w:type="dxa"/>
            <w:vAlign w:val="center"/>
          </w:tcPr>
          <w:p>
            <w:pPr>
              <w:pStyle w:val="218"/>
              <w:pBdr>
                <w:bottom w:val="none" w:color="auto" w:sz="0" w:space="0"/>
              </w:pBdr>
              <w:tabs>
                <w:tab w:val="clear" w:pos="4153"/>
                <w:tab w:val="clear" w:pos="8306"/>
              </w:tabs>
              <w:adjustRightInd/>
              <w:spacing w:after="50" w:line="360" w:lineRule="auto"/>
              <w:ind w:right="-10"/>
              <w:textAlignment w:val="auto"/>
              <w:rPr>
                <w:rFonts w:ascii="宋体" w:hAnsi="宋体"/>
                <w:color w:val="000000"/>
                <w:kern w:val="2"/>
              </w:rPr>
            </w:pPr>
            <w:r>
              <w:rPr>
                <w:rFonts w:hint="eastAsia" w:ascii="宋体" w:hAnsi="宋体"/>
                <w:color w:val="000000"/>
                <w:szCs w:val="28"/>
              </w:rPr>
              <w:t>符合投标文件要求：</w:t>
            </w:r>
            <w:r>
              <w:rPr>
                <w:rFonts w:hint="eastAsia" w:ascii="宋体" w:hAnsi="宋体"/>
                <w:color w:val="000000"/>
                <w:kern w:val="2"/>
              </w:rPr>
              <w:t>封装符合要求；响应文件数量符合投标文件规定。</w:t>
            </w:r>
            <w:r>
              <w:rPr>
                <w:rFonts w:hint="eastAsia" w:ascii="宋体" w:hAnsi="宋体"/>
                <w:color w:val="000000"/>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10</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投标响应情况</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投标报价</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其他要求</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rPr>
            </w:pPr>
            <w:r>
              <w:rPr>
                <w:rFonts w:hint="eastAsia" w:hAnsi="宋体"/>
                <w:color w:val="000000"/>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rPr>
            </w:pPr>
            <w:r>
              <w:rPr>
                <w:rFonts w:hint="eastAsia" w:hAnsi="宋体"/>
                <w:color w:val="000000"/>
              </w:rPr>
              <w:t>注：</w:t>
            </w:r>
          </w:p>
          <w:p>
            <w:pPr>
              <w:spacing w:line="360" w:lineRule="auto"/>
              <w:ind w:firstLine="429" w:firstLineChars="196"/>
              <w:rPr>
                <w:rFonts w:hAnsi="宋体"/>
                <w:color w:val="000000"/>
              </w:rPr>
            </w:pPr>
            <w:r>
              <w:rPr>
                <w:rFonts w:hint="eastAsia" w:hAnsi="宋体"/>
                <w:color w:val="000000"/>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rPr>
            </w:pPr>
            <w:r>
              <w:rPr>
                <w:rFonts w:hint="eastAsia" w:hAnsi="宋体"/>
                <w:color w:val="000000"/>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rPr>
      </w:pPr>
      <w:r>
        <w:rPr>
          <w:rFonts w:hint="eastAsia" w:hAnsi="宋体" w:cs="宋体-18030"/>
          <w:b/>
          <w:color w:val="000000"/>
        </w:rPr>
        <w:t>（二）综合评审</w:t>
      </w:r>
    </w:p>
    <w:p>
      <w:pPr>
        <w:spacing w:line="360" w:lineRule="auto"/>
        <w:ind w:firstLine="429" w:firstLineChars="196"/>
        <w:rPr>
          <w:rFonts w:hAnsi="宋体"/>
          <w:color w:val="000000"/>
        </w:rPr>
      </w:pPr>
      <w:r>
        <w:rPr>
          <w:rFonts w:hint="eastAsia" w:hAnsi="宋体"/>
          <w:color w:val="000000"/>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rPr>
      </w:pPr>
      <w:r>
        <w:rPr>
          <w:rFonts w:hint="eastAsia" w:hAnsi="宋体"/>
          <w:color w:val="000000"/>
        </w:rPr>
        <w:t>2、</w:t>
      </w:r>
      <w:r>
        <w:rPr>
          <w:rFonts w:hint="eastAsia"/>
          <w:b/>
          <w:bCs/>
          <w:color w:val="000000"/>
          <w:u w:val="single"/>
        </w:rPr>
        <w:sym w:font="Wingdings" w:char="F0FE"/>
      </w:r>
      <w:r>
        <w:rPr>
          <w:rFonts w:hint="eastAsia" w:hAnsi="宋体"/>
          <w:color w:val="000000"/>
        </w:rPr>
        <w:t>1）本项目价格分权重为</w:t>
      </w:r>
      <w:r>
        <w:rPr>
          <w:rFonts w:hint="eastAsia" w:hAnsi="宋体"/>
          <w:color w:val="000000"/>
          <w:u w:val="single"/>
        </w:rPr>
        <w:t>100</w:t>
      </w:r>
      <w:r>
        <w:rPr>
          <w:rFonts w:hint="eastAsia" w:hAnsi="宋体"/>
          <w:color w:val="000000"/>
        </w:rPr>
        <w:t>%。</w:t>
      </w:r>
    </w:p>
    <w:p>
      <w:pPr>
        <w:spacing w:line="360" w:lineRule="auto"/>
        <w:ind w:firstLine="438" w:firstLineChars="200"/>
        <w:rPr>
          <w:rFonts w:hAnsi="宋体"/>
          <w:color w:val="000000"/>
          <w:szCs w:val="24"/>
        </w:rPr>
      </w:pPr>
      <w:r>
        <w:rPr>
          <w:rFonts w:hint="eastAsia" w:hAnsi="宋体"/>
          <w:color w:val="000000"/>
          <w:szCs w:val="24"/>
        </w:rPr>
        <w:t>25.5为保证投标活动顺利进行，供应商可派相关技术人员进行现场答疑；</w:t>
      </w:r>
    </w:p>
    <w:p>
      <w:pPr>
        <w:spacing w:line="360" w:lineRule="auto"/>
        <w:ind w:firstLine="438" w:firstLineChars="200"/>
        <w:rPr>
          <w:rFonts w:hAnsi="宋体"/>
          <w:color w:val="000000"/>
          <w:szCs w:val="24"/>
        </w:rPr>
      </w:pPr>
      <w:r>
        <w:rPr>
          <w:rFonts w:hint="eastAsia" w:hAnsi="宋体"/>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6</w:t>
      </w:r>
      <w:r>
        <w:rPr>
          <w:rFonts w:hint="eastAsia" w:hAnsi="宋体"/>
          <w:color w:val="000000"/>
          <w:szCs w:val="24"/>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rPr>
      </w:pPr>
      <w:r>
        <w:rPr>
          <w:rFonts w:hAnsi="宋体"/>
          <w:color w:val="000000"/>
          <w:szCs w:val="24"/>
        </w:rPr>
        <w:t>26</w:t>
      </w:r>
      <w:r>
        <w:rPr>
          <w:rFonts w:hint="eastAsia" w:hAnsi="宋体"/>
          <w:color w:val="000000"/>
          <w:szCs w:val="24"/>
        </w:rPr>
        <w:t>.8</w:t>
      </w:r>
      <w:r>
        <w:rPr>
          <w:rFonts w:hAnsi="宋体" w:cs="宋体"/>
          <w:color w:val="000000"/>
        </w:rPr>
        <w:t>无论何种原因，即使供应商</w:t>
      </w:r>
      <w:r>
        <w:rPr>
          <w:rFonts w:hint="eastAsia" w:hAnsi="宋体" w:cs="宋体"/>
          <w:color w:val="000000"/>
        </w:rPr>
        <w:t>评标</w:t>
      </w:r>
      <w:r>
        <w:rPr>
          <w:rFonts w:hAnsi="宋体" w:cs="宋体"/>
          <w:color w:val="000000"/>
        </w:rPr>
        <w:t>时携带了证书材料的原件，但</w:t>
      </w:r>
      <w:r>
        <w:rPr>
          <w:rFonts w:hint="eastAsia" w:hAnsi="宋体" w:cs="宋体"/>
          <w:color w:val="000000"/>
        </w:rPr>
        <w:t>响应</w:t>
      </w:r>
      <w:r>
        <w:rPr>
          <w:rFonts w:hAnsi="宋体" w:cs="宋体"/>
          <w:color w:val="000000"/>
        </w:rPr>
        <w:t>文件中未提供与之内容完全一致的</w:t>
      </w:r>
      <w:r>
        <w:rPr>
          <w:rFonts w:hint="eastAsia" w:hAnsi="宋体" w:cs="宋体"/>
          <w:color w:val="000000"/>
        </w:rPr>
        <w:t>扫描件</w:t>
      </w:r>
      <w:r>
        <w:rPr>
          <w:rFonts w:hAnsi="宋体" w:cs="宋体"/>
          <w:color w:val="000000"/>
        </w:rPr>
        <w:t>或影印件的，</w:t>
      </w:r>
      <w:r>
        <w:rPr>
          <w:rFonts w:hint="eastAsia" w:hAnsi="宋体" w:cs="宋体"/>
          <w:color w:val="000000"/>
        </w:rPr>
        <w:t>评标小组</w:t>
      </w:r>
      <w:r>
        <w:rPr>
          <w:rFonts w:hAnsi="宋体" w:cs="宋体"/>
          <w:color w:val="000000"/>
        </w:rPr>
        <w:t>可以视同其未提供。</w:t>
      </w:r>
      <w:r>
        <w:rPr>
          <w:rFonts w:hAnsi="宋体" w:cs="宋体"/>
          <w:color w:val="000000"/>
        </w:rPr>
        <w:br w:type="textWrapping"/>
      </w:r>
      <w:r>
        <w:rPr>
          <w:rFonts w:hint="eastAsia" w:hAnsi="宋体"/>
          <w:b/>
          <w:bCs/>
          <w:color w:val="000000"/>
          <w:szCs w:val="24"/>
        </w:rPr>
        <w:t xml:space="preserve">    2</w:t>
      </w:r>
      <w:r>
        <w:rPr>
          <w:rFonts w:hAnsi="宋体"/>
          <w:b/>
          <w:bCs/>
          <w:color w:val="000000"/>
          <w:szCs w:val="24"/>
        </w:rPr>
        <w:t>7</w:t>
      </w:r>
      <w:r>
        <w:rPr>
          <w:rFonts w:hint="eastAsia" w:hAnsi="宋体"/>
          <w:b/>
          <w:color w:val="000000"/>
          <w:szCs w:val="24"/>
        </w:rPr>
        <w:t>.</w:t>
      </w:r>
      <w:r>
        <w:rPr>
          <w:rFonts w:hint="eastAsia" w:hAnsi="宋体"/>
          <w:b/>
          <w:bCs/>
          <w:color w:val="000000"/>
          <w:szCs w:val="24"/>
        </w:rPr>
        <w:t>终止评标</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.1出现下列情况之一时，</w:t>
      </w:r>
      <w:r>
        <w:rPr>
          <w:rFonts w:hint="eastAsia" w:hAnsi="宋体"/>
          <w:bCs/>
          <w:color w:val="000000"/>
          <w:szCs w:val="24"/>
        </w:rPr>
        <w:t>采购人</w:t>
      </w:r>
      <w:r>
        <w:rPr>
          <w:rFonts w:hint="eastAsia" w:hAnsi="宋体"/>
          <w:color w:val="000000"/>
          <w:szCs w:val="24"/>
        </w:rPr>
        <w:t>有权宣布终止采购，并将理由通知所有供应商：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.1.1有效供应商数量不足3家，导致本次评标缺乏竞争的；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.1.2出现影响采购公正的违法、违规行为的；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.1.3因重大变故，采购任务取消的；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.1.4 政府采购法律法规规定的其他情形。</w:t>
      </w:r>
    </w:p>
    <w:p>
      <w:pPr>
        <w:spacing w:line="360" w:lineRule="auto"/>
        <w:ind w:firstLine="438" w:firstLineChars="200"/>
        <w:rPr>
          <w:rFonts w:hAnsi="宋体"/>
          <w:b/>
          <w:bCs/>
          <w:color w:val="000000"/>
          <w:szCs w:val="24"/>
        </w:rPr>
      </w:pPr>
      <w:r>
        <w:rPr>
          <w:rFonts w:hint="eastAsia" w:hAnsi="宋体"/>
          <w:b/>
          <w:bCs/>
          <w:color w:val="000000"/>
          <w:szCs w:val="24"/>
        </w:rPr>
        <w:t>28</w:t>
      </w:r>
      <w:r>
        <w:rPr>
          <w:rFonts w:hint="eastAsia" w:hAnsi="宋体"/>
          <w:b/>
          <w:color w:val="000000"/>
          <w:szCs w:val="24"/>
        </w:rPr>
        <w:t>.</w:t>
      </w:r>
      <w:r>
        <w:rPr>
          <w:rFonts w:hint="eastAsia" w:hAnsi="宋体"/>
          <w:b/>
          <w:bCs/>
          <w:color w:val="000000"/>
          <w:szCs w:val="24"/>
        </w:rPr>
        <w:t>二次采购</w:t>
      </w:r>
    </w:p>
    <w:p>
      <w:pPr>
        <w:spacing w:line="360" w:lineRule="auto"/>
        <w:ind w:firstLine="438" w:firstLineChars="200"/>
        <w:rPr>
          <w:rFonts w:hAnsi="宋体"/>
          <w:color w:val="000000"/>
          <w:szCs w:val="24"/>
        </w:rPr>
      </w:pPr>
      <w:r>
        <w:rPr>
          <w:rFonts w:hint="eastAsia" w:hAnsi="宋体"/>
          <w:color w:val="000000"/>
          <w:szCs w:val="24"/>
        </w:rPr>
        <w:t>28.1项目终止竞争性评标采购后，</w:t>
      </w:r>
      <w:r>
        <w:rPr>
          <w:rFonts w:hint="eastAsia" w:hAnsi="宋体"/>
          <w:bCs/>
          <w:color w:val="000000"/>
          <w:szCs w:val="24"/>
        </w:rPr>
        <w:t>采购人</w:t>
      </w:r>
      <w:r>
        <w:rPr>
          <w:rFonts w:hint="eastAsia" w:hAnsi="宋体"/>
          <w:color w:val="000000"/>
          <w:szCs w:val="24"/>
        </w:rPr>
        <w:t>可能发布二次公告，进行二次采购。</w:t>
      </w:r>
    </w:p>
    <w:p>
      <w:pPr>
        <w:spacing w:line="360" w:lineRule="auto"/>
        <w:ind w:firstLine="438" w:firstLineChars="200"/>
        <w:rPr>
          <w:rFonts w:hAnsi="宋体"/>
          <w:color w:val="000000"/>
          <w:szCs w:val="24"/>
        </w:rPr>
      </w:pPr>
      <w:r>
        <w:rPr>
          <w:rFonts w:hint="eastAsia" w:hAnsi="宋体"/>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rPr>
      </w:pPr>
      <w:bookmarkStart w:id="49" w:name="_Toc527131320"/>
      <w:r>
        <w:rPr>
          <w:rFonts w:hint="eastAsia" w:ascii="宋体" w:hAnsi="宋体" w:eastAsia="宋体"/>
          <w:color w:val="000000"/>
          <w:sz w:val="24"/>
          <w:szCs w:val="24"/>
        </w:rPr>
        <w:t>（六）确定成交供应商与签订合同</w:t>
      </w:r>
      <w:bookmarkEnd w:id="49"/>
    </w:p>
    <w:p>
      <w:pPr>
        <w:spacing w:line="360" w:lineRule="auto"/>
        <w:ind w:firstLine="438" w:firstLineChars="200"/>
        <w:rPr>
          <w:rFonts w:hAnsi="宋体"/>
          <w:b/>
          <w:color w:val="000000"/>
          <w:szCs w:val="24"/>
        </w:rPr>
      </w:pPr>
      <w:r>
        <w:rPr>
          <w:rFonts w:hint="eastAsia" w:hAnsi="宋体"/>
          <w:b/>
          <w:color w:val="000000"/>
          <w:szCs w:val="24"/>
        </w:rPr>
        <w:t>2</w:t>
      </w:r>
      <w:r>
        <w:rPr>
          <w:rFonts w:hAnsi="宋体"/>
          <w:b/>
          <w:color w:val="000000"/>
          <w:szCs w:val="24"/>
        </w:rPr>
        <w:t>9</w:t>
      </w:r>
      <w:r>
        <w:rPr>
          <w:rFonts w:hint="eastAsia" w:hAnsi="宋体"/>
          <w:b/>
          <w:color w:val="000000"/>
          <w:szCs w:val="24"/>
        </w:rPr>
        <w:t>.确定成交供应商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.1评标小组根据详细评审的结果确定成交候选供应商，并标明排列顺序。排名第一的成交候选供应商经采购人确定为成交供应商后，由</w:t>
      </w:r>
      <w:r>
        <w:rPr>
          <w:rFonts w:hint="eastAsia" w:hAnsi="宋体"/>
          <w:bCs/>
          <w:color w:val="000000"/>
          <w:szCs w:val="24"/>
        </w:rPr>
        <w:t>采购人</w:t>
      </w:r>
      <w:r>
        <w:rPr>
          <w:rFonts w:hint="eastAsia" w:hAnsi="宋体"/>
          <w:color w:val="000000"/>
          <w:szCs w:val="24"/>
        </w:rPr>
        <w:t>在公司网站上予以公告。</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rPr>
      </w:pPr>
      <w:r>
        <w:rPr>
          <w:rFonts w:hint="eastAsia" w:hAnsi="宋体"/>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rPr>
      </w:pPr>
      <w:r>
        <w:rPr>
          <w:rFonts w:hint="eastAsia" w:hAnsi="宋体" w:cs="Arial"/>
          <w:bCs/>
          <w:color w:val="000000"/>
        </w:rPr>
        <w:t>供应商对采购过程、成交结果提出质疑，质疑成立且影响或者可能影响成交结果的，合格供应商符合法定数量时，</w:t>
      </w:r>
      <w:r>
        <w:rPr>
          <w:rFonts w:hint="eastAsia" w:hAnsi="宋体" w:cs="Arial"/>
          <w:b/>
          <w:bCs/>
          <w:color w:val="000000"/>
        </w:rPr>
        <w:t>采购人可以从合格的成交候选供应商中另行确定成交供应商，也可以重新开展采购。</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rPr>
      </w:pPr>
      <w:r>
        <w:rPr>
          <w:rFonts w:hAnsi="宋体"/>
          <w:b/>
          <w:color w:val="000000"/>
          <w:szCs w:val="24"/>
        </w:rPr>
        <w:t>30</w:t>
      </w:r>
      <w:r>
        <w:rPr>
          <w:rFonts w:hint="eastAsia" w:hAnsi="宋体"/>
          <w:b/>
          <w:color w:val="000000"/>
          <w:szCs w:val="24"/>
        </w:rPr>
        <w:t>.</w:t>
      </w:r>
      <w:r>
        <w:rPr>
          <w:rFonts w:hint="eastAsia" w:hAnsi="宋体"/>
          <w:b/>
          <w:color w:val="000000"/>
        </w:rPr>
        <w:t>成交通知书</w:t>
      </w:r>
    </w:p>
    <w:p>
      <w:pPr>
        <w:spacing w:line="360" w:lineRule="auto"/>
        <w:ind w:firstLine="438" w:firstLineChars="200"/>
        <w:rPr>
          <w:rFonts w:hAnsi="宋体"/>
          <w:color w:val="000000"/>
        </w:rPr>
      </w:pPr>
      <w:r>
        <w:rPr>
          <w:rFonts w:hAnsi="宋体"/>
          <w:color w:val="000000"/>
        </w:rPr>
        <w:t>30</w:t>
      </w:r>
      <w:r>
        <w:rPr>
          <w:rFonts w:hint="eastAsia" w:hAnsi="宋体"/>
          <w:color w:val="000000"/>
        </w:rPr>
        <w:t>.1各方均无异议或最终审查结果无误的成交供应商，</w:t>
      </w:r>
      <w:r>
        <w:rPr>
          <w:rFonts w:hint="eastAsia" w:hAnsi="宋体"/>
          <w:bCs/>
          <w:color w:val="000000"/>
          <w:szCs w:val="24"/>
        </w:rPr>
        <w:t>采购人</w:t>
      </w:r>
      <w:r>
        <w:rPr>
          <w:rFonts w:hint="eastAsia" w:hAnsi="宋体"/>
          <w:color w:val="000000"/>
        </w:rPr>
        <w:t>将向其发出成交通知书。成交通知书是合同的组成部分。</w:t>
      </w:r>
    </w:p>
    <w:p>
      <w:pPr>
        <w:spacing w:line="360" w:lineRule="auto"/>
        <w:ind w:firstLine="438" w:firstLineChars="200"/>
        <w:rPr>
          <w:rFonts w:hAnsi="宋体"/>
          <w:color w:val="000000"/>
        </w:rPr>
      </w:pPr>
      <w:r>
        <w:rPr>
          <w:rFonts w:hAnsi="宋体"/>
          <w:color w:val="000000"/>
        </w:rPr>
        <w:t>30</w:t>
      </w:r>
      <w:r>
        <w:rPr>
          <w:rFonts w:hint="eastAsia" w:hAnsi="宋体"/>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rPr>
      </w:pPr>
      <w:r>
        <w:rPr>
          <w:rFonts w:hint="eastAsia" w:hAnsi="宋体"/>
          <w:color w:val="000000"/>
        </w:rPr>
        <w:t>30.3采购人对未成交的供应商不做未成交原因的解释。</w:t>
      </w:r>
    </w:p>
    <w:p>
      <w:pPr>
        <w:spacing w:line="360" w:lineRule="auto"/>
        <w:ind w:firstLine="429" w:firstLineChars="196"/>
        <w:rPr>
          <w:rFonts w:hAnsi="宋体"/>
          <w:b/>
          <w:color w:val="000000"/>
        </w:rPr>
      </w:pPr>
      <w:r>
        <w:rPr>
          <w:rFonts w:hint="eastAsia" w:hAnsi="宋体"/>
          <w:b/>
          <w:color w:val="000000"/>
        </w:rPr>
        <w:t>3</w:t>
      </w:r>
      <w:r>
        <w:rPr>
          <w:rFonts w:hAnsi="宋体"/>
          <w:b/>
          <w:color w:val="000000"/>
        </w:rPr>
        <w:t>1</w:t>
      </w:r>
      <w:r>
        <w:rPr>
          <w:rFonts w:hint="eastAsia" w:hAnsi="宋体"/>
          <w:b/>
          <w:color w:val="000000"/>
        </w:rPr>
        <w:t>.成交服务费</w:t>
      </w:r>
    </w:p>
    <w:p>
      <w:pPr>
        <w:spacing w:line="360" w:lineRule="auto"/>
        <w:ind w:firstLine="429" w:firstLineChars="196"/>
        <w:rPr>
          <w:rFonts w:hAnsi="宋体"/>
          <w:color w:val="000000"/>
        </w:rPr>
      </w:pPr>
      <w:r>
        <w:rPr>
          <w:rFonts w:hint="eastAsia" w:hAnsi="宋体"/>
          <w:color w:val="000000"/>
        </w:rPr>
        <w:t>3</w:t>
      </w:r>
      <w:r>
        <w:rPr>
          <w:rFonts w:hAnsi="宋体"/>
          <w:color w:val="000000"/>
        </w:rPr>
        <w:t>1</w:t>
      </w:r>
      <w:r>
        <w:rPr>
          <w:rFonts w:hint="eastAsia" w:hAnsi="宋体"/>
          <w:color w:val="000000"/>
        </w:rPr>
        <w:t>.1本项目无</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2</w:t>
      </w:r>
      <w:r>
        <w:rPr>
          <w:rFonts w:hint="eastAsia" w:hAnsi="宋体"/>
          <w:b/>
          <w:color w:val="000000"/>
          <w:szCs w:val="24"/>
        </w:rPr>
        <w:t>.履约保证金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.1成交供应商在收到成交通知书后七个工作日内，应按照评标前须知附表规定缴纳履约保证金。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.2供应商须知前附表约定免收履约保证金的，从其规定。</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.3如果成交供应商未按照上款规定缴纳履约保证金，</w:t>
      </w:r>
      <w:r>
        <w:rPr>
          <w:rFonts w:hint="eastAsia" w:hAnsi="宋体"/>
          <w:bCs/>
          <w:color w:val="000000"/>
          <w:szCs w:val="24"/>
        </w:rPr>
        <w:t>采购人</w:t>
      </w:r>
      <w:r>
        <w:rPr>
          <w:rFonts w:hint="eastAsia" w:hAnsi="宋体"/>
          <w:color w:val="000000"/>
          <w:szCs w:val="24"/>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3</w:t>
      </w:r>
      <w:r>
        <w:rPr>
          <w:rFonts w:hint="eastAsia" w:hAnsi="宋体"/>
          <w:b/>
          <w:color w:val="000000"/>
          <w:szCs w:val="24"/>
        </w:rPr>
        <w:t>.签订合同</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.1成交供应商应按</w:t>
      </w:r>
      <w:r>
        <w:rPr>
          <w:rFonts w:hint="eastAsia" w:hAnsi="宋体"/>
          <w:bCs/>
          <w:color w:val="000000"/>
          <w:szCs w:val="24"/>
        </w:rPr>
        <w:t>采购人</w:t>
      </w:r>
      <w:r>
        <w:rPr>
          <w:rFonts w:hint="eastAsia" w:hAnsi="宋体"/>
          <w:color w:val="000000"/>
          <w:szCs w:val="24"/>
        </w:rPr>
        <w:t>规定的时间、地点与采购人签订采购合同。合同见证前成交供应商应向</w:t>
      </w:r>
      <w:r>
        <w:rPr>
          <w:rFonts w:hint="eastAsia" w:hAnsi="宋体"/>
          <w:bCs/>
          <w:color w:val="000000"/>
          <w:szCs w:val="24"/>
        </w:rPr>
        <w:t>采购人</w:t>
      </w:r>
      <w:r>
        <w:rPr>
          <w:rFonts w:hint="eastAsia" w:hAnsi="宋体"/>
          <w:color w:val="000000"/>
          <w:szCs w:val="24"/>
        </w:rPr>
        <w:t>出示履约保证金缴纳证明。</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rPr>
        <w:t>采购人</w:t>
      </w:r>
      <w:r>
        <w:rPr>
          <w:rFonts w:hint="eastAsia" w:hAnsi="宋体"/>
          <w:color w:val="000000"/>
          <w:szCs w:val="24"/>
        </w:rPr>
        <w:t>概不负责，合同风险由双方自行承担。</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rPr>
        <w:t>采购人</w:t>
      </w:r>
      <w:r>
        <w:rPr>
          <w:rFonts w:hint="eastAsia" w:hAnsi="宋体"/>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4</w:t>
      </w:r>
      <w:r>
        <w:rPr>
          <w:rFonts w:hint="eastAsia" w:hAnsi="宋体"/>
          <w:b/>
          <w:color w:val="000000"/>
          <w:szCs w:val="24"/>
        </w:rPr>
        <w:t>.验收</w:t>
      </w:r>
    </w:p>
    <w:p>
      <w:pPr>
        <w:spacing w:line="360" w:lineRule="auto"/>
        <w:ind w:firstLine="438" w:firstLineChars="200"/>
        <w:rPr>
          <w:rFonts w:hAnsi="宋体"/>
          <w:color w:val="000000"/>
          <w:szCs w:val="24"/>
        </w:rPr>
      </w:pPr>
      <w:r>
        <w:rPr>
          <w:rFonts w:hint="eastAsia" w:hAnsi="宋体"/>
          <w:color w:val="000000"/>
        </w:rPr>
        <w:t>3</w:t>
      </w:r>
      <w:r>
        <w:rPr>
          <w:rFonts w:hAnsi="宋体"/>
          <w:color w:val="000000"/>
        </w:rPr>
        <w:t>4</w:t>
      </w:r>
      <w:r>
        <w:rPr>
          <w:rFonts w:hint="eastAsia" w:hAnsi="宋体"/>
          <w:color w:val="000000"/>
        </w:rPr>
        <w:t>.1</w:t>
      </w:r>
      <w:r>
        <w:rPr>
          <w:rFonts w:hint="eastAsia" w:hAnsi="宋体"/>
          <w:color w:val="000000"/>
          <w:szCs w:val="24"/>
        </w:rPr>
        <w:t>项目验收按照《合肥经济技术开发区公用公司采购管理制度》文件执行。</w:t>
      </w:r>
    </w:p>
    <w:p>
      <w:pPr>
        <w:spacing w:line="360" w:lineRule="auto"/>
        <w:ind w:firstLine="438" w:firstLineChars="200"/>
        <w:rPr>
          <w:rFonts w:hAnsi="宋体"/>
          <w:color w:val="000000"/>
          <w:szCs w:val="24"/>
        </w:rPr>
      </w:pPr>
      <w:r>
        <w:rPr>
          <w:rFonts w:hint="eastAsia" w:hAnsi="宋体"/>
          <w:color w:val="000000"/>
          <w:szCs w:val="24"/>
        </w:rPr>
        <w:t>34.2涉及安全、消防、环保等其他需要由质检或行业主管部门进行验收的项目，必须邀请相关部门或相关专家参与验收。</w:t>
      </w:r>
      <w:r>
        <w:rPr>
          <w:rFonts w:hint="eastAsia" w:hAnsi="宋体"/>
          <w:color w:val="000000"/>
        </w:rPr>
        <w:t>检测</w:t>
      </w:r>
      <w:r>
        <w:rPr>
          <w:rFonts w:hint="eastAsia" w:hAnsi="宋体"/>
          <w:b/>
          <w:color w:val="000000"/>
        </w:rPr>
        <w:t>、验收费用</w:t>
      </w:r>
      <w:r>
        <w:rPr>
          <w:rFonts w:hint="eastAsia" w:hAnsi="宋体"/>
          <w:color w:val="000000"/>
        </w:rPr>
        <w:t>均由合同乙方（成交供应商）承担。</w:t>
      </w:r>
    </w:p>
    <w:p>
      <w:pPr>
        <w:spacing w:line="360" w:lineRule="auto"/>
        <w:ind w:firstLine="429" w:firstLineChars="196"/>
        <w:rPr>
          <w:rFonts w:hAnsi="宋体"/>
          <w:color w:val="000000"/>
        </w:rPr>
      </w:pPr>
      <w:r>
        <w:rPr>
          <w:rFonts w:hint="eastAsia" w:hAnsi="宋体"/>
          <w:color w:val="000000"/>
        </w:rPr>
        <w:t>3</w:t>
      </w:r>
      <w:r>
        <w:rPr>
          <w:rFonts w:hAnsi="宋体"/>
          <w:color w:val="000000"/>
        </w:rPr>
        <w:t>4</w:t>
      </w:r>
      <w:r>
        <w:rPr>
          <w:rFonts w:hint="eastAsia" w:hAnsi="宋体"/>
          <w:color w:val="000000"/>
        </w:rPr>
        <w:t>.3 采购人</w:t>
      </w:r>
      <w:r>
        <w:rPr>
          <w:rFonts w:hAnsi="宋体"/>
          <w:color w:val="000000"/>
        </w:rPr>
        <w:t>与</w:t>
      </w:r>
      <w:r>
        <w:rPr>
          <w:rFonts w:hint="eastAsia" w:hAnsi="宋体"/>
          <w:color w:val="000000"/>
        </w:rPr>
        <w:t>成交</w:t>
      </w:r>
      <w:r>
        <w:rPr>
          <w:rFonts w:hAnsi="宋体"/>
          <w:color w:val="000000"/>
        </w:rPr>
        <w:t>供应商应当根据合同法的约定依法履行</w:t>
      </w:r>
      <w:r>
        <w:rPr>
          <w:rFonts w:hint="eastAsia" w:hAnsi="宋体"/>
          <w:color w:val="000000"/>
        </w:rPr>
        <w:t>合同</w:t>
      </w:r>
      <w:r>
        <w:rPr>
          <w:rFonts w:hAnsi="宋体"/>
          <w:color w:val="000000"/>
        </w:rPr>
        <w:t>义务。</w:t>
      </w:r>
    </w:p>
    <w:p>
      <w:pPr>
        <w:spacing w:line="360" w:lineRule="auto"/>
        <w:ind w:firstLine="429" w:firstLineChars="196"/>
        <w:rPr>
          <w:rFonts w:hAnsi="宋体"/>
          <w:bCs/>
          <w:color w:val="000000"/>
        </w:rPr>
      </w:pPr>
      <w:r>
        <w:rPr>
          <w:rFonts w:hint="eastAsia" w:hAnsi="宋体"/>
          <w:bCs/>
          <w:color w:val="000000"/>
        </w:rPr>
        <w:t>采购合同的履行、违约责任和解决争议的方式等适用《中华人民共和国合同法》。</w:t>
      </w:r>
    </w:p>
    <w:p>
      <w:pPr>
        <w:spacing w:line="360" w:lineRule="auto"/>
        <w:ind w:firstLine="429" w:firstLineChars="196"/>
        <w:rPr>
          <w:rFonts w:hAnsi="宋体"/>
          <w:bCs/>
          <w:color w:val="000000"/>
        </w:rPr>
      </w:pPr>
      <w:r>
        <w:rPr>
          <w:rFonts w:hint="eastAsia" w:hAnsi="宋体"/>
          <w:bCs/>
          <w:color w:val="000000"/>
        </w:rPr>
        <w:t>采购人应当</w:t>
      </w:r>
      <w:r>
        <w:rPr>
          <w:rFonts w:hAnsi="宋体"/>
          <w:bCs/>
          <w:color w:val="000000"/>
        </w:rPr>
        <w:t>加强对</w:t>
      </w:r>
      <w:r>
        <w:rPr>
          <w:rFonts w:hint="eastAsia" w:hAnsi="宋体"/>
          <w:bCs/>
          <w:color w:val="000000"/>
        </w:rPr>
        <w:t>成交供应商</w:t>
      </w:r>
      <w:r>
        <w:rPr>
          <w:rFonts w:hAnsi="宋体"/>
          <w:bCs/>
          <w:color w:val="000000"/>
        </w:rPr>
        <w:t>的履约管理，并按照采购合同约定，及时向</w:t>
      </w:r>
      <w:r>
        <w:rPr>
          <w:rFonts w:hint="eastAsia" w:hAnsi="宋体"/>
          <w:bCs/>
          <w:color w:val="000000"/>
        </w:rPr>
        <w:t>成交</w:t>
      </w:r>
      <w:r>
        <w:rPr>
          <w:rFonts w:hAnsi="宋体"/>
          <w:bCs/>
          <w:color w:val="000000"/>
        </w:rPr>
        <w:t>供应商支付采购资金。</w:t>
      </w:r>
      <w:r>
        <w:rPr>
          <w:rFonts w:hint="eastAsia" w:hAnsi="宋体"/>
          <w:bCs/>
          <w:color w:val="000000"/>
        </w:rPr>
        <w:t>对于成交</w:t>
      </w:r>
      <w:r>
        <w:rPr>
          <w:rFonts w:hAnsi="宋体"/>
          <w:bCs/>
          <w:color w:val="000000"/>
        </w:rPr>
        <w:t>供应商违反采购合同</w:t>
      </w:r>
      <w:r>
        <w:rPr>
          <w:rFonts w:hint="eastAsia" w:hAnsi="宋体"/>
          <w:bCs/>
          <w:color w:val="000000"/>
        </w:rPr>
        <w:t>约定</w:t>
      </w:r>
      <w:r>
        <w:rPr>
          <w:rFonts w:hAnsi="宋体"/>
          <w:bCs/>
          <w:color w:val="000000"/>
        </w:rPr>
        <w:t>的行为，采购人应该及时处理，</w:t>
      </w:r>
      <w:r>
        <w:rPr>
          <w:rFonts w:hint="eastAsia" w:hAnsi="宋体"/>
          <w:bCs/>
          <w:color w:val="000000"/>
        </w:rPr>
        <w:t>依法</w:t>
      </w:r>
      <w:r>
        <w:rPr>
          <w:rFonts w:hAnsi="宋体"/>
          <w:bCs/>
          <w:color w:val="000000"/>
        </w:rPr>
        <w:t>追究其违约责任。</w:t>
      </w:r>
    </w:p>
    <w:p>
      <w:pPr>
        <w:topLinePunct/>
        <w:spacing w:line="360" w:lineRule="auto"/>
        <w:ind w:firstLine="438" w:firstLineChars="200"/>
        <w:rPr>
          <w:rFonts w:hAnsi="宋体"/>
          <w:b/>
          <w:bCs/>
          <w:color w:val="000000"/>
          <w:szCs w:val="24"/>
        </w:rPr>
      </w:pPr>
      <w:r>
        <w:rPr>
          <w:rFonts w:hint="eastAsia" w:hAnsi="宋体"/>
          <w:b/>
          <w:bCs/>
          <w:color w:val="000000"/>
          <w:szCs w:val="24"/>
        </w:rPr>
        <w:t>35</w:t>
      </w:r>
      <w:r>
        <w:rPr>
          <w:rFonts w:hint="eastAsia" w:hAnsi="宋体"/>
          <w:b/>
          <w:color w:val="000000"/>
          <w:szCs w:val="24"/>
        </w:rPr>
        <w:t>.</w:t>
      </w:r>
      <w:r>
        <w:rPr>
          <w:rFonts w:hint="eastAsia" w:hAnsi="宋体"/>
          <w:b/>
          <w:bCs/>
          <w:color w:val="000000"/>
          <w:szCs w:val="24"/>
        </w:rPr>
        <w:t>质疑</w:t>
      </w:r>
    </w:p>
    <w:p>
      <w:pPr>
        <w:widowControl/>
        <w:shd w:val="clear" w:color="auto" w:fill="FFFFFF"/>
        <w:wordWrap w:val="0"/>
        <w:spacing w:before="150" w:line="420" w:lineRule="atLeast"/>
        <w:ind w:firstLine="438" w:firstLineChars="200"/>
        <w:jc w:val="left"/>
        <w:rPr>
          <w:rFonts w:hAnsi="宋体"/>
          <w:b/>
          <w:color w:val="000000"/>
        </w:rPr>
      </w:pPr>
      <w:r>
        <w:rPr>
          <w:rFonts w:hint="eastAsia" w:hAnsi="宋体"/>
          <w:b/>
          <w:bCs/>
          <w:color w:val="000000"/>
        </w:rPr>
        <w:t>35.1质疑人</w:t>
      </w:r>
      <w:r>
        <w:rPr>
          <w:rFonts w:hint="eastAsia" w:hAnsi="宋体"/>
          <w:b/>
          <w:color w:val="000000"/>
        </w:rPr>
        <w:t>认为</w:t>
      </w:r>
      <w:r>
        <w:rPr>
          <w:rFonts w:hint="eastAsia" w:hAnsi="宋体" w:cs="Arial"/>
          <w:b/>
          <w:color w:val="000000"/>
        </w:rPr>
        <w:t>评标文件</w:t>
      </w:r>
      <w:r>
        <w:rPr>
          <w:rFonts w:hAnsi="宋体" w:cs="Arial"/>
          <w:b/>
          <w:color w:val="000000"/>
        </w:rPr>
        <w:t>、采购过程、成交结果使自己的权益受到损害的，可以在知道或者应知其权益受到损害之日起</w:t>
      </w:r>
      <w:r>
        <w:rPr>
          <w:rFonts w:hint="eastAsia" w:hAnsi="宋体" w:cs="Arial"/>
          <w:b/>
          <w:color w:val="000000"/>
        </w:rPr>
        <w:t>3</w:t>
      </w:r>
      <w:r>
        <w:rPr>
          <w:rFonts w:hAnsi="宋体" w:cs="Arial"/>
          <w:b/>
          <w:color w:val="000000"/>
        </w:rPr>
        <w:t>个工作日内，向采购人、</w:t>
      </w:r>
      <w:r>
        <w:rPr>
          <w:rFonts w:hint="eastAsia" w:hAnsi="宋体" w:cs="Arial"/>
          <w:b/>
          <w:color w:val="000000"/>
        </w:rPr>
        <w:t>采购人</w:t>
      </w:r>
      <w:r>
        <w:rPr>
          <w:rFonts w:hAnsi="宋体" w:cs="Arial"/>
          <w:b/>
          <w:color w:val="000000"/>
        </w:rPr>
        <w:t>提出质疑</w:t>
      </w:r>
      <w:r>
        <w:rPr>
          <w:rFonts w:hint="eastAsia" w:hAnsi="宋体"/>
          <w:b/>
          <w:bCs/>
          <w:color w:val="000000"/>
        </w:rPr>
        <w:t>。</w:t>
      </w:r>
    </w:p>
    <w:p>
      <w:pPr>
        <w:spacing w:line="360" w:lineRule="auto"/>
        <w:ind w:firstLine="438" w:firstLineChars="200"/>
        <w:rPr>
          <w:rFonts w:hAnsi="宋体"/>
          <w:bCs/>
          <w:color w:val="000000"/>
        </w:rPr>
      </w:pPr>
      <w:r>
        <w:rPr>
          <w:rFonts w:hint="eastAsia" w:hAnsi="宋体"/>
          <w:bCs/>
          <w:color w:val="000000"/>
        </w:rPr>
        <w:t>质疑实行实名制，应当有具体的事项及根据，不得进行虚假、恶意质疑，扰乱采购活动的正常工作秩序。</w:t>
      </w:r>
    </w:p>
    <w:p>
      <w:pPr>
        <w:spacing w:line="360" w:lineRule="auto"/>
        <w:ind w:firstLine="438" w:firstLineChars="200"/>
        <w:rPr>
          <w:rFonts w:hAnsi="宋体"/>
          <w:bCs/>
          <w:color w:val="000000"/>
        </w:rPr>
      </w:pPr>
      <w:r>
        <w:rPr>
          <w:rFonts w:hint="eastAsia" w:hAnsi="宋体"/>
          <w:bCs/>
          <w:color w:val="000000"/>
        </w:rPr>
        <w:t>35.2</w:t>
      </w:r>
      <w:r>
        <w:rPr>
          <w:rFonts w:hint="eastAsia" w:hAnsi="宋体" w:cs="Arial"/>
          <w:color w:val="000000"/>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rPr>
      </w:pPr>
      <w:r>
        <w:rPr>
          <w:rFonts w:hAnsi="宋体"/>
          <w:bCs/>
          <w:color w:val="000000"/>
        </w:rPr>
        <w:t>3</w:t>
      </w:r>
      <w:r>
        <w:rPr>
          <w:rFonts w:hint="eastAsia" w:hAnsi="宋体"/>
          <w:bCs/>
          <w:color w:val="000000"/>
        </w:rPr>
        <w:t>5.3质疑应以书面形式实名提出，书面质疑材料应当包括以下内容：</w:t>
      </w:r>
    </w:p>
    <w:p>
      <w:pPr>
        <w:widowControl/>
        <w:spacing w:line="360" w:lineRule="auto"/>
        <w:ind w:firstLine="438" w:firstLineChars="200"/>
        <w:jc w:val="left"/>
        <w:rPr>
          <w:rFonts w:hAnsi="宋体" w:cs="Arial"/>
          <w:bCs/>
          <w:color w:val="000000"/>
        </w:rPr>
      </w:pPr>
      <w:r>
        <w:rPr>
          <w:rFonts w:hint="eastAsia" w:hAnsi="宋体" w:cs="Arial"/>
          <w:bCs/>
          <w:color w:val="000000"/>
        </w:rPr>
        <w:t>35.3.1质疑人</w:t>
      </w:r>
      <w:r>
        <w:rPr>
          <w:rFonts w:hAnsi="宋体" w:cs="Arial"/>
          <w:bCs/>
          <w:color w:val="000000"/>
        </w:rPr>
        <w:t>的姓名或者名称、地址、邮编、联系人及联系电话</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35.3.2</w:t>
      </w:r>
      <w:r>
        <w:rPr>
          <w:rFonts w:hAnsi="宋体" w:cs="Arial"/>
          <w:bCs/>
          <w:color w:val="000000"/>
        </w:rPr>
        <w:t>质疑项目的名称、编号</w:t>
      </w:r>
      <w:r>
        <w:rPr>
          <w:rFonts w:hint="eastAsia" w:hAnsi="宋体" w:cs="Arial"/>
          <w:bCs/>
          <w:color w:val="000000"/>
        </w:rPr>
        <w:t>，包别号（如有）；</w:t>
      </w:r>
    </w:p>
    <w:p>
      <w:pPr>
        <w:widowControl/>
        <w:spacing w:line="360" w:lineRule="auto"/>
        <w:ind w:firstLine="438" w:firstLineChars="200"/>
        <w:jc w:val="left"/>
        <w:rPr>
          <w:rFonts w:hAnsi="宋体" w:cs="Arial"/>
          <w:bCs/>
          <w:color w:val="000000"/>
        </w:rPr>
      </w:pPr>
      <w:r>
        <w:rPr>
          <w:rFonts w:hint="eastAsia" w:hAnsi="宋体" w:cs="Arial"/>
          <w:bCs/>
          <w:color w:val="000000"/>
        </w:rPr>
        <w:t>35.3.3</w:t>
      </w:r>
      <w:r>
        <w:rPr>
          <w:rFonts w:hAnsi="宋体" w:cs="Arial"/>
          <w:bCs/>
          <w:color w:val="000000"/>
        </w:rPr>
        <w:t>具体、明确的质疑事项和与质疑事项相关的请求</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事实依据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必要的法律依据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35.3.6</w:t>
      </w:r>
      <w:r>
        <w:rPr>
          <w:rFonts w:hAnsi="宋体" w:cs="Arial"/>
          <w:bCs/>
          <w:color w:val="000000"/>
        </w:rPr>
        <w:t>提出质疑的日期</w:t>
      </w:r>
      <w:r>
        <w:rPr>
          <w:rFonts w:hint="eastAsia" w:hAnsi="宋体" w:cs="Arial"/>
          <w:bCs/>
          <w:color w:val="000000"/>
        </w:rPr>
        <w:t>。</w:t>
      </w:r>
    </w:p>
    <w:p>
      <w:pPr>
        <w:spacing w:line="360" w:lineRule="auto"/>
        <w:ind w:firstLine="438" w:firstLineChars="200"/>
        <w:rPr>
          <w:rFonts w:hAnsi="宋体" w:cs="Arial"/>
          <w:bCs/>
          <w:color w:val="000000"/>
        </w:rPr>
      </w:pPr>
      <w:r>
        <w:rPr>
          <w:rFonts w:hint="eastAsia" w:hAnsi="宋体" w:cs="Arial"/>
          <w:bCs/>
          <w:color w:val="000000"/>
        </w:rPr>
        <w:t>质疑人</w:t>
      </w:r>
      <w:r>
        <w:rPr>
          <w:rFonts w:hAnsi="宋体" w:cs="Arial"/>
          <w:bCs/>
          <w:color w:val="000000"/>
        </w:rPr>
        <w:t>为自然人的，应当由本人签字；</w:t>
      </w:r>
      <w:r>
        <w:rPr>
          <w:rFonts w:hint="eastAsia" w:hAnsi="宋体" w:cs="Arial"/>
          <w:bCs/>
          <w:color w:val="000000"/>
        </w:rPr>
        <w:t>质疑人</w:t>
      </w:r>
      <w:r>
        <w:rPr>
          <w:rFonts w:hAnsi="宋体" w:cs="Arial"/>
          <w:bCs/>
          <w:color w:val="000000"/>
        </w:rPr>
        <w:t>为法人或者其他组织的，应当由法定代表人、主要负责人，或者其授权代表签字或者盖章，并加盖公章。</w:t>
      </w:r>
    </w:p>
    <w:p>
      <w:pPr>
        <w:spacing w:line="360" w:lineRule="auto"/>
        <w:ind w:firstLine="438" w:firstLineChars="200"/>
        <w:rPr>
          <w:rFonts w:hAnsi="宋体"/>
          <w:bCs/>
          <w:color w:val="000000"/>
        </w:rPr>
      </w:pPr>
      <w:r>
        <w:rPr>
          <w:rFonts w:hint="eastAsia" w:hAnsi="宋体"/>
          <w:bCs/>
          <w:color w:val="000000"/>
        </w:rPr>
        <w:t>35.4有下列情形之一的，不予受理：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.4.1提起质疑的主体不是参与该政府采购项目活动的供应商；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.4.2提起质疑的时间超过规定时限的；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.4.3质疑材料不完整的；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.4.4质疑事项含有主观猜测等内容且未提供有效线索、难以查证的；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.4.5对其他供应商的响应文件详细内容质疑，无法提供合法来源渠道的；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.4.6质疑事项已进入投诉处理、行政复议或行政诉讼程序的。</w:t>
      </w:r>
    </w:p>
    <w:p>
      <w:pPr>
        <w:spacing w:line="360" w:lineRule="auto"/>
        <w:ind w:firstLine="438" w:firstLineChars="200"/>
        <w:rPr>
          <w:rFonts w:hAnsi="宋体"/>
          <w:bCs/>
          <w:color w:val="000000"/>
        </w:rPr>
      </w:pPr>
      <w:r>
        <w:rPr>
          <w:rFonts w:hint="eastAsia" w:hAnsi="宋体"/>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rPr>
      </w:pPr>
      <w:r>
        <w:rPr>
          <w:rFonts w:hint="eastAsia" w:hAnsi="宋体"/>
          <w:bCs/>
          <w:color w:val="000000"/>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rPr>
      </w:pPr>
      <w:r>
        <w:rPr>
          <w:rFonts w:hint="eastAsia" w:hAnsi="宋体"/>
          <w:bCs/>
          <w:color w:val="000000"/>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rPr>
      </w:pPr>
      <w:r>
        <w:rPr>
          <w:rFonts w:hint="eastAsia" w:hAnsi="宋体"/>
          <w:bCs/>
          <w:color w:val="000000"/>
        </w:rPr>
        <w:t>质疑人应在答复期满后十五个工作日内提起投诉。</w:t>
      </w:r>
    </w:p>
    <w:p>
      <w:pPr>
        <w:spacing w:line="360" w:lineRule="auto"/>
        <w:ind w:firstLine="438" w:firstLineChars="200"/>
        <w:rPr>
          <w:rFonts w:hAnsi="宋体"/>
          <w:b/>
          <w:color w:val="000000"/>
          <w:szCs w:val="24"/>
        </w:rPr>
      </w:pPr>
      <w:r>
        <w:rPr>
          <w:rFonts w:hint="eastAsia" w:hAnsi="宋体"/>
          <w:b/>
          <w:color w:val="000000"/>
          <w:szCs w:val="24"/>
        </w:rPr>
        <w:t>36.未尽事宜</w:t>
      </w:r>
    </w:p>
    <w:p>
      <w:pPr>
        <w:spacing w:line="360" w:lineRule="auto"/>
        <w:ind w:firstLine="438" w:firstLineChars="200"/>
        <w:rPr>
          <w:rFonts w:hAnsi="宋体"/>
          <w:color w:val="000000"/>
          <w:szCs w:val="24"/>
        </w:rPr>
      </w:pPr>
      <w:r>
        <w:rPr>
          <w:rFonts w:hint="eastAsia" w:hAnsi="宋体"/>
          <w:color w:val="000000"/>
          <w:szCs w:val="24"/>
        </w:rPr>
        <w:t>36.1按政府采购法律法规的规定执行。</w:t>
      </w:r>
    </w:p>
    <w:p>
      <w:pPr>
        <w:spacing w:line="360" w:lineRule="auto"/>
        <w:ind w:firstLine="438" w:firstLineChars="200"/>
        <w:rPr>
          <w:rFonts w:hAnsi="宋体"/>
          <w:b/>
          <w:color w:val="000000"/>
          <w:szCs w:val="24"/>
        </w:rPr>
      </w:pPr>
      <w:r>
        <w:rPr>
          <w:rFonts w:hint="eastAsia" w:hAnsi="宋体"/>
          <w:b/>
          <w:color w:val="000000"/>
          <w:szCs w:val="24"/>
        </w:rPr>
        <w:t>37.解释权</w:t>
      </w:r>
    </w:p>
    <w:p>
      <w:pPr>
        <w:spacing w:line="360" w:lineRule="auto"/>
        <w:ind w:firstLine="438" w:firstLineChars="200"/>
        <w:rPr>
          <w:rFonts w:hAnsi="宋体"/>
          <w:bCs/>
          <w:color w:val="000000"/>
          <w:szCs w:val="24"/>
        </w:rPr>
      </w:pPr>
      <w:r>
        <w:rPr>
          <w:rFonts w:hint="eastAsia" w:hAnsi="宋体"/>
          <w:bCs/>
          <w:color w:val="000000"/>
          <w:szCs w:val="24"/>
        </w:rPr>
        <w:t>37.1本评标文件的解释权属于采购人。</w:t>
      </w:r>
      <w:bookmarkEnd w:id="32"/>
    </w:p>
    <w:p>
      <w:pPr>
        <w:spacing w:line="360" w:lineRule="auto"/>
        <w:ind w:firstLine="438" w:firstLineChars="200"/>
        <w:rPr>
          <w:rFonts w:hint="eastAsia" w:eastAsia="宋体"/>
          <w:lang w:eastAsia="zh-CN"/>
        </w:rPr>
      </w:pPr>
      <w:r>
        <w:rPr>
          <w:rFonts w:hAnsi="宋体"/>
          <w:bCs/>
          <w:color w:val="000000"/>
          <w:szCs w:val="24"/>
        </w:rPr>
        <w:br w:type="page"/>
      </w:r>
      <w:bookmarkStart w:id="50" w:name="_Hlt509649724"/>
      <w:bookmarkEnd w:id="50"/>
      <w:bookmarkStart w:id="51" w:name="_Hlt509650697"/>
      <w:bookmarkEnd w:id="51"/>
      <w:bookmarkStart w:id="52" w:name="_Hlt510342861"/>
      <w:bookmarkEnd w:id="52"/>
      <w:bookmarkStart w:id="53" w:name="_Toc463041898"/>
      <w:bookmarkStart w:id="54" w:name="_Toc427016287"/>
      <w:bookmarkStart w:id="55" w:name="_Toc527131321"/>
      <w:bookmarkStart w:id="56" w:name="_Toc427106476"/>
      <w:r>
        <w:rPr>
          <w:rFonts w:hint="eastAsia" w:hAnsi="宋体"/>
          <w:b/>
          <w:color w:val="000000"/>
          <w:sz w:val="30"/>
          <w:szCs w:val="30"/>
        </w:rPr>
        <w:t>四、采购合同</w:t>
      </w:r>
      <w:bookmarkEnd w:id="53"/>
      <w:bookmarkEnd w:id="54"/>
      <w:bookmarkEnd w:id="55"/>
      <w:bookmarkEnd w:id="56"/>
      <w:bookmarkStart w:id="57" w:name="_Toc527131323"/>
      <w:bookmarkStart w:id="58" w:name="_Toc527117258"/>
      <w:r>
        <w:rPr>
          <w:rFonts w:hint="eastAsia" w:hAnsi="宋体"/>
          <w:b/>
          <w:color w:val="000000"/>
          <w:sz w:val="30"/>
          <w:szCs w:val="30"/>
          <w:lang w:eastAsia="zh-CN"/>
        </w:rPr>
        <w:t>（</w:t>
      </w:r>
      <w:r>
        <w:rPr>
          <w:rFonts w:hint="eastAsia" w:hAnsi="宋体"/>
          <w:b/>
          <w:color w:val="000000"/>
          <w:sz w:val="30"/>
          <w:szCs w:val="30"/>
          <w:lang w:val="en-US" w:eastAsia="zh-CN"/>
        </w:rPr>
        <w:t>范本</w:t>
      </w:r>
      <w:r>
        <w:rPr>
          <w:rFonts w:hint="eastAsia" w:hAnsi="宋体"/>
          <w:b/>
          <w:color w:val="000000"/>
          <w:sz w:val="30"/>
          <w:szCs w:val="30"/>
          <w:lang w:eastAsia="zh-CN"/>
        </w:rPr>
        <w:t>）</w:t>
      </w:r>
    </w:p>
    <w:p>
      <w:pPr>
        <w:jc w:val="center"/>
        <w:rPr>
          <w:rFonts w:ascii="黑体" w:hAnsi="黑体" w:eastAsia="黑体"/>
          <w:b/>
          <w:sz w:val="28"/>
          <w:szCs w:val="28"/>
        </w:rPr>
      </w:pPr>
      <w:r>
        <w:rPr>
          <w:rFonts w:hint="eastAsia" w:ascii="黑体" w:hAnsi="黑体" w:eastAsia="黑体"/>
          <w:b/>
          <w:sz w:val="28"/>
          <w:szCs w:val="28"/>
        </w:rPr>
        <w:t>合肥经济技术开发区公用事业发展公司管养范围公众责任保险协议</w:t>
      </w:r>
    </w:p>
    <w:p>
      <w:pPr>
        <w:jc w:val="center"/>
        <w:rPr>
          <w:b/>
          <w:sz w:val="32"/>
          <w:szCs w:val="32"/>
        </w:rPr>
      </w:pPr>
      <w:bookmarkStart w:id="69" w:name="_GoBack"/>
      <w:bookmarkEnd w:id="69"/>
    </w:p>
    <w:p>
      <w:pPr>
        <w:spacing w:line="360" w:lineRule="auto"/>
        <w:rPr>
          <w:rFonts w:hAnsi="宋体"/>
          <w:b/>
          <w:szCs w:val="24"/>
        </w:rPr>
      </w:pPr>
      <w:r>
        <w:rPr>
          <w:rFonts w:hint="eastAsia" w:hAnsi="宋体"/>
          <w:b/>
          <w:szCs w:val="24"/>
        </w:rPr>
        <w:t xml:space="preserve">甲方：合肥经济技术开发区公用事业发展公司 </w:t>
      </w:r>
    </w:p>
    <w:p>
      <w:pPr>
        <w:spacing w:line="360" w:lineRule="auto"/>
        <w:rPr>
          <w:rFonts w:hAnsi="宋体"/>
          <w:b/>
          <w:szCs w:val="24"/>
        </w:rPr>
      </w:pPr>
      <w:r>
        <w:rPr>
          <w:rFonts w:hint="eastAsia" w:hAnsi="宋体"/>
          <w:b/>
          <w:szCs w:val="24"/>
        </w:rPr>
        <w:t>乙方：</w:t>
      </w:r>
      <w:r>
        <w:rPr>
          <w:rFonts w:hAnsi="宋体"/>
          <w:b/>
          <w:szCs w:val="24"/>
        </w:rPr>
        <w:t xml:space="preserve"> </w:t>
      </w:r>
    </w:p>
    <w:p>
      <w:pPr>
        <w:spacing w:line="360" w:lineRule="auto"/>
        <w:ind w:firstLine="438" w:firstLineChars="200"/>
        <w:rPr>
          <w:rFonts w:hAnsi="宋体"/>
          <w:szCs w:val="24"/>
        </w:rPr>
      </w:pPr>
      <w:r>
        <w:rPr>
          <w:rFonts w:hint="eastAsia" w:hAnsi="宋体"/>
          <w:szCs w:val="24"/>
        </w:rPr>
        <w:t>依照《中华人民共和国合同法》、《中华人民共和国保险法》及其他相关法律、法规和其他规范性文件，遵守平等、自愿、公平、诚实守信的原则，为明确双方在本合同履行期间的责任、义务和权利，就甲方向乙方投保事宜达成一致意见，签订《公众责任险》保险协议，现就保单未明确的内容、扩展条款等补充协议如下：</w:t>
      </w:r>
    </w:p>
    <w:p>
      <w:pPr>
        <w:pStyle w:val="325"/>
        <w:numPr>
          <w:ilvl w:val="0"/>
          <w:numId w:val="1"/>
        </w:numPr>
        <w:spacing w:line="360" w:lineRule="auto"/>
        <w:ind w:firstLineChars="0"/>
        <w:jc w:val="center"/>
        <w:rPr>
          <w:rFonts w:ascii="宋体" w:hAnsi="宋体"/>
          <w:szCs w:val="24"/>
        </w:rPr>
      </w:pPr>
      <w:r>
        <w:rPr>
          <w:rFonts w:hint="eastAsia" w:ascii="宋体" w:hAnsi="宋体"/>
          <w:szCs w:val="24"/>
        </w:rPr>
        <w:t>投保内容</w:t>
      </w:r>
    </w:p>
    <w:p>
      <w:pPr>
        <w:pStyle w:val="325"/>
        <w:numPr>
          <w:ilvl w:val="0"/>
          <w:numId w:val="2"/>
        </w:numPr>
        <w:spacing w:line="360" w:lineRule="auto"/>
        <w:ind w:firstLineChars="0"/>
        <w:rPr>
          <w:rFonts w:ascii="宋体" w:hAnsi="宋体"/>
          <w:szCs w:val="24"/>
        </w:rPr>
      </w:pPr>
      <w:r>
        <w:rPr>
          <w:rFonts w:hint="eastAsia" w:ascii="宋体" w:hAnsi="宋体"/>
          <w:szCs w:val="24"/>
        </w:rPr>
        <w:t>公众责任险</w:t>
      </w:r>
    </w:p>
    <w:p>
      <w:pPr>
        <w:pStyle w:val="325"/>
        <w:numPr>
          <w:ilvl w:val="0"/>
          <w:numId w:val="3"/>
        </w:numPr>
        <w:ind w:firstLineChars="0"/>
        <w:rPr>
          <w:rFonts w:ascii="宋体" w:hAnsi="宋体"/>
          <w:szCs w:val="24"/>
        </w:rPr>
      </w:pPr>
      <w:r>
        <w:rPr>
          <w:rFonts w:hint="eastAsia" w:ascii="宋体" w:hAnsi="宋体"/>
          <w:szCs w:val="24"/>
        </w:rPr>
        <w:t>被保险人：</w:t>
      </w:r>
      <w:r>
        <w:rPr>
          <w:rFonts w:hint="eastAsia" w:ascii="宋体" w:hAnsi="宋体"/>
          <w:b/>
          <w:szCs w:val="24"/>
        </w:rPr>
        <w:t>合肥经济技术开发区公用事业发展公司</w:t>
      </w:r>
    </w:p>
    <w:p>
      <w:pPr>
        <w:pStyle w:val="325"/>
        <w:numPr>
          <w:ilvl w:val="0"/>
          <w:numId w:val="3"/>
        </w:numPr>
        <w:spacing w:line="360" w:lineRule="auto"/>
        <w:ind w:firstLineChars="0"/>
        <w:rPr>
          <w:rFonts w:ascii="宋体" w:hAnsi="宋体"/>
          <w:szCs w:val="24"/>
        </w:rPr>
      </w:pPr>
      <w:r>
        <w:rPr>
          <w:rFonts w:hint="eastAsia" w:ascii="宋体" w:hAnsi="宋体"/>
          <w:szCs w:val="24"/>
        </w:rPr>
        <w:t>承保范围</w:t>
      </w:r>
    </w:p>
    <w:p>
      <w:pPr>
        <w:pStyle w:val="325"/>
        <w:spacing w:line="360" w:lineRule="auto"/>
        <w:ind w:firstLine="480"/>
        <w:rPr>
          <w:rFonts w:ascii="宋体" w:hAnsi="宋体"/>
          <w:kern w:val="2"/>
          <w:szCs w:val="24"/>
        </w:rPr>
      </w:pPr>
      <w:r>
        <w:rPr>
          <w:rFonts w:hint="eastAsia" w:ascii="宋体" w:hAnsi="宋体"/>
          <w:kern w:val="2"/>
          <w:szCs w:val="24"/>
        </w:rPr>
        <w:t>在本保险单明细表中列明的地点范围内依法从事生产、经营等活动以及由于意外事故造成第三者人身伤亡或财产损失，依法应由被保险人承担的民事赔偿责任，保险人负责赔偿。主要范围包含合肥经开区(含新港工业园及经开空港示范区)市政道路、路面坑洞及沉降、护栏、隔离桩、指示牌、路灯及附属设施、公交站亭及附属设施、施工围挡、园林绿化、雨污水管道系统及其附属设施、泵站、强弱电窨井、人行天桥及扶梯、河道系统及其附属设施、翡翠湖、南艳湖公园设施、明珠广场、各苗圃（含苗圃水塘）、停车场等。</w:t>
      </w:r>
    </w:p>
    <w:p>
      <w:pPr>
        <w:pStyle w:val="325"/>
        <w:spacing w:line="360" w:lineRule="auto"/>
        <w:ind w:firstLine="0" w:firstLineChars="0"/>
        <w:rPr>
          <w:rFonts w:ascii="宋体" w:hAnsi="宋体"/>
          <w:szCs w:val="24"/>
        </w:rPr>
      </w:pPr>
      <w:r>
        <w:rPr>
          <w:rFonts w:hint="eastAsia" w:ascii="宋体" w:hAnsi="宋体"/>
          <w:szCs w:val="24"/>
        </w:rPr>
        <w:t>保险期限：自20年</w:t>
      </w:r>
      <w:r>
        <w:rPr>
          <w:rFonts w:hint="eastAsia" w:ascii="宋体" w:hAnsi="宋体"/>
          <w:szCs w:val="24"/>
          <w:u w:val="single"/>
        </w:rPr>
        <w:t xml:space="preserve">  </w:t>
      </w:r>
      <w:r>
        <w:rPr>
          <w:rFonts w:hint="eastAsia" w:ascii="宋体" w:hAnsi="宋体"/>
          <w:szCs w:val="24"/>
        </w:rPr>
        <w:t>月</w:t>
      </w:r>
      <w:r>
        <w:rPr>
          <w:rFonts w:hint="eastAsia" w:ascii="宋体" w:hAnsi="宋体"/>
          <w:szCs w:val="24"/>
          <w:u w:val="single"/>
        </w:rPr>
        <w:t xml:space="preserve">  </w:t>
      </w:r>
      <w:r>
        <w:rPr>
          <w:rFonts w:hint="eastAsia" w:ascii="宋体" w:hAnsi="宋体"/>
          <w:szCs w:val="24"/>
        </w:rPr>
        <w:t>日</w:t>
      </w:r>
      <w:r>
        <w:rPr>
          <w:rFonts w:hint="eastAsia" w:ascii="宋体" w:hAnsi="宋体"/>
          <w:szCs w:val="24"/>
          <w:u w:val="single"/>
        </w:rPr>
        <w:t>零</w:t>
      </w:r>
      <w:r>
        <w:rPr>
          <w:rFonts w:hint="eastAsia" w:ascii="宋体" w:hAnsi="宋体"/>
          <w:szCs w:val="24"/>
        </w:rPr>
        <w:t>时起至20  年</w:t>
      </w:r>
      <w:r>
        <w:rPr>
          <w:rFonts w:hint="eastAsia" w:ascii="宋体" w:hAnsi="宋体"/>
          <w:szCs w:val="24"/>
          <w:u w:val="single"/>
        </w:rPr>
        <w:t xml:space="preserve">  </w:t>
      </w:r>
      <w:r>
        <w:rPr>
          <w:rFonts w:hint="eastAsia" w:ascii="宋体" w:hAnsi="宋体"/>
          <w:szCs w:val="24"/>
        </w:rPr>
        <w:t>月</w:t>
      </w:r>
      <w:r>
        <w:rPr>
          <w:rFonts w:hint="eastAsia" w:ascii="宋体" w:hAnsi="宋体"/>
          <w:szCs w:val="24"/>
          <w:u w:val="single"/>
        </w:rPr>
        <w:t xml:space="preserve">  </w:t>
      </w:r>
      <w:r>
        <w:rPr>
          <w:rFonts w:hint="eastAsia" w:ascii="宋体" w:hAnsi="宋体"/>
          <w:szCs w:val="24"/>
        </w:rPr>
        <w:t>日</w:t>
      </w:r>
      <w:r>
        <w:rPr>
          <w:rFonts w:hint="eastAsia" w:ascii="宋体" w:hAnsi="宋体"/>
          <w:szCs w:val="24"/>
          <w:u w:val="single"/>
        </w:rPr>
        <w:t>24</w:t>
      </w:r>
      <w:r>
        <w:rPr>
          <w:rFonts w:hint="eastAsia" w:ascii="宋体" w:hAnsi="宋体"/>
          <w:szCs w:val="24"/>
        </w:rPr>
        <w:t>时止，服务期内，采购人有权提前终止合同，所缴纳保费按实际承保期限支付。</w:t>
      </w:r>
    </w:p>
    <w:p>
      <w:pPr>
        <w:pStyle w:val="325"/>
        <w:numPr>
          <w:ilvl w:val="0"/>
          <w:numId w:val="3"/>
        </w:numPr>
        <w:spacing w:line="360" w:lineRule="auto"/>
        <w:ind w:firstLineChars="0"/>
        <w:rPr>
          <w:rFonts w:ascii="宋体" w:hAnsi="宋体"/>
          <w:szCs w:val="24"/>
        </w:rPr>
      </w:pPr>
      <w:r>
        <w:rPr>
          <w:rFonts w:hint="eastAsia" w:ascii="宋体" w:hAnsi="宋体"/>
          <w:szCs w:val="24"/>
        </w:rPr>
        <w:t>保险责任条款：公众责任保险条款（国家保监会备案）</w:t>
      </w:r>
    </w:p>
    <w:p>
      <w:pPr>
        <w:pStyle w:val="325"/>
        <w:spacing w:line="360" w:lineRule="auto"/>
        <w:ind w:left="720" w:firstLine="0" w:firstLineChars="0"/>
        <w:rPr>
          <w:rFonts w:ascii="宋体" w:hAnsi="宋体"/>
          <w:szCs w:val="24"/>
        </w:rPr>
      </w:pPr>
      <w:r>
        <w:rPr>
          <w:rFonts w:hint="eastAsia" w:ascii="宋体" w:hAnsi="宋体"/>
          <w:szCs w:val="24"/>
        </w:rPr>
        <w:t>赔偿限额：</w:t>
      </w:r>
    </w:p>
    <w:p>
      <w:pPr>
        <w:autoSpaceDE w:val="0"/>
        <w:autoSpaceDN w:val="0"/>
        <w:adjustRightInd w:val="0"/>
        <w:spacing w:line="360" w:lineRule="auto"/>
        <w:ind w:left="1" w:firstLine="425" w:firstLineChars="194"/>
        <w:jc w:val="left"/>
        <w:rPr>
          <w:rFonts w:hAnsi="宋体" w:cs="宋体"/>
          <w:szCs w:val="24"/>
        </w:rPr>
      </w:pPr>
      <w:r>
        <w:rPr>
          <w:rFonts w:hint="eastAsia" w:hAnsi="宋体" w:cs="仿宋_GB2312"/>
          <w:color w:val="000000"/>
          <w:szCs w:val="24"/>
        </w:rPr>
        <w:t>1、公众责任保险，</w:t>
      </w:r>
      <w:r>
        <w:rPr>
          <w:rFonts w:hint="eastAsia" w:hAnsi="宋体" w:cs="宋体"/>
          <w:szCs w:val="24"/>
        </w:rPr>
        <w:t>累计赔偿限额 1000万元，每次事故赔偿限额500万元，</w:t>
      </w:r>
      <w:r>
        <w:rPr>
          <w:rFonts w:hint="eastAsia" w:hAnsi="宋体"/>
          <w:szCs w:val="24"/>
        </w:rPr>
        <w:t>每次事故财产赔偿限额</w:t>
      </w:r>
      <w:r>
        <w:rPr>
          <w:rFonts w:hint="eastAsia" w:hAnsi="宋体" w:cs="宋体"/>
          <w:szCs w:val="24"/>
        </w:rPr>
        <w:t>限额</w:t>
      </w:r>
      <w:r>
        <w:rPr>
          <w:rFonts w:hint="eastAsia" w:hAnsi="宋体"/>
          <w:szCs w:val="24"/>
        </w:rPr>
        <w:t>200万元，</w:t>
      </w:r>
      <w:r>
        <w:rPr>
          <w:rFonts w:hint="eastAsia" w:hAnsi="宋体" w:cs="宋体"/>
          <w:szCs w:val="24"/>
        </w:rPr>
        <w:t>每人赔偿限额 100万元；</w:t>
      </w:r>
    </w:p>
    <w:p>
      <w:pPr>
        <w:autoSpaceDE w:val="0"/>
        <w:autoSpaceDN w:val="0"/>
        <w:adjustRightInd w:val="0"/>
        <w:spacing w:line="360" w:lineRule="auto"/>
        <w:ind w:firstLine="438" w:firstLineChars="200"/>
        <w:jc w:val="left"/>
        <w:rPr>
          <w:rFonts w:hAnsi="宋体" w:cs="宋体"/>
          <w:szCs w:val="24"/>
        </w:rPr>
      </w:pPr>
      <w:r>
        <w:rPr>
          <w:rFonts w:hint="eastAsia" w:hAnsi="宋体" w:cs="宋体"/>
          <w:szCs w:val="24"/>
        </w:rPr>
        <w:t>2、游泳池责任险，累计赔偿限额 1000万元，每次事故赔偿限额500万元，</w:t>
      </w:r>
      <w:r>
        <w:rPr>
          <w:rFonts w:hint="eastAsia" w:hAnsi="宋体"/>
          <w:szCs w:val="24"/>
        </w:rPr>
        <w:t>每次事故财产赔偿限额</w:t>
      </w:r>
      <w:r>
        <w:rPr>
          <w:rFonts w:hint="eastAsia" w:hAnsi="宋体" w:cs="宋体"/>
          <w:szCs w:val="24"/>
        </w:rPr>
        <w:t>限额</w:t>
      </w:r>
      <w:r>
        <w:rPr>
          <w:rFonts w:hint="eastAsia" w:hAnsi="宋体"/>
          <w:szCs w:val="24"/>
        </w:rPr>
        <w:t>200万元，</w:t>
      </w:r>
      <w:r>
        <w:rPr>
          <w:rFonts w:hint="eastAsia" w:hAnsi="宋体" w:cs="宋体"/>
          <w:szCs w:val="24"/>
        </w:rPr>
        <w:t>每人赔偿限额 100万元；</w:t>
      </w:r>
    </w:p>
    <w:p>
      <w:pPr>
        <w:autoSpaceDE w:val="0"/>
        <w:autoSpaceDN w:val="0"/>
        <w:adjustRightInd w:val="0"/>
        <w:spacing w:line="360" w:lineRule="auto"/>
        <w:ind w:firstLine="438" w:firstLineChars="200"/>
        <w:jc w:val="left"/>
        <w:rPr>
          <w:rFonts w:hAnsi="宋体" w:cs="宋体"/>
          <w:szCs w:val="24"/>
        </w:rPr>
      </w:pPr>
      <w:r>
        <w:rPr>
          <w:rFonts w:hint="eastAsia" w:hAnsi="宋体" w:cs="宋体"/>
          <w:szCs w:val="24"/>
        </w:rPr>
        <w:t>3、</w:t>
      </w:r>
      <w:r>
        <w:rPr>
          <w:rFonts w:hAnsi="宋体" w:cs="宋体"/>
          <w:szCs w:val="24"/>
        </w:rPr>
        <w:t>被保险人雇员责任</w:t>
      </w:r>
      <w:r>
        <w:rPr>
          <w:rFonts w:hint="eastAsia" w:hAnsi="宋体" w:cs="宋体"/>
          <w:szCs w:val="24"/>
        </w:rPr>
        <w:t>险，累计赔偿限额 1000万元，每次事故赔偿限额500万元，</w:t>
      </w:r>
      <w:r>
        <w:rPr>
          <w:rFonts w:hint="eastAsia" w:hAnsi="宋体"/>
          <w:szCs w:val="24"/>
        </w:rPr>
        <w:t>每次事故财产赔偿限额</w:t>
      </w:r>
      <w:r>
        <w:rPr>
          <w:rFonts w:hint="eastAsia" w:hAnsi="宋体" w:cs="宋体"/>
          <w:szCs w:val="24"/>
        </w:rPr>
        <w:t>限额</w:t>
      </w:r>
      <w:r>
        <w:rPr>
          <w:rFonts w:hint="eastAsia" w:hAnsi="宋体"/>
          <w:szCs w:val="24"/>
        </w:rPr>
        <w:t>200万元，</w:t>
      </w:r>
      <w:r>
        <w:rPr>
          <w:rFonts w:hint="eastAsia" w:hAnsi="宋体" w:cs="宋体"/>
          <w:szCs w:val="24"/>
        </w:rPr>
        <w:t>每人赔偿限额 100万元；</w:t>
      </w:r>
    </w:p>
    <w:p>
      <w:pPr>
        <w:autoSpaceDE w:val="0"/>
        <w:autoSpaceDN w:val="0"/>
        <w:adjustRightInd w:val="0"/>
        <w:spacing w:line="360" w:lineRule="auto"/>
        <w:ind w:firstLine="438" w:firstLineChars="200"/>
        <w:jc w:val="left"/>
        <w:rPr>
          <w:rFonts w:hAnsi="宋体" w:cs="宋体"/>
          <w:szCs w:val="24"/>
        </w:rPr>
      </w:pPr>
      <w:r>
        <w:rPr>
          <w:rFonts w:hint="eastAsia" w:hAnsi="宋体" w:cs="宋体"/>
          <w:szCs w:val="24"/>
        </w:rPr>
        <w:t>4</w:t>
      </w:r>
      <w:r>
        <w:rPr>
          <w:rFonts w:hAnsi="宋体" w:cs="宋体"/>
          <w:szCs w:val="24"/>
        </w:rPr>
        <w:t>、电梯责任</w:t>
      </w:r>
      <w:r>
        <w:rPr>
          <w:rFonts w:hint="eastAsia" w:hAnsi="宋体" w:cs="宋体"/>
          <w:szCs w:val="24"/>
        </w:rPr>
        <w:t>险，累计赔偿限额 1000万元，每次事故赔偿限额500万元，</w:t>
      </w:r>
      <w:r>
        <w:rPr>
          <w:rFonts w:hint="eastAsia" w:hAnsi="宋体"/>
          <w:szCs w:val="24"/>
        </w:rPr>
        <w:t>每次事故财产赔偿限额</w:t>
      </w:r>
      <w:r>
        <w:rPr>
          <w:rFonts w:hint="eastAsia" w:hAnsi="宋体" w:cs="宋体"/>
          <w:szCs w:val="24"/>
        </w:rPr>
        <w:t>限额</w:t>
      </w:r>
      <w:r>
        <w:rPr>
          <w:rFonts w:hint="eastAsia" w:hAnsi="宋体"/>
          <w:szCs w:val="24"/>
        </w:rPr>
        <w:t>200万元，</w:t>
      </w:r>
      <w:r>
        <w:rPr>
          <w:rFonts w:hint="eastAsia" w:hAnsi="宋体" w:cs="宋体"/>
          <w:szCs w:val="24"/>
        </w:rPr>
        <w:t>每人赔偿限额 100万元；</w:t>
      </w:r>
    </w:p>
    <w:p>
      <w:pPr>
        <w:autoSpaceDE w:val="0"/>
        <w:autoSpaceDN w:val="0"/>
        <w:adjustRightInd w:val="0"/>
        <w:spacing w:line="360" w:lineRule="auto"/>
        <w:ind w:firstLine="438" w:firstLineChars="200"/>
        <w:jc w:val="left"/>
        <w:rPr>
          <w:rFonts w:hAnsi="宋体" w:cs="仿宋_GB2312"/>
          <w:color w:val="000000"/>
          <w:szCs w:val="24"/>
        </w:rPr>
      </w:pPr>
      <w:r>
        <w:rPr>
          <w:rFonts w:hint="eastAsia" w:hAnsi="宋体" w:cs="仿宋_GB2312"/>
          <w:color w:val="000000"/>
          <w:szCs w:val="24"/>
        </w:rPr>
        <w:t>5、</w:t>
      </w:r>
      <w:r>
        <w:rPr>
          <w:rFonts w:hint="eastAsia" w:hAnsi="宋体"/>
          <w:szCs w:val="24"/>
        </w:rPr>
        <w:t>广告及装饰装置责任，</w:t>
      </w:r>
      <w:r>
        <w:rPr>
          <w:rFonts w:hint="eastAsia" w:hAnsi="宋体" w:cs="宋体"/>
          <w:szCs w:val="24"/>
        </w:rPr>
        <w:t>累计赔偿限额 1000万元，每次事故赔偿限额500万元，</w:t>
      </w:r>
      <w:r>
        <w:rPr>
          <w:rFonts w:hint="eastAsia" w:hAnsi="宋体"/>
          <w:szCs w:val="24"/>
        </w:rPr>
        <w:t>每次事故财产赔偿限额</w:t>
      </w:r>
      <w:r>
        <w:rPr>
          <w:rFonts w:hint="eastAsia" w:hAnsi="宋体" w:cs="宋体"/>
          <w:szCs w:val="24"/>
        </w:rPr>
        <w:t>限额</w:t>
      </w:r>
      <w:r>
        <w:rPr>
          <w:rFonts w:hint="eastAsia" w:hAnsi="宋体"/>
          <w:szCs w:val="24"/>
        </w:rPr>
        <w:t>200万元，</w:t>
      </w:r>
      <w:r>
        <w:rPr>
          <w:rFonts w:hint="eastAsia" w:hAnsi="宋体" w:cs="宋体"/>
          <w:szCs w:val="24"/>
        </w:rPr>
        <w:t>每人赔偿限额 100万元；</w:t>
      </w:r>
    </w:p>
    <w:p>
      <w:pPr>
        <w:autoSpaceDE w:val="0"/>
        <w:autoSpaceDN w:val="0"/>
        <w:adjustRightInd w:val="0"/>
        <w:spacing w:line="360" w:lineRule="auto"/>
        <w:ind w:left="17" w:leftChars="8" w:firstLine="384" w:firstLineChars="175"/>
        <w:jc w:val="left"/>
        <w:rPr>
          <w:rFonts w:hAnsi="宋体" w:cs="仿宋_GB2312"/>
          <w:color w:val="000000"/>
          <w:szCs w:val="24"/>
        </w:rPr>
      </w:pPr>
      <w:r>
        <w:rPr>
          <w:rFonts w:hint="eastAsia" w:hAnsi="宋体" w:cs="仿宋_GB2312"/>
          <w:color w:val="000000"/>
          <w:szCs w:val="24"/>
        </w:rPr>
        <w:t>6、</w:t>
      </w:r>
      <w:r>
        <w:rPr>
          <w:rFonts w:hAnsi="宋体" w:cs="仿宋_GB2312"/>
          <w:color w:val="000000"/>
          <w:szCs w:val="24"/>
        </w:rPr>
        <w:t>急救费用条款</w:t>
      </w:r>
      <w:r>
        <w:rPr>
          <w:rFonts w:hint="eastAsia" w:hAnsi="宋体" w:cs="仿宋_GB2312"/>
          <w:color w:val="000000"/>
          <w:szCs w:val="24"/>
        </w:rPr>
        <w:t>:</w:t>
      </w:r>
      <w:r>
        <w:rPr>
          <w:rFonts w:hAnsi="宋体" w:cs="仿宋_GB2312"/>
          <w:color w:val="000000"/>
          <w:szCs w:val="24"/>
        </w:rPr>
        <w:t>承保范围内发生意外事故造成第三者人身伤害时应支付的合理急救费用</w:t>
      </w:r>
    </w:p>
    <w:p>
      <w:pPr>
        <w:autoSpaceDE w:val="0"/>
        <w:autoSpaceDN w:val="0"/>
        <w:adjustRightInd w:val="0"/>
        <w:spacing w:line="360" w:lineRule="auto"/>
        <w:ind w:left="17" w:leftChars="8" w:firstLine="384" w:firstLineChars="175"/>
        <w:jc w:val="left"/>
        <w:rPr>
          <w:rFonts w:hAnsi="宋体" w:cs="仿宋_GB2312"/>
          <w:color w:val="000000"/>
          <w:szCs w:val="24"/>
        </w:rPr>
      </w:pPr>
      <w:r>
        <w:rPr>
          <w:rFonts w:hint="eastAsia" w:hAnsi="宋体" w:cs="仿宋_GB2312"/>
          <w:color w:val="000000"/>
          <w:szCs w:val="24"/>
        </w:rPr>
        <w:t>7、</w:t>
      </w:r>
      <w:r>
        <w:rPr>
          <w:rFonts w:hAnsi="宋体" w:cs="仿宋_GB2312"/>
          <w:color w:val="000000"/>
          <w:szCs w:val="24"/>
        </w:rPr>
        <w:t>节日装饰责任扩展条款</w:t>
      </w:r>
      <w:r>
        <w:rPr>
          <w:rFonts w:hint="eastAsia" w:hAnsi="宋体" w:cs="仿宋_GB2312"/>
          <w:color w:val="000000"/>
          <w:szCs w:val="24"/>
        </w:rPr>
        <w:t>,</w:t>
      </w:r>
      <w:r>
        <w:rPr>
          <w:rFonts w:hint="eastAsia" w:hAnsi="宋体" w:cs="宋体"/>
          <w:szCs w:val="24"/>
        </w:rPr>
        <w:t xml:space="preserve"> 累计赔偿限额 1000万元，每次事故赔偿限额500万元，</w:t>
      </w:r>
      <w:r>
        <w:rPr>
          <w:rFonts w:hint="eastAsia" w:hAnsi="宋体"/>
          <w:szCs w:val="24"/>
        </w:rPr>
        <w:t>每次事故财产赔偿限额</w:t>
      </w:r>
      <w:r>
        <w:rPr>
          <w:rFonts w:hint="eastAsia" w:hAnsi="宋体" w:cs="宋体"/>
          <w:szCs w:val="24"/>
        </w:rPr>
        <w:t>限额</w:t>
      </w:r>
      <w:r>
        <w:rPr>
          <w:rFonts w:hint="eastAsia" w:hAnsi="宋体"/>
          <w:szCs w:val="24"/>
        </w:rPr>
        <w:t>200万元，</w:t>
      </w:r>
      <w:r>
        <w:rPr>
          <w:rFonts w:hint="eastAsia" w:hAnsi="宋体" w:cs="宋体"/>
          <w:szCs w:val="24"/>
        </w:rPr>
        <w:t>每人赔偿限额 100万元；</w:t>
      </w:r>
    </w:p>
    <w:p>
      <w:pPr>
        <w:autoSpaceDE w:val="0"/>
        <w:autoSpaceDN w:val="0"/>
        <w:adjustRightInd w:val="0"/>
        <w:spacing w:line="360" w:lineRule="auto"/>
        <w:ind w:left="17" w:leftChars="8" w:firstLine="384" w:firstLineChars="175"/>
        <w:jc w:val="left"/>
        <w:rPr>
          <w:rFonts w:hAnsi="宋体" w:cs="仿宋_GB2312"/>
          <w:color w:val="000000"/>
          <w:szCs w:val="24"/>
        </w:rPr>
      </w:pPr>
      <w:r>
        <w:rPr>
          <w:rFonts w:hint="eastAsia" w:hAnsi="宋体" w:cs="仿宋_GB2312"/>
          <w:color w:val="000000"/>
          <w:szCs w:val="24"/>
        </w:rPr>
        <w:t>8、</w:t>
      </w:r>
      <w:r>
        <w:rPr>
          <w:rFonts w:hAnsi="宋体" w:cs="仿宋_GB2312"/>
          <w:color w:val="000000"/>
          <w:szCs w:val="24"/>
        </w:rPr>
        <w:t>有缺陷的卫生设施条款</w:t>
      </w:r>
      <w:r>
        <w:rPr>
          <w:rFonts w:hint="eastAsia" w:hAnsi="宋体" w:cs="仿宋_GB2312"/>
          <w:color w:val="000000"/>
          <w:szCs w:val="24"/>
        </w:rPr>
        <w:t>,</w:t>
      </w:r>
      <w:r>
        <w:rPr>
          <w:rFonts w:hint="eastAsia" w:hAnsi="宋体" w:cs="宋体"/>
          <w:szCs w:val="24"/>
        </w:rPr>
        <w:t xml:space="preserve"> 累计赔偿限额 1000万元，每次事故赔偿限额500万元，</w:t>
      </w:r>
      <w:r>
        <w:rPr>
          <w:rFonts w:hint="eastAsia" w:hAnsi="宋体"/>
          <w:szCs w:val="24"/>
        </w:rPr>
        <w:t>每次事故财产赔偿限额</w:t>
      </w:r>
      <w:r>
        <w:rPr>
          <w:rFonts w:hint="eastAsia" w:hAnsi="宋体" w:cs="宋体"/>
          <w:szCs w:val="24"/>
        </w:rPr>
        <w:t>限额</w:t>
      </w:r>
      <w:r>
        <w:rPr>
          <w:rFonts w:hint="eastAsia" w:hAnsi="宋体"/>
          <w:szCs w:val="24"/>
        </w:rPr>
        <w:t>200万元，</w:t>
      </w:r>
      <w:r>
        <w:rPr>
          <w:rFonts w:hint="eastAsia" w:hAnsi="宋体" w:cs="宋体"/>
          <w:szCs w:val="24"/>
        </w:rPr>
        <w:t>每人赔偿限额 100万元；</w:t>
      </w:r>
    </w:p>
    <w:p>
      <w:pPr>
        <w:autoSpaceDE w:val="0"/>
        <w:autoSpaceDN w:val="0"/>
        <w:adjustRightInd w:val="0"/>
        <w:spacing w:line="360" w:lineRule="auto"/>
        <w:ind w:left="17" w:leftChars="8" w:firstLine="384" w:firstLineChars="175"/>
        <w:jc w:val="left"/>
        <w:rPr>
          <w:rFonts w:hAnsi="宋体" w:cs="宋体"/>
          <w:szCs w:val="24"/>
        </w:rPr>
      </w:pPr>
      <w:r>
        <w:rPr>
          <w:rFonts w:hint="eastAsia" w:hAnsi="宋体" w:cs="仿宋_GB2312"/>
          <w:color w:val="000000"/>
          <w:szCs w:val="24"/>
        </w:rPr>
        <w:t>9、市政附属设施责任保险条款,</w:t>
      </w:r>
      <w:r>
        <w:rPr>
          <w:rFonts w:hint="eastAsia" w:hAnsi="宋体" w:cs="宋体"/>
          <w:szCs w:val="24"/>
        </w:rPr>
        <w:t xml:space="preserve"> 累计赔偿限额 1000万元，每次事故赔偿限额500万元，</w:t>
      </w:r>
      <w:r>
        <w:rPr>
          <w:rFonts w:hint="eastAsia" w:hAnsi="宋体"/>
          <w:szCs w:val="24"/>
        </w:rPr>
        <w:t>每次事故财产赔偿限额</w:t>
      </w:r>
      <w:r>
        <w:rPr>
          <w:rFonts w:hint="eastAsia" w:hAnsi="宋体" w:cs="宋体"/>
          <w:szCs w:val="24"/>
        </w:rPr>
        <w:t>限额</w:t>
      </w:r>
      <w:r>
        <w:rPr>
          <w:rFonts w:hint="eastAsia" w:hAnsi="宋体"/>
          <w:szCs w:val="24"/>
        </w:rPr>
        <w:t>200万元，</w:t>
      </w:r>
      <w:r>
        <w:rPr>
          <w:rFonts w:hint="eastAsia" w:hAnsi="宋体" w:cs="宋体"/>
          <w:szCs w:val="24"/>
        </w:rPr>
        <w:t>每人赔偿限额 100万元；</w:t>
      </w:r>
    </w:p>
    <w:p>
      <w:pPr>
        <w:autoSpaceDE w:val="0"/>
        <w:autoSpaceDN w:val="0"/>
        <w:adjustRightInd w:val="0"/>
        <w:spacing w:line="360" w:lineRule="auto"/>
        <w:ind w:left="17" w:leftChars="8" w:firstLine="384" w:firstLineChars="175"/>
        <w:jc w:val="left"/>
        <w:rPr>
          <w:rFonts w:hAnsi="宋体"/>
          <w:szCs w:val="24"/>
        </w:rPr>
      </w:pPr>
      <w:r>
        <w:rPr>
          <w:rFonts w:hint="eastAsia" w:hAnsi="宋体" w:cs="仿宋_GB2312"/>
          <w:color w:val="000000"/>
          <w:szCs w:val="24"/>
        </w:rPr>
        <w:t>10、</w:t>
      </w:r>
      <w:r>
        <w:rPr>
          <w:rFonts w:hAnsi="宋体" w:cs="仿宋_GB2312"/>
          <w:color w:val="000000"/>
          <w:szCs w:val="24"/>
        </w:rPr>
        <w:t>火灾、爆炸及水损责任</w:t>
      </w:r>
      <w:r>
        <w:rPr>
          <w:rFonts w:hint="eastAsia" w:hAnsi="宋体" w:cs="仿宋_GB2312"/>
          <w:color w:val="000000"/>
          <w:szCs w:val="24"/>
        </w:rPr>
        <w:t>，</w:t>
      </w:r>
      <w:r>
        <w:rPr>
          <w:rFonts w:hint="eastAsia" w:hAnsi="宋体"/>
          <w:szCs w:val="24"/>
        </w:rPr>
        <w:t>累计赔偿限额是2</w:t>
      </w:r>
      <w:r>
        <w:rPr>
          <w:rFonts w:hAnsi="宋体"/>
          <w:szCs w:val="24"/>
        </w:rPr>
        <w:t>00万，每次事故赔偿限额50万（人伤25万，财产25万），每次事故每人赔偿限额</w:t>
      </w:r>
      <w:r>
        <w:rPr>
          <w:rFonts w:hint="eastAsia" w:hAnsi="宋体"/>
          <w:szCs w:val="24"/>
        </w:rPr>
        <w:t>10</w:t>
      </w:r>
      <w:r>
        <w:rPr>
          <w:rFonts w:hAnsi="宋体"/>
          <w:szCs w:val="24"/>
        </w:rPr>
        <w:t>万</w:t>
      </w:r>
      <w:r>
        <w:rPr>
          <w:rFonts w:hint="eastAsia" w:hAnsi="宋体"/>
          <w:szCs w:val="24"/>
        </w:rPr>
        <w:t>；</w:t>
      </w:r>
    </w:p>
    <w:p>
      <w:pPr>
        <w:autoSpaceDE w:val="0"/>
        <w:autoSpaceDN w:val="0"/>
        <w:adjustRightInd w:val="0"/>
        <w:spacing w:line="360" w:lineRule="auto"/>
        <w:ind w:firstLine="425" w:firstLineChars="194"/>
        <w:jc w:val="left"/>
        <w:rPr>
          <w:rFonts w:hAnsi="宋体" w:cs="仿宋_GB2312"/>
          <w:color w:val="000000"/>
          <w:szCs w:val="24"/>
        </w:rPr>
      </w:pPr>
      <w:r>
        <w:rPr>
          <w:rFonts w:hint="eastAsia" w:hAnsi="宋体" w:cs="仿宋_GB2312"/>
          <w:color w:val="000000"/>
          <w:szCs w:val="24"/>
        </w:rPr>
        <w:t>11、</w:t>
      </w:r>
      <w:r>
        <w:rPr>
          <w:rFonts w:hAnsi="宋体" w:cs="仿宋_GB2312"/>
          <w:color w:val="000000"/>
          <w:szCs w:val="24"/>
        </w:rPr>
        <w:t>恐怖活动条款（累计赔偿限额是</w:t>
      </w:r>
      <w:r>
        <w:rPr>
          <w:rFonts w:hint="eastAsia" w:hAnsi="宋体" w:cs="仿宋_GB2312"/>
          <w:color w:val="000000"/>
          <w:szCs w:val="24"/>
        </w:rPr>
        <w:t>2</w:t>
      </w:r>
      <w:r>
        <w:rPr>
          <w:rFonts w:hAnsi="宋体" w:cs="仿宋_GB2312"/>
          <w:color w:val="000000"/>
          <w:szCs w:val="24"/>
        </w:rPr>
        <w:t>00万，每次事故赔偿限额50万（人伤25万，财产25万），每次事故每人赔偿限额</w:t>
      </w:r>
      <w:r>
        <w:rPr>
          <w:rFonts w:hint="eastAsia" w:hAnsi="宋体" w:cs="仿宋_GB2312"/>
          <w:color w:val="000000"/>
          <w:szCs w:val="24"/>
        </w:rPr>
        <w:t>10</w:t>
      </w:r>
      <w:r>
        <w:rPr>
          <w:rFonts w:hAnsi="宋体" w:cs="仿宋_GB2312"/>
          <w:color w:val="000000"/>
          <w:szCs w:val="24"/>
        </w:rPr>
        <w:t>万</w:t>
      </w:r>
      <w:r>
        <w:rPr>
          <w:rFonts w:hint="eastAsia" w:hAnsi="宋体" w:cs="仿宋_GB2312"/>
          <w:color w:val="000000"/>
          <w:szCs w:val="24"/>
        </w:rPr>
        <w:t>；</w:t>
      </w:r>
    </w:p>
    <w:p>
      <w:pPr>
        <w:pStyle w:val="325"/>
        <w:numPr>
          <w:ilvl w:val="0"/>
          <w:numId w:val="3"/>
        </w:numPr>
        <w:spacing w:line="360" w:lineRule="auto"/>
        <w:ind w:firstLineChars="0"/>
        <w:rPr>
          <w:rFonts w:ascii="宋体" w:hAnsi="宋体"/>
          <w:szCs w:val="24"/>
        </w:rPr>
      </w:pPr>
      <w:r>
        <w:rPr>
          <w:rFonts w:hint="eastAsia" w:ascii="宋体" w:hAnsi="宋体"/>
          <w:szCs w:val="24"/>
        </w:rPr>
        <w:t>免赔</w:t>
      </w:r>
    </w:p>
    <w:p>
      <w:pPr>
        <w:autoSpaceDE w:val="0"/>
        <w:autoSpaceDN w:val="0"/>
        <w:adjustRightInd w:val="0"/>
        <w:spacing w:line="360" w:lineRule="auto"/>
        <w:ind w:firstLine="329" w:firstLineChars="150"/>
        <w:jc w:val="left"/>
        <w:rPr>
          <w:rFonts w:hAnsi="宋体" w:cs="仿宋_GB2312"/>
          <w:color w:val="000000"/>
          <w:szCs w:val="24"/>
        </w:rPr>
      </w:pPr>
      <w:r>
        <w:rPr>
          <w:rFonts w:hint="eastAsia" w:hAnsi="宋体" w:cs="仿宋_GB2312"/>
          <w:color w:val="000000"/>
          <w:szCs w:val="24"/>
        </w:rPr>
        <w:t>每次事故绝对免赔额：人民币200元或损失金额的10%，以高者为准；</w:t>
      </w:r>
    </w:p>
    <w:p>
      <w:pPr>
        <w:autoSpaceDE w:val="0"/>
        <w:autoSpaceDN w:val="0"/>
        <w:spacing w:line="360" w:lineRule="auto"/>
        <w:jc w:val="center"/>
        <w:rPr>
          <w:rFonts w:hAnsi="宋体"/>
          <w:b/>
          <w:bCs/>
          <w:color w:val="000000"/>
          <w:sz w:val="32"/>
          <w:szCs w:val="32"/>
        </w:rPr>
      </w:pPr>
      <w:r>
        <w:rPr>
          <w:rFonts w:hint="eastAsia" w:hAnsi="宋体"/>
          <w:b/>
          <w:bCs/>
          <w:color w:val="000000"/>
          <w:sz w:val="32"/>
          <w:szCs w:val="32"/>
        </w:rPr>
        <w:t>公众责任险保险内容</w:t>
      </w:r>
    </w:p>
    <w:tbl>
      <w:tblPr>
        <w:tblStyle w:val="62"/>
        <w:tblW w:w="0" w:type="auto"/>
        <w:tblInd w:w="93" w:type="dxa"/>
        <w:tblLayout w:type="fixed"/>
        <w:tblCellMar>
          <w:top w:w="0" w:type="dxa"/>
          <w:left w:w="108" w:type="dxa"/>
          <w:bottom w:w="0" w:type="dxa"/>
          <w:right w:w="108" w:type="dxa"/>
        </w:tblCellMar>
      </w:tblPr>
      <w:tblGrid>
        <w:gridCol w:w="724"/>
        <w:gridCol w:w="1843"/>
        <w:gridCol w:w="4961"/>
        <w:gridCol w:w="851"/>
      </w:tblGrid>
      <w:tr>
        <w:tblPrEx>
          <w:tblCellMar>
            <w:top w:w="0" w:type="dxa"/>
            <w:left w:w="108" w:type="dxa"/>
            <w:bottom w:w="0" w:type="dxa"/>
            <w:right w:w="108" w:type="dxa"/>
          </w:tblCellMar>
        </w:tblPrEx>
        <w:trPr>
          <w:trHeight w:val="637"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序号</w:t>
            </w:r>
          </w:p>
        </w:tc>
        <w:tc>
          <w:tcPr>
            <w:tcW w:w="1843" w:type="dxa"/>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保险项目</w:t>
            </w:r>
          </w:p>
        </w:tc>
        <w:tc>
          <w:tcPr>
            <w:tcW w:w="4961" w:type="dxa"/>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保险的内容</w:t>
            </w:r>
          </w:p>
        </w:tc>
        <w:tc>
          <w:tcPr>
            <w:tcW w:w="851" w:type="dxa"/>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备 注</w:t>
            </w:r>
          </w:p>
        </w:tc>
      </w:tr>
      <w:tr>
        <w:tblPrEx>
          <w:tblCellMar>
            <w:top w:w="0" w:type="dxa"/>
            <w:left w:w="108" w:type="dxa"/>
            <w:bottom w:w="0" w:type="dxa"/>
            <w:right w:w="108" w:type="dxa"/>
          </w:tblCellMar>
        </w:tblPrEx>
        <w:trPr>
          <w:trHeight w:val="1159"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1</w:t>
            </w:r>
          </w:p>
        </w:tc>
        <w:tc>
          <w:tcPr>
            <w:tcW w:w="1843" w:type="dxa"/>
            <w:tcBorders>
              <w:top w:val="nil"/>
              <w:left w:val="nil"/>
              <w:bottom w:val="single" w:color="auto" w:sz="4" w:space="0"/>
              <w:right w:val="single" w:color="auto" w:sz="4" w:space="0"/>
            </w:tcBorders>
            <w:shd w:val="clear" w:color="000000" w:fill="FFFFFF"/>
            <w:vAlign w:val="center"/>
          </w:tcPr>
          <w:p>
            <w:pPr>
              <w:ind w:firstLine="179" w:firstLineChars="100"/>
              <w:rPr>
                <w:rFonts w:ascii="仿宋" w:hAnsi="仿宋" w:eastAsia="仿宋" w:cs="宋体"/>
                <w:b/>
                <w:sz w:val="20"/>
              </w:rPr>
            </w:pPr>
            <w:r>
              <w:rPr>
                <w:rFonts w:hint="eastAsia" w:ascii="仿宋" w:hAnsi="仿宋" w:eastAsia="仿宋" w:cs="宋体"/>
                <w:b/>
                <w:sz w:val="20"/>
              </w:rPr>
              <w:t>市政道路、慢车道、人行道、台阶、隔离桩等、施工围挡、护栏等</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rPr>
            </w:pPr>
            <w:r>
              <w:rPr>
                <w:rFonts w:hint="eastAsia" w:ascii="仿宋" w:hAnsi="仿宋" w:eastAsia="仿宋" w:cs="宋体"/>
                <w:b/>
                <w:sz w:val="20"/>
              </w:rPr>
              <w:t>第三者在市政道路、慢车道、人行道、台阶发生的跌倒、滑倒和碰撞到隔离桩、施工围挡、护栏等发生人身伤亡事故或者造成的财产损失。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p>
        </w:tc>
      </w:tr>
      <w:tr>
        <w:tblPrEx>
          <w:tblCellMar>
            <w:top w:w="0" w:type="dxa"/>
            <w:left w:w="108" w:type="dxa"/>
            <w:bottom w:w="0" w:type="dxa"/>
            <w:right w:w="108" w:type="dxa"/>
          </w:tblCellMar>
        </w:tblPrEx>
        <w:trPr>
          <w:trHeight w:val="509"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2</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人行天桥、台阶</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rPr>
            </w:pPr>
            <w:r>
              <w:rPr>
                <w:rFonts w:hint="eastAsia" w:ascii="仿宋" w:hAnsi="仿宋" w:eastAsia="仿宋" w:cs="宋体"/>
                <w:b/>
                <w:sz w:val="20"/>
              </w:rPr>
              <w:t>第三者在人行天桥上发生的跌落、跌倒、滑倒等发生人身伤亡事故或者造成的财产损失。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p>
        </w:tc>
      </w:tr>
      <w:tr>
        <w:tblPrEx>
          <w:tblCellMar>
            <w:top w:w="0" w:type="dxa"/>
            <w:left w:w="108" w:type="dxa"/>
            <w:bottom w:w="0" w:type="dxa"/>
            <w:right w:w="108" w:type="dxa"/>
          </w:tblCellMar>
        </w:tblPrEx>
        <w:trPr>
          <w:trHeight w:val="547"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3</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电梯</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rPr>
            </w:pPr>
            <w:r>
              <w:rPr>
                <w:rFonts w:hint="eastAsia" w:ascii="仿宋" w:hAnsi="仿宋" w:eastAsia="仿宋" w:cs="宋体"/>
                <w:b/>
                <w:sz w:val="20"/>
              </w:rPr>
              <w:t>第三者在乘坐电梯、升降机和自动扶梯时发生的人身伤亡事故或者造成的财产损失。如：坠落、夹伤等</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p>
        </w:tc>
      </w:tr>
      <w:tr>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4</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市政道路附属（含窨井盖等）</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rPr>
            </w:pPr>
            <w:r>
              <w:rPr>
                <w:rFonts w:hint="eastAsia" w:ascii="仿宋" w:hAnsi="仿宋" w:eastAsia="仿宋" w:cs="宋体"/>
                <w:b/>
                <w:sz w:val="20"/>
              </w:rPr>
              <w:t>第三者因市政道路及人行道雨污水、供电等各类窨井盖缺失、破损发生的人身伤亡事故或者造成的财产损失。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p>
        </w:tc>
      </w:tr>
      <w:tr>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5</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市政道路绿化部分</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rPr>
            </w:pPr>
            <w:r>
              <w:rPr>
                <w:rFonts w:hint="eastAsia" w:ascii="仿宋" w:hAnsi="仿宋" w:eastAsia="仿宋" w:cs="宋体"/>
                <w:b/>
                <w:sz w:val="20"/>
              </w:rPr>
              <w:t>第三者在市政道路用地范围内的绿化物折断、坠落、倾倒的发生意外人身伤亡事故或者造成的财产损失。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p>
        </w:tc>
      </w:tr>
      <w:tr>
        <w:tblPrEx>
          <w:tblCellMar>
            <w:top w:w="0" w:type="dxa"/>
            <w:left w:w="108" w:type="dxa"/>
            <w:bottom w:w="0" w:type="dxa"/>
            <w:right w:w="108" w:type="dxa"/>
          </w:tblCellMar>
        </w:tblPrEx>
        <w:trPr>
          <w:trHeight w:val="544"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6</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市政雨污水系统及其附属设施（含泵站、管井及附属设施）</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rPr>
            </w:pPr>
            <w:r>
              <w:rPr>
                <w:rFonts w:hint="eastAsia" w:ascii="仿宋" w:hAnsi="仿宋" w:eastAsia="仿宋" w:cs="宋体"/>
                <w:b/>
                <w:sz w:val="20"/>
              </w:rPr>
              <w:t>市政雨污水系统及附属设施（例截流闸、泵站等附属设施）给第三者造成的人身伤亡事故或者财产损失。如：恶劣天气，雨水满溢、管井或设备损坏等。</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p>
        </w:tc>
      </w:tr>
      <w:tr>
        <w:tblPrEx>
          <w:tblCellMar>
            <w:top w:w="0" w:type="dxa"/>
            <w:left w:w="108" w:type="dxa"/>
            <w:bottom w:w="0" w:type="dxa"/>
            <w:right w:w="108" w:type="dxa"/>
          </w:tblCellMar>
        </w:tblPrEx>
        <w:trPr>
          <w:trHeight w:val="852"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7</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市政道路强弱电系统（含管井）</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rPr>
            </w:pPr>
            <w:r>
              <w:rPr>
                <w:rFonts w:hint="eastAsia" w:ascii="仿宋" w:hAnsi="仿宋" w:eastAsia="仿宋" w:cs="宋体"/>
                <w:b/>
                <w:sz w:val="20"/>
              </w:rPr>
              <w:t>市政道路附属强弱电系统给第三者造成的人身伤亡事故或者财产损失。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p>
        </w:tc>
      </w:tr>
      <w:tr>
        <w:tblPrEx>
          <w:tblCellMar>
            <w:top w:w="0" w:type="dxa"/>
            <w:left w:w="108" w:type="dxa"/>
            <w:bottom w:w="0" w:type="dxa"/>
            <w:right w:w="108" w:type="dxa"/>
          </w:tblCellMar>
        </w:tblPrEx>
        <w:trPr>
          <w:trHeight w:val="567"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8</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市政道路附属（含交通信号灯、广告牌等）</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rPr>
            </w:pPr>
            <w:r>
              <w:rPr>
                <w:rFonts w:hint="eastAsia" w:ascii="仿宋" w:hAnsi="仿宋" w:eastAsia="仿宋" w:cs="宋体"/>
                <w:b/>
                <w:sz w:val="20"/>
              </w:rPr>
              <w:t>第三者因</w:t>
            </w:r>
            <w:r>
              <w:rPr>
                <w:rFonts w:ascii="仿宋" w:hAnsi="仿宋" w:eastAsia="仿宋" w:cs="宋体"/>
                <w:b/>
                <w:sz w:val="20"/>
              </w:rPr>
              <w:t>交通信号灯、交通标志、交通监控设备、路灯、广告牌</w:t>
            </w:r>
            <w:r>
              <w:rPr>
                <w:rFonts w:hint="eastAsia" w:ascii="仿宋" w:hAnsi="仿宋" w:eastAsia="仿宋" w:cs="宋体"/>
                <w:b/>
                <w:sz w:val="20"/>
              </w:rPr>
              <w:t>等</w:t>
            </w:r>
            <w:r>
              <w:rPr>
                <w:rFonts w:ascii="仿宋" w:hAnsi="仿宋" w:eastAsia="仿宋" w:cs="宋体"/>
                <w:b/>
                <w:sz w:val="20"/>
              </w:rPr>
              <w:t>的坠落、破损</w:t>
            </w:r>
            <w:r>
              <w:rPr>
                <w:rFonts w:hint="eastAsia" w:ascii="仿宋" w:hAnsi="仿宋" w:eastAsia="仿宋" w:cs="宋体"/>
                <w:b/>
                <w:sz w:val="20"/>
              </w:rPr>
              <w:t>发生的人身伤亡事故或者造成的财产损失。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p>
        </w:tc>
      </w:tr>
      <w:tr>
        <w:tblPrEx>
          <w:tblCellMar>
            <w:top w:w="0" w:type="dxa"/>
            <w:left w:w="108" w:type="dxa"/>
            <w:bottom w:w="0" w:type="dxa"/>
            <w:right w:w="108" w:type="dxa"/>
          </w:tblCellMar>
        </w:tblPrEx>
        <w:trPr>
          <w:trHeight w:val="56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9</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路灯及附属供电设施</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rPr>
            </w:pPr>
            <w:r>
              <w:rPr>
                <w:rFonts w:hint="eastAsia" w:ascii="仿宋" w:hAnsi="仿宋" w:eastAsia="仿宋" w:cs="宋体"/>
                <w:b/>
                <w:sz w:val="20"/>
              </w:rPr>
              <w:t>第三者因路灯及附属供电设施漏电、触电事故造成的人身伤亡事故或者造成的财产损失。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p>
        </w:tc>
      </w:tr>
      <w:tr>
        <w:tblPrEx>
          <w:tblCellMar>
            <w:top w:w="0" w:type="dxa"/>
            <w:left w:w="108" w:type="dxa"/>
            <w:bottom w:w="0" w:type="dxa"/>
            <w:right w:w="108" w:type="dxa"/>
          </w:tblCellMar>
        </w:tblPrEx>
        <w:trPr>
          <w:trHeight w:val="555"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10</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公交站台及附属供电设施</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rPr>
            </w:pPr>
            <w:r>
              <w:rPr>
                <w:rFonts w:hint="eastAsia" w:ascii="仿宋" w:hAnsi="仿宋" w:eastAsia="仿宋" w:cs="宋体"/>
                <w:b/>
                <w:sz w:val="20"/>
              </w:rPr>
              <w:t>第三者因公交站亭及附属设施倒塌、触电事故造成的人身伤亡事故或者造成的财产损失。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p>
        </w:tc>
      </w:tr>
      <w:tr>
        <w:tblPrEx>
          <w:tblCellMar>
            <w:top w:w="0" w:type="dxa"/>
            <w:left w:w="108" w:type="dxa"/>
            <w:bottom w:w="0" w:type="dxa"/>
            <w:right w:w="108" w:type="dxa"/>
          </w:tblCellMar>
        </w:tblPrEx>
        <w:trPr>
          <w:trHeight w:val="548"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11</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河道、翡翠湖、南艳湖、明珠广场、苗圃（含水塘）等管理区域</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rPr>
            </w:pPr>
            <w:r>
              <w:rPr>
                <w:rFonts w:hint="eastAsia" w:ascii="仿宋" w:hAnsi="仿宋" w:eastAsia="仿宋" w:cs="宋体"/>
                <w:b/>
                <w:sz w:val="20"/>
              </w:rPr>
              <w:t>辖区内河道和公园里的管理区域及其附属设施设备损坏导致的伤害或损失；水域部分禁止游泳，第三者失足掉落河道和湖泊、水塘等发生的人身伤亡事故或者造成的财产损失。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p>
        </w:tc>
      </w:tr>
      <w:tr>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12</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ascii="仿宋" w:hAnsi="仿宋" w:eastAsia="仿宋" w:cs="宋体"/>
                <w:b/>
                <w:sz w:val="20"/>
              </w:rPr>
              <w:t>游泳池</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rPr>
            </w:pPr>
            <w:r>
              <w:rPr>
                <w:rFonts w:hint="eastAsia" w:ascii="仿宋" w:hAnsi="仿宋" w:eastAsia="仿宋" w:cs="宋体"/>
                <w:b/>
                <w:sz w:val="20"/>
              </w:rPr>
              <w:t>被保险人</w:t>
            </w:r>
            <w:r>
              <w:rPr>
                <w:rFonts w:ascii="仿宋" w:hAnsi="仿宋" w:eastAsia="仿宋" w:cs="宋体"/>
                <w:b/>
                <w:sz w:val="20"/>
              </w:rPr>
              <w:t>所拥有、使用或经营的游泳池发生意外事故造成第三者人身伤亡</w:t>
            </w:r>
            <w:r>
              <w:rPr>
                <w:rFonts w:hint="eastAsia" w:ascii="仿宋" w:hAnsi="仿宋" w:eastAsia="仿宋" w:cs="宋体"/>
                <w:b/>
                <w:sz w:val="20"/>
              </w:rPr>
              <w:t>。</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p>
        </w:tc>
      </w:tr>
      <w:tr>
        <w:tblPrEx>
          <w:tblCellMar>
            <w:top w:w="0" w:type="dxa"/>
            <w:left w:w="108" w:type="dxa"/>
            <w:bottom w:w="0" w:type="dxa"/>
            <w:right w:w="108" w:type="dxa"/>
          </w:tblCellMar>
        </w:tblPrEx>
        <w:trPr>
          <w:trHeight w:val="566"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13</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b/>
                <w:szCs w:val="21"/>
              </w:rPr>
            </w:pPr>
            <w:r>
              <w:rPr>
                <w:rFonts w:ascii="仿宋" w:hAnsi="仿宋" w:eastAsia="仿宋" w:cs="宋体"/>
                <w:b/>
                <w:sz w:val="20"/>
              </w:rPr>
              <w:t>被保险人雇员责任条款</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rPr>
            </w:pPr>
            <w:r>
              <w:rPr>
                <w:rFonts w:ascii="仿宋" w:hAnsi="仿宋" w:eastAsia="仿宋" w:cs="宋体"/>
                <w:b/>
                <w:sz w:val="20"/>
              </w:rPr>
              <w:t>被保险人的雇员在从事被保险人经营业务相关的工作时因发生意外事故或由于其个人疏忽、过失而造成第三者的人身伤亡或财产损失</w:t>
            </w:r>
            <w:r>
              <w:rPr>
                <w:rFonts w:hint="eastAsia" w:ascii="仿宋" w:hAnsi="仿宋" w:eastAsia="仿宋" w:cs="宋体"/>
                <w:b/>
                <w:sz w:val="20"/>
              </w:rPr>
              <w:t>。</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p>
        </w:tc>
      </w:tr>
      <w:tr>
        <w:tblPrEx>
          <w:tblCellMar>
            <w:top w:w="0" w:type="dxa"/>
            <w:left w:w="108" w:type="dxa"/>
            <w:bottom w:w="0" w:type="dxa"/>
            <w:right w:w="108" w:type="dxa"/>
          </w:tblCellMar>
        </w:tblPrEx>
        <w:trPr>
          <w:trHeight w:val="56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14</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ascii="仿宋" w:hAnsi="仿宋" w:eastAsia="仿宋" w:cs="宋体"/>
                <w:b/>
                <w:sz w:val="20"/>
              </w:rPr>
              <w:t>火灾、爆炸及水损</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rPr>
            </w:pPr>
            <w:r>
              <w:rPr>
                <w:rFonts w:ascii="仿宋" w:hAnsi="仿宋" w:eastAsia="仿宋" w:cs="宋体"/>
                <w:b/>
                <w:sz w:val="20"/>
              </w:rPr>
              <w:t>承保范围内因火灾、爆炸以及由此引起的烟熏或者因水损造成第三者人身伤亡或财产损失</w:t>
            </w:r>
            <w:r>
              <w:rPr>
                <w:rFonts w:hint="eastAsia" w:ascii="仿宋" w:hAnsi="仿宋" w:eastAsia="仿宋" w:cs="宋体"/>
                <w:b/>
                <w:sz w:val="20"/>
              </w:rPr>
              <w:t>。</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p>
        </w:tc>
      </w:tr>
      <w:tr>
        <w:tblPrEx>
          <w:tblCellMar>
            <w:top w:w="0" w:type="dxa"/>
            <w:left w:w="108" w:type="dxa"/>
            <w:bottom w:w="0" w:type="dxa"/>
            <w:right w:w="108" w:type="dxa"/>
          </w:tblCellMar>
        </w:tblPrEx>
        <w:trPr>
          <w:trHeight w:val="688"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15</w:t>
            </w:r>
          </w:p>
        </w:tc>
        <w:tc>
          <w:tcPr>
            <w:tcW w:w="1843" w:type="dxa"/>
            <w:tcBorders>
              <w:top w:val="nil"/>
              <w:left w:val="nil"/>
              <w:bottom w:val="single" w:color="auto" w:sz="4" w:space="0"/>
              <w:right w:val="single" w:color="auto" w:sz="4" w:space="0"/>
            </w:tcBorders>
            <w:shd w:val="clear" w:color="000000" w:fill="FFFFFF"/>
            <w:vAlign w:val="center"/>
          </w:tcPr>
          <w:p>
            <w:pPr>
              <w:pStyle w:val="6"/>
              <w:keepNext w:val="0"/>
              <w:snapToGrid w:val="0"/>
              <w:spacing w:afterLines="50"/>
              <w:rPr>
                <w:rFonts w:ascii="仿宋" w:hAnsi="仿宋" w:eastAsia="仿宋" w:cs="宋体"/>
                <w:b/>
                <w:bCs w:val="0"/>
                <w:kern w:val="0"/>
                <w:sz w:val="20"/>
              </w:rPr>
            </w:pPr>
            <w:r>
              <w:rPr>
                <w:rFonts w:hint="eastAsia" w:ascii="仿宋" w:hAnsi="仿宋" w:eastAsia="仿宋" w:cs="宋体"/>
                <w:b/>
                <w:bCs w:val="0"/>
                <w:kern w:val="0"/>
                <w:sz w:val="20"/>
              </w:rPr>
              <w:t>广告及装饰装置责任条款</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rPr>
            </w:pPr>
            <w:r>
              <w:rPr>
                <w:rFonts w:ascii="仿宋" w:hAnsi="仿宋" w:eastAsia="仿宋" w:cs="宋体"/>
                <w:b/>
                <w:sz w:val="20"/>
              </w:rPr>
              <w:t>承保范围内</w:t>
            </w:r>
            <w:r>
              <w:rPr>
                <w:rFonts w:hint="eastAsia" w:ascii="仿宋" w:hAnsi="仿宋" w:eastAsia="仿宋" w:cs="宋体"/>
                <w:b/>
                <w:sz w:val="20"/>
              </w:rPr>
              <w:t>所布置的广告、霓红灯、装饰物因发生意外事故造成第三者人身伤亡或财产损失。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p>
        </w:tc>
      </w:tr>
      <w:tr>
        <w:tblPrEx>
          <w:tblCellMar>
            <w:top w:w="0" w:type="dxa"/>
            <w:left w:w="108" w:type="dxa"/>
            <w:bottom w:w="0" w:type="dxa"/>
            <w:right w:w="108" w:type="dxa"/>
          </w:tblCellMar>
        </w:tblPrEx>
        <w:trPr>
          <w:trHeight w:val="533"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16</w:t>
            </w:r>
          </w:p>
        </w:tc>
        <w:tc>
          <w:tcPr>
            <w:tcW w:w="1843" w:type="dxa"/>
            <w:tcBorders>
              <w:top w:val="nil"/>
              <w:left w:val="nil"/>
              <w:bottom w:val="single" w:color="auto" w:sz="4" w:space="0"/>
              <w:right w:val="single" w:color="auto" w:sz="4" w:space="0"/>
            </w:tcBorders>
            <w:shd w:val="clear" w:color="000000" w:fill="FFFFFF"/>
            <w:vAlign w:val="center"/>
          </w:tcPr>
          <w:p>
            <w:pPr>
              <w:pStyle w:val="6"/>
              <w:keepNext w:val="0"/>
              <w:snapToGrid w:val="0"/>
              <w:spacing w:afterLines="50"/>
              <w:jc w:val="center"/>
              <w:rPr>
                <w:rFonts w:ascii="仿宋" w:hAnsi="仿宋" w:eastAsia="仿宋" w:cs="宋体"/>
                <w:b/>
                <w:bCs w:val="0"/>
                <w:kern w:val="0"/>
                <w:sz w:val="20"/>
              </w:rPr>
            </w:pPr>
            <w:r>
              <w:rPr>
                <w:rFonts w:hint="eastAsia" w:ascii="仿宋" w:hAnsi="仿宋" w:eastAsia="仿宋" w:cs="宋体"/>
                <w:b/>
                <w:bCs w:val="0"/>
                <w:kern w:val="0"/>
                <w:sz w:val="20"/>
              </w:rPr>
              <w:t>急救费用条款</w:t>
            </w:r>
          </w:p>
        </w:tc>
        <w:tc>
          <w:tcPr>
            <w:tcW w:w="4961" w:type="dxa"/>
            <w:tcBorders>
              <w:top w:val="nil"/>
              <w:left w:val="nil"/>
              <w:bottom w:val="single" w:color="auto" w:sz="4" w:space="0"/>
              <w:right w:val="single" w:color="auto" w:sz="4" w:space="0"/>
            </w:tcBorders>
            <w:shd w:val="clear" w:color="000000" w:fill="FFFFFF"/>
            <w:vAlign w:val="center"/>
          </w:tcPr>
          <w:p>
            <w:pPr>
              <w:adjustRightInd w:val="0"/>
              <w:snapToGrid w:val="0"/>
              <w:spacing w:afterLines="50"/>
              <w:rPr>
                <w:rFonts w:ascii="仿宋" w:hAnsi="仿宋" w:eastAsia="仿宋"/>
                <w:b/>
                <w:szCs w:val="21"/>
              </w:rPr>
            </w:pPr>
            <w:r>
              <w:rPr>
                <w:rFonts w:ascii="仿宋" w:hAnsi="仿宋" w:eastAsia="仿宋" w:cs="宋体"/>
                <w:b/>
                <w:sz w:val="20"/>
              </w:rPr>
              <w:t>承保范围内发生意外事故造成第三者人身伤害时应支付的合理急救费用。</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p>
        </w:tc>
      </w:tr>
      <w:tr>
        <w:tblPrEx>
          <w:tblCellMar>
            <w:top w:w="0" w:type="dxa"/>
            <w:left w:w="108" w:type="dxa"/>
            <w:bottom w:w="0" w:type="dxa"/>
            <w:right w:w="108" w:type="dxa"/>
          </w:tblCellMar>
        </w:tblPrEx>
        <w:trPr>
          <w:trHeight w:val="1068"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17</w:t>
            </w:r>
          </w:p>
        </w:tc>
        <w:tc>
          <w:tcPr>
            <w:tcW w:w="1843" w:type="dxa"/>
            <w:tcBorders>
              <w:top w:val="nil"/>
              <w:left w:val="nil"/>
              <w:bottom w:val="single" w:color="auto" w:sz="4" w:space="0"/>
              <w:right w:val="single" w:color="auto" w:sz="4" w:space="0"/>
            </w:tcBorders>
            <w:shd w:val="clear" w:color="000000" w:fill="FFFFFF"/>
            <w:vAlign w:val="center"/>
          </w:tcPr>
          <w:p>
            <w:pPr>
              <w:pStyle w:val="6"/>
              <w:keepNext w:val="0"/>
              <w:snapToGrid w:val="0"/>
              <w:spacing w:afterLines="50"/>
              <w:jc w:val="center"/>
              <w:rPr>
                <w:rFonts w:ascii="仿宋" w:hAnsi="仿宋" w:eastAsia="仿宋" w:cs="宋体"/>
                <w:b/>
                <w:bCs w:val="0"/>
                <w:kern w:val="0"/>
                <w:sz w:val="20"/>
              </w:rPr>
            </w:pPr>
            <w:r>
              <w:rPr>
                <w:rFonts w:hint="eastAsia" w:ascii="仿宋" w:hAnsi="仿宋" w:eastAsia="仿宋" w:cs="宋体"/>
                <w:b/>
                <w:bCs w:val="0"/>
                <w:kern w:val="0"/>
                <w:sz w:val="20"/>
              </w:rPr>
              <w:t>节日装饰责任扩展条款</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rPr>
            </w:pPr>
            <w:r>
              <w:rPr>
                <w:rFonts w:ascii="仿宋" w:hAnsi="仿宋" w:eastAsia="仿宋" w:cs="宋体"/>
                <w:b/>
                <w:sz w:val="20"/>
              </w:rPr>
              <w:t>被保险人和/或承包商和/或分包商在节假日期间由于装卸节日装饰品时导致的意外事故造成第三者人身伤亡或财产损失</w:t>
            </w:r>
            <w:r>
              <w:rPr>
                <w:rFonts w:hint="eastAsia" w:ascii="仿宋" w:hAnsi="仿宋" w:eastAsia="仿宋" w:cs="宋体"/>
                <w:b/>
                <w:sz w:val="20"/>
              </w:rPr>
              <w:t>。</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p>
        </w:tc>
      </w:tr>
      <w:tr>
        <w:tblPrEx>
          <w:tblCellMar>
            <w:top w:w="0" w:type="dxa"/>
            <w:left w:w="108" w:type="dxa"/>
            <w:bottom w:w="0" w:type="dxa"/>
            <w:right w:w="108" w:type="dxa"/>
          </w:tblCellMar>
        </w:tblPrEx>
        <w:trPr>
          <w:trHeight w:val="1154"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18</w:t>
            </w:r>
          </w:p>
        </w:tc>
        <w:tc>
          <w:tcPr>
            <w:tcW w:w="1843" w:type="dxa"/>
            <w:tcBorders>
              <w:top w:val="nil"/>
              <w:left w:val="nil"/>
              <w:bottom w:val="single" w:color="auto" w:sz="4" w:space="0"/>
              <w:right w:val="single" w:color="auto" w:sz="4" w:space="0"/>
            </w:tcBorders>
            <w:shd w:val="clear" w:color="000000" w:fill="FFFFFF"/>
            <w:vAlign w:val="center"/>
          </w:tcPr>
          <w:p>
            <w:pPr>
              <w:adjustRightInd w:val="0"/>
              <w:snapToGrid w:val="0"/>
              <w:spacing w:afterLines="50"/>
              <w:textAlignment w:val="baseline"/>
              <w:outlineLvl w:val="4"/>
              <w:rPr>
                <w:rFonts w:ascii="仿宋" w:hAnsi="仿宋" w:eastAsia="仿宋" w:cs="宋体"/>
                <w:b/>
                <w:sz w:val="20"/>
              </w:rPr>
            </w:pPr>
            <w:r>
              <w:rPr>
                <w:rFonts w:ascii="仿宋" w:hAnsi="仿宋" w:eastAsia="仿宋" w:cs="宋体"/>
                <w:b/>
                <w:sz w:val="20"/>
              </w:rPr>
              <w:t>有缺陷的卫生设施条款</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rPr>
            </w:pPr>
            <w:r>
              <w:rPr>
                <w:rFonts w:hint="eastAsia" w:ascii="仿宋" w:hAnsi="仿宋" w:eastAsia="仿宋" w:cs="宋体"/>
                <w:b/>
                <w:sz w:val="20"/>
              </w:rPr>
              <w:t>承保范围内</w:t>
            </w:r>
            <w:r>
              <w:rPr>
                <w:rFonts w:ascii="仿宋" w:hAnsi="仿宋" w:eastAsia="仿宋" w:cs="宋体"/>
                <w:b/>
                <w:sz w:val="20"/>
              </w:rPr>
              <w:t>因卫生设施发生意外事故导致污染物泄漏而依法应承担的对任何第三者人身伤亡及财产损失的赔偿责任（包括根据法律应由被保险人承担的清除污染物的费用）</w:t>
            </w:r>
            <w:r>
              <w:rPr>
                <w:rFonts w:hint="eastAsia" w:ascii="仿宋" w:hAnsi="仿宋" w:eastAsia="仿宋" w:cs="宋体"/>
                <w:b/>
                <w:sz w:val="20"/>
              </w:rPr>
              <w:t>。</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p>
        </w:tc>
      </w:tr>
      <w:tr>
        <w:tblPrEx>
          <w:tblCellMar>
            <w:top w:w="0" w:type="dxa"/>
            <w:left w:w="108" w:type="dxa"/>
            <w:bottom w:w="0" w:type="dxa"/>
            <w:right w:w="108" w:type="dxa"/>
          </w:tblCellMar>
        </w:tblPrEx>
        <w:trPr>
          <w:trHeight w:val="1154"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19</w:t>
            </w:r>
          </w:p>
        </w:tc>
        <w:tc>
          <w:tcPr>
            <w:tcW w:w="1843" w:type="dxa"/>
            <w:tcBorders>
              <w:top w:val="nil"/>
              <w:left w:val="nil"/>
              <w:bottom w:val="single" w:color="auto" w:sz="4" w:space="0"/>
              <w:right w:val="single" w:color="auto" w:sz="4" w:space="0"/>
            </w:tcBorders>
            <w:shd w:val="clear" w:color="000000" w:fill="FFFFFF"/>
            <w:vAlign w:val="center"/>
          </w:tcPr>
          <w:p>
            <w:pPr>
              <w:adjustRightInd w:val="0"/>
              <w:snapToGrid w:val="0"/>
              <w:spacing w:afterLines="50"/>
              <w:textAlignment w:val="baseline"/>
              <w:outlineLvl w:val="4"/>
              <w:rPr>
                <w:rFonts w:ascii="仿宋" w:hAnsi="仿宋" w:eastAsia="仿宋" w:cs="宋体"/>
                <w:b/>
                <w:sz w:val="20"/>
              </w:rPr>
            </w:pPr>
            <w:r>
              <w:rPr>
                <w:rFonts w:ascii="仿宋" w:hAnsi="仿宋" w:eastAsia="仿宋" w:cs="宋体"/>
                <w:b/>
                <w:sz w:val="20"/>
              </w:rPr>
              <w:t>恐怖活动条款</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rPr>
            </w:pPr>
            <w:r>
              <w:rPr>
                <w:rFonts w:ascii="仿宋" w:hAnsi="仿宋" w:eastAsia="仿宋" w:cs="宋体"/>
                <w:b/>
                <w:sz w:val="20"/>
              </w:rPr>
              <w:t>被</w:t>
            </w:r>
            <w:r>
              <w:rPr>
                <w:rFonts w:hint="eastAsia" w:ascii="仿宋" w:hAnsi="仿宋" w:eastAsia="仿宋" w:cs="宋体"/>
                <w:b/>
                <w:sz w:val="20"/>
              </w:rPr>
              <w:t>承保范围内</w:t>
            </w:r>
            <w:r>
              <w:rPr>
                <w:rFonts w:ascii="仿宋" w:hAnsi="仿宋" w:eastAsia="仿宋" w:cs="宋体"/>
                <w:b/>
                <w:sz w:val="20"/>
              </w:rPr>
              <w:t>出现任何恐怖分子或组织进行恐怖活动直接造成第三者人身伤亡或财产损失</w:t>
            </w:r>
            <w:r>
              <w:rPr>
                <w:rFonts w:hint="eastAsia" w:ascii="仿宋" w:hAnsi="仿宋" w:eastAsia="仿宋" w:cs="宋体"/>
                <w:b/>
                <w:sz w:val="20"/>
              </w:rPr>
              <w:t>。</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p>
        </w:tc>
      </w:tr>
      <w:tr>
        <w:tblPrEx>
          <w:tblCellMar>
            <w:top w:w="0" w:type="dxa"/>
            <w:left w:w="108" w:type="dxa"/>
            <w:bottom w:w="0" w:type="dxa"/>
            <w:right w:w="108" w:type="dxa"/>
          </w:tblCellMar>
        </w:tblPrEx>
        <w:trPr>
          <w:trHeight w:val="657"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rPr>
            </w:pPr>
            <w:r>
              <w:rPr>
                <w:rFonts w:hint="eastAsia" w:ascii="仿宋" w:hAnsi="仿宋" w:eastAsia="仿宋" w:cs="宋体"/>
                <w:b/>
                <w:sz w:val="20"/>
              </w:rPr>
              <w:t>20</w:t>
            </w:r>
          </w:p>
        </w:tc>
        <w:tc>
          <w:tcPr>
            <w:tcW w:w="1843" w:type="dxa"/>
            <w:tcBorders>
              <w:top w:val="nil"/>
              <w:left w:val="nil"/>
              <w:bottom w:val="single" w:color="auto" w:sz="4" w:space="0"/>
              <w:right w:val="single" w:color="auto" w:sz="4" w:space="0"/>
            </w:tcBorders>
            <w:shd w:val="clear" w:color="000000" w:fill="FFFFFF"/>
            <w:vAlign w:val="center"/>
          </w:tcPr>
          <w:p>
            <w:pPr>
              <w:adjustRightInd w:val="0"/>
              <w:snapToGrid w:val="0"/>
              <w:spacing w:afterLines="50"/>
              <w:textAlignment w:val="baseline"/>
              <w:outlineLvl w:val="4"/>
              <w:rPr>
                <w:rFonts w:ascii="仿宋" w:hAnsi="仿宋" w:eastAsia="仿宋" w:cs="宋体"/>
                <w:b/>
                <w:sz w:val="20"/>
              </w:rPr>
            </w:pPr>
            <w:r>
              <w:rPr>
                <w:rFonts w:ascii="仿宋" w:hAnsi="仿宋" w:eastAsia="仿宋" w:cs="宋体"/>
                <w:b/>
                <w:sz w:val="20"/>
              </w:rPr>
              <w:t>停车场</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rPr>
            </w:pPr>
            <w:r>
              <w:rPr>
                <w:rFonts w:hint="eastAsia" w:ascii="仿宋" w:hAnsi="仿宋" w:eastAsia="仿宋" w:cs="宋体"/>
                <w:b/>
                <w:sz w:val="20"/>
              </w:rPr>
              <w:t>第三者在被承保范围内停车场内发生的跌倒、滑倒和碰撞等造成人身伤亡事故或者造成的财产损失。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rPr>
            </w:pPr>
          </w:p>
        </w:tc>
      </w:tr>
    </w:tbl>
    <w:p>
      <w:pPr>
        <w:pStyle w:val="325"/>
        <w:spacing w:line="360" w:lineRule="auto"/>
        <w:ind w:firstLine="0" w:firstLineChars="0"/>
        <w:rPr>
          <w:rFonts w:ascii="宋体" w:hAnsi="宋体"/>
          <w:szCs w:val="24"/>
        </w:rPr>
      </w:pPr>
    </w:p>
    <w:p>
      <w:pPr>
        <w:spacing w:line="360" w:lineRule="auto"/>
        <w:ind w:firstLine="219" w:firstLineChars="100"/>
        <w:rPr>
          <w:rFonts w:hAnsi="宋体"/>
          <w:szCs w:val="24"/>
        </w:rPr>
      </w:pPr>
      <w:r>
        <w:rPr>
          <w:rFonts w:hint="eastAsia" w:hAnsi="宋体"/>
          <w:szCs w:val="24"/>
        </w:rPr>
        <w:t>（五）承保需求及备注：</w:t>
      </w:r>
    </w:p>
    <w:p>
      <w:pPr>
        <w:spacing w:line="360" w:lineRule="auto"/>
        <w:ind w:firstLine="329" w:firstLineChars="150"/>
        <w:rPr>
          <w:rFonts w:hAnsi="宋体"/>
          <w:szCs w:val="24"/>
        </w:rPr>
      </w:pPr>
      <w:r>
        <w:rPr>
          <w:rFonts w:hint="eastAsia" w:hAnsi="宋体"/>
          <w:szCs w:val="24"/>
        </w:rPr>
        <w:t>1、投保需求提供具体地址清单。</w:t>
      </w:r>
    </w:p>
    <w:p>
      <w:pPr>
        <w:spacing w:line="360" w:lineRule="auto"/>
        <w:ind w:firstLine="329" w:firstLineChars="150"/>
        <w:rPr>
          <w:rFonts w:hAnsi="宋体"/>
          <w:szCs w:val="24"/>
        </w:rPr>
      </w:pPr>
      <w:r>
        <w:rPr>
          <w:rFonts w:hint="eastAsia" w:hAnsi="宋体"/>
          <w:szCs w:val="24"/>
        </w:rPr>
        <w:t>2、保险生效后，承保范围如发生变动的，被保险人需将变动信息发送指定邮箱，发送之后第二天零时生效。增加保费按照月度结算。</w:t>
      </w:r>
    </w:p>
    <w:p>
      <w:pPr>
        <w:spacing w:line="360" w:lineRule="auto"/>
        <w:rPr>
          <w:rFonts w:hAnsi="宋体"/>
          <w:szCs w:val="24"/>
        </w:rPr>
      </w:pPr>
      <w:r>
        <w:rPr>
          <w:rFonts w:hint="eastAsia" w:hAnsi="宋体"/>
          <w:szCs w:val="24"/>
        </w:rPr>
        <w:t xml:space="preserve">   (六)保险费用及支付方式</w:t>
      </w:r>
    </w:p>
    <w:p>
      <w:pPr>
        <w:spacing w:line="360" w:lineRule="auto"/>
        <w:ind w:firstLine="465"/>
        <w:rPr>
          <w:rFonts w:hAnsi="宋体"/>
          <w:szCs w:val="24"/>
        </w:rPr>
      </w:pPr>
      <w:r>
        <w:rPr>
          <w:rFonts w:hint="eastAsia" w:hAnsi="宋体"/>
          <w:szCs w:val="24"/>
        </w:rPr>
        <w:t>保险费用:大写:</w:t>
      </w:r>
    </w:p>
    <w:p>
      <w:pPr>
        <w:pStyle w:val="325"/>
        <w:spacing w:line="360" w:lineRule="auto"/>
        <w:ind w:firstLine="0" w:firstLineChars="0"/>
        <w:rPr>
          <w:rFonts w:ascii="宋体" w:hAnsi="宋体"/>
          <w:szCs w:val="24"/>
        </w:rPr>
      </w:pPr>
      <w:r>
        <w:rPr>
          <w:rFonts w:hint="eastAsia" w:ascii="宋体" w:hAnsi="宋体"/>
          <w:szCs w:val="24"/>
        </w:rPr>
        <w:t>支付方式：</w:t>
      </w:r>
      <w:r>
        <w:rPr>
          <w:rFonts w:hint="eastAsia" w:ascii="宋体" w:hAnsi="宋体"/>
        </w:rPr>
        <w:t>合同签订后，按年度付款，提前5个工作日一次性付清当年度保费。</w:t>
      </w:r>
      <w:r>
        <w:rPr>
          <w:rFonts w:hint="eastAsia" w:ascii="宋体" w:hAnsi="宋体"/>
          <w:szCs w:val="24"/>
        </w:rPr>
        <w:t>服务期内，采购人有权提前终止合同，所缴纳保费按实际承保期限支付（年度保费/12*实际承保月份）。</w:t>
      </w:r>
    </w:p>
    <w:p>
      <w:pPr>
        <w:pStyle w:val="325"/>
        <w:numPr>
          <w:ilvl w:val="0"/>
          <w:numId w:val="1"/>
        </w:numPr>
        <w:spacing w:line="360" w:lineRule="auto"/>
        <w:ind w:firstLineChars="0"/>
        <w:jc w:val="center"/>
        <w:rPr>
          <w:rFonts w:hint="eastAsia"/>
          <w:szCs w:val="24"/>
        </w:rPr>
      </w:pPr>
      <w:r>
        <w:rPr>
          <w:rFonts w:hint="eastAsia"/>
          <w:szCs w:val="24"/>
        </w:rPr>
        <w:t>服务承诺</w:t>
      </w:r>
    </w:p>
    <w:p>
      <w:pPr>
        <w:spacing w:line="360" w:lineRule="auto"/>
        <w:rPr>
          <w:rFonts w:hAnsi="宋体"/>
          <w:szCs w:val="24"/>
        </w:rPr>
      </w:pPr>
      <w:r>
        <w:rPr>
          <w:rFonts w:hint="eastAsia" w:hAnsi="宋体"/>
          <w:szCs w:val="24"/>
        </w:rPr>
        <w:t>一、成立项目小组</w:t>
      </w:r>
    </w:p>
    <w:p>
      <w:pPr>
        <w:spacing w:line="360" w:lineRule="auto"/>
        <w:ind w:firstLine="556"/>
        <w:rPr>
          <w:rFonts w:hAnsi="宋体"/>
          <w:szCs w:val="24"/>
        </w:rPr>
      </w:pPr>
      <w:r>
        <w:rPr>
          <w:rFonts w:hint="eastAsia" w:hAnsi="宋体"/>
          <w:szCs w:val="24"/>
        </w:rPr>
        <w:t>为保证与甲方建立良好的保险合作关系，乙方成立了现场服务小组，负责区域内保险项目出单工作，日常与投保人、被保险人的联络沟通，现场查勘、材料收集、定损理赔工作，听取意见和建议，全面服务于整个保险期间，保证保险服务各项工作有序开展。</w:t>
      </w:r>
    </w:p>
    <w:tbl>
      <w:tblPr>
        <w:tblStyle w:val="6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30"/>
        <w:gridCol w:w="2210"/>
        <w:gridCol w:w="21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ign w:val="center"/>
          </w:tcPr>
          <w:p>
            <w:pPr>
              <w:jc w:val="center"/>
              <w:rPr>
                <w:rFonts w:hAnsi="宋体"/>
                <w:b/>
                <w:szCs w:val="24"/>
              </w:rPr>
            </w:pPr>
            <w:r>
              <w:rPr>
                <w:rFonts w:hint="eastAsia" w:hAnsi="宋体"/>
                <w:b/>
                <w:szCs w:val="24"/>
              </w:rPr>
              <w:t>公司</w:t>
            </w:r>
          </w:p>
        </w:tc>
        <w:tc>
          <w:tcPr>
            <w:tcW w:w="1030" w:type="dxa"/>
            <w:noWrap/>
            <w:vAlign w:val="center"/>
          </w:tcPr>
          <w:p>
            <w:pPr>
              <w:jc w:val="center"/>
              <w:rPr>
                <w:rFonts w:hAnsi="宋体"/>
                <w:b/>
                <w:szCs w:val="24"/>
              </w:rPr>
            </w:pPr>
          </w:p>
          <w:p>
            <w:pPr>
              <w:jc w:val="center"/>
              <w:rPr>
                <w:rFonts w:hAnsi="宋体"/>
                <w:b/>
                <w:szCs w:val="24"/>
              </w:rPr>
            </w:pPr>
            <w:r>
              <w:rPr>
                <w:rFonts w:hint="eastAsia" w:hAnsi="宋体"/>
                <w:b/>
                <w:szCs w:val="24"/>
              </w:rPr>
              <w:t>联系人</w:t>
            </w:r>
          </w:p>
          <w:p>
            <w:pPr>
              <w:jc w:val="center"/>
              <w:rPr>
                <w:rFonts w:hAnsi="宋体"/>
                <w:b/>
                <w:szCs w:val="24"/>
              </w:rPr>
            </w:pPr>
          </w:p>
        </w:tc>
        <w:tc>
          <w:tcPr>
            <w:tcW w:w="2210" w:type="dxa"/>
            <w:noWrap/>
            <w:vAlign w:val="center"/>
          </w:tcPr>
          <w:p>
            <w:pPr>
              <w:jc w:val="center"/>
              <w:rPr>
                <w:rFonts w:hAnsi="宋体"/>
                <w:b/>
                <w:szCs w:val="24"/>
              </w:rPr>
            </w:pPr>
            <w:r>
              <w:rPr>
                <w:rFonts w:hint="eastAsia" w:hAnsi="宋体"/>
                <w:b/>
                <w:szCs w:val="24"/>
              </w:rPr>
              <w:t>公司职务</w:t>
            </w:r>
          </w:p>
        </w:tc>
        <w:tc>
          <w:tcPr>
            <w:tcW w:w="2160" w:type="dxa"/>
            <w:noWrap/>
            <w:vAlign w:val="center"/>
          </w:tcPr>
          <w:p>
            <w:pPr>
              <w:jc w:val="center"/>
              <w:rPr>
                <w:rFonts w:hAnsi="宋体"/>
                <w:b/>
                <w:szCs w:val="24"/>
              </w:rPr>
            </w:pPr>
            <w:r>
              <w:rPr>
                <w:rFonts w:hint="eastAsia" w:hAnsi="宋体"/>
                <w:b/>
                <w:szCs w:val="24"/>
              </w:rPr>
              <w:t>固定电话</w:t>
            </w:r>
          </w:p>
        </w:tc>
        <w:tc>
          <w:tcPr>
            <w:tcW w:w="1800" w:type="dxa"/>
            <w:noWrap/>
            <w:vAlign w:val="center"/>
          </w:tcPr>
          <w:p>
            <w:pPr>
              <w:jc w:val="center"/>
              <w:rPr>
                <w:rFonts w:hAnsi="宋体"/>
                <w:b/>
                <w:szCs w:val="24"/>
              </w:rPr>
            </w:pPr>
            <w:r>
              <w:rPr>
                <w:rFonts w:hint="eastAsia" w:hAnsi="宋体"/>
                <w:b/>
                <w:szCs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noWrap/>
            <w:vAlign w:val="center"/>
          </w:tcPr>
          <w:p>
            <w:pPr>
              <w:jc w:val="center"/>
              <w:rPr>
                <w:rFonts w:hAnsi="宋体" w:cs="宋体"/>
                <w:szCs w:val="21"/>
              </w:rPr>
            </w:pPr>
          </w:p>
        </w:tc>
        <w:tc>
          <w:tcPr>
            <w:tcW w:w="1030" w:type="dxa"/>
            <w:noWrap/>
            <w:vAlign w:val="center"/>
          </w:tcPr>
          <w:p>
            <w:pPr>
              <w:jc w:val="center"/>
              <w:rPr>
                <w:rFonts w:hAnsi="宋体" w:cs="宋体"/>
                <w:szCs w:val="21"/>
              </w:rPr>
            </w:pPr>
          </w:p>
        </w:tc>
        <w:tc>
          <w:tcPr>
            <w:tcW w:w="2210" w:type="dxa"/>
            <w:noWrap/>
            <w:vAlign w:val="center"/>
          </w:tcPr>
          <w:p>
            <w:pPr>
              <w:jc w:val="center"/>
              <w:rPr>
                <w:rFonts w:hAnsi="宋体"/>
                <w:szCs w:val="24"/>
              </w:rPr>
            </w:pPr>
          </w:p>
        </w:tc>
        <w:tc>
          <w:tcPr>
            <w:tcW w:w="2160" w:type="dxa"/>
            <w:noWrap/>
            <w:vAlign w:val="center"/>
          </w:tcPr>
          <w:p>
            <w:pPr>
              <w:jc w:val="center"/>
              <w:rPr>
                <w:rFonts w:hAnsi="宋体"/>
                <w:szCs w:val="24"/>
              </w:rPr>
            </w:pPr>
          </w:p>
        </w:tc>
        <w:tc>
          <w:tcPr>
            <w:tcW w:w="1800" w:type="dxa"/>
            <w:noWrap/>
            <w:vAlign w:val="center"/>
          </w:tcPr>
          <w:p>
            <w:pPr>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noWrap/>
          </w:tcPr>
          <w:p>
            <w:pPr>
              <w:jc w:val="center"/>
              <w:rPr>
                <w:rFonts w:hAnsi="宋体" w:cs="宋体"/>
                <w:szCs w:val="21"/>
              </w:rPr>
            </w:pPr>
          </w:p>
        </w:tc>
        <w:tc>
          <w:tcPr>
            <w:tcW w:w="1030" w:type="dxa"/>
            <w:noWrap/>
            <w:vAlign w:val="center"/>
          </w:tcPr>
          <w:p>
            <w:pPr>
              <w:jc w:val="center"/>
              <w:rPr>
                <w:rFonts w:hAnsi="宋体" w:cs="宋体"/>
                <w:szCs w:val="21"/>
              </w:rPr>
            </w:pPr>
          </w:p>
        </w:tc>
        <w:tc>
          <w:tcPr>
            <w:tcW w:w="2210" w:type="dxa"/>
            <w:noWrap/>
            <w:vAlign w:val="center"/>
          </w:tcPr>
          <w:p>
            <w:pPr>
              <w:jc w:val="center"/>
              <w:rPr>
                <w:rFonts w:hAnsi="宋体"/>
                <w:szCs w:val="24"/>
              </w:rPr>
            </w:pPr>
          </w:p>
        </w:tc>
        <w:tc>
          <w:tcPr>
            <w:tcW w:w="2160" w:type="dxa"/>
            <w:noWrap/>
            <w:vAlign w:val="center"/>
          </w:tcPr>
          <w:p>
            <w:pPr>
              <w:jc w:val="center"/>
              <w:rPr>
                <w:rFonts w:hAnsi="宋体"/>
                <w:szCs w:val="24"/>
              </w:rPr>
            </w:pPr>
          </w:p>
        </w:tc>
        <w:tc>
          <w:tcPr>
            <w:tcW w:w="1800" w:type="dxa"/>
            <w:noWrap/>
            <w:vAlign w:val="center"/>
          </w:tcPr>
          <w:p>
            <w:pPr>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noWrap/>
          </w:tcPr>
          <w:p>
            <w:pPr>
              <w:jc w:val="center"/>
              <w:rPr>
                <w:rFonts w:hAnsi="宋体" w:cs="宋体"/>
                <w:szCs w:val="21"/>
              </w:rPr>
            </w:pPr>
          </w:p>
        </w:tc>
        <w:tc>
          <w:tcPr>
            <w:tcW w:w="1030" w:type="dxa"/>
            <w:noWrap/>
            <w:vAlign w:val="center"/>
          </w:tcPr>
          <w:p>
            <w:pPr>
              <w:jc w:val="center"/>
              <w:rPr>
                <w:rFonts w:hAnsi="宋体" w:cs="宋体"/>
                <w:szCs w:val="21"/>
              </w:rPr>
            </w:pPr>
          </w:p>
        </w:tc>
        <w:tc>
          <w:tcPr>
            <w:tcW w:w="2210" w:type="dxa"/>
            <w:noWrap/>
            <w:vAlign w:val="center"/>
          </w:tcPr>
          <w:p>
            <w:pPr>
              <w:jc w:val="center"/>
              <w:rPr>
                <w:rFonts w:hAnsi="宋体" w:cs="宋体"/>
                <w:szCs w:val="21"/>
              </w:rPr>
            </w:pPr>
          </w:p>
        </w:tc>
        <w:tc>
          <w:tcPr>
            <w:tcW w:w="2160" w:type="dxa"/>
            <w:noWrap/>
            <w:vAlign w:val="center"/>
          </w:tcPr>
          <w:p>
            <w:pPr>
              <w:jc w:val="center"/>
              <w:rPr>
                <w:rFonts w:hAnsi="宋体" w:cs="宋体"/>
                <w:szCs w:val="21"/>
              </w:rPr>
            </w:pPr>
          </w:p>
        </w:tc>
        <w:tc>
          <w:tcPr>
            <w:tcW w:w="1800" w:type="dxa"/>
            <w:noWrap/>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noWrap/>
          </w:tcPr>
          <w:p>
            <w:pPr>
              <w:jc w:val="center"/>
              <w:rPr>
                <w:rFonts w:hAnsi="宋体" w:cs="宋体"/>
                <w:szCs w:val="21"/>
              </w:rPr>
            </w:pPr>
          </w:p>
        </w:tc>
        <w:tc>
          <w:tcPr>
            <w:tcW w:w="1030" w:type="dxa"/>
            <w:noWrap/>
            <w:vAlign w:val="center"/>
          </w:tcPr>
          <w:p>
            <w:pPr>
              <w:jc w:val="center"/>
              <w:rPr>
                <w:rFonts w:hAnsi="宋体" w:cs="宋体"/>
                <w:szCs w:val="21"/>
              </w:rPr>
            </w:pPr>
          </w:p>
        </w:tc>
        <w:tc>
          <w:tcPr>
            <w:tcW w:w="2210" w:type="dxa"/>
            <w:noWrap/>
            <w:vAlign w:val="center"/>
          </w:tcPr>
          <w:p>
            <w:pPr>
              <w:jc w:val="center"/>
              <w:rPr>
                <w:rFonts w:hAnsi="宋体" w:cs="宋体"/>
                <w:szCs w:val="21"/>
              </w:rPr>
            </w:pPr>
          </w:p>
        </w:tc>
        <w:tc>
          <w:tcPr>
            <w:tcW w:w="2160" w:type="dxa"/>
            <w:noWrap/>
            <w:vAlign w:val="center"/>
          </w:tcPr>
          <w:p>
            <w:pPr>
              <w:jc w:val="center"/>
              <w:rPr>
                <w:rFonts w:hAnsi="宋体" w:cs="宋体"/>
                <w:szCs w:val="21"/>
              </w:rPr>
            </w:pPr>
          </w:p>
        </w:tc>
        <w:tc>
          <w:tcPr>
            <w:tcW w:w="1800" w:type="dxa"/>
            <w:noWrap/>
            <w:vAlign w:val="center"/>
          </w:tcPr>
          <w:p>
            <w:pPr>
              <w:jc w:val="center"/>
              <w:rPr>
                <w:rFonts w:hAnsi="宋体" w:cs="宋体"/>
                <w:szCs w:val="21"/>
              </w:rPr>
            </w:pPr>
          </w:p>
        </w:tc>
      </w:tr>
    </w:tbl>
    <w:p>
      <w:pPr>
        <w:spacing w:line="360" w:lineRule="auto"/>
        <w:rPr>
          <w:szCs w:val="24"/>
        </w:rPr>
      </w:pPr>
    </w:p>
    <w:p>
      <w:pPr>
        <w:spacing w:line="360" w:lineRule="auto"/>
        <w:rPr>
          <w:szCs w:val="24"/>
        </w:rPr>
      </w:pPr>
      <w:r>
        <w:rPr>
          <w:rFonts w:hint="eastAsia"/>
          <w:szCs w:val="24"/>
        </w:rPr>
        <w:t>二、承保理赔承诺</w:t>
      </w:r>
    </w:p>
    <w:p>
      <w:pPr>
        <w:spacing w:line="360" w:lineRule="auto"/>
        <w:ind w:firstLine="438" w:firstLineChars="200"/>
        <w:rPr>
          <w:rFonts w:hAnsi="宋体"/>
          <w:szCs w:val="24"/>
        </w:rPr>
      </w:pPr>
      <w:r>
        <w:rPr>
          <w:rFonts w:hint="eastAsia" w:hAnsi="宋体"/>
          <w:szCs w:val="24"/>
        </w:rPr>
        <w:t>1、</w:t>
      </w:r>
      <w:r>
        <w:rPr>
          <w:rFonts w:hAnsi="宋体"/>
          <w:szCs w:val="24"/>
        </w:rPr>
        <w:t>保险</w:t>
      </w:r>
      <w:r>
        <w:rPr>
          <w:rFonts w:hint="eastAsia" w:hAnsi="宋体"/>
          <w:szCs w:val="24"/>
        </w:rPr>
        <w:t>人</w:t>
      </w:r>
      <w:r>
        <w:rPr>
          <w:rFonts w:hAnsi="宋体"/>
          <w:szCs w:val="24"/>
        </w:rPr>
        <w:t>设立24小时报案电话，电话号码：</w:t>
      </w:r>
      <w:r>
        <w:rPr>
          <w:rFonts w:hint="eastAsia" w:hAnsi="宋体"/>
          <w:szCs w:val="24"/>
        </w:rPr>
        <w:t>，</w:t>
      </w:r>
      <w:r>
        <w:rPr>
          <w:rFonts w:hAnsi="宋体"/>
          <w:szCs w:val="24"/>
        </w:rPr>
        <w:t>可全年365天随时接受被保</w:t>
      </w:r>
      <w:r>
        <w:rPr>
          <w:rFonts w:hint="eastAsia" w:hAnsi="宋体"/>
          <w:szCs w:val="24"/>
        </w:rPr>
        <w:t>险人</w:t>
      </w:r>
      <w:r>
        <w:rPr>
          <w:rFonts w:hAnsi="宋体"/>
          <w:szCs w:val="24"/>
        </w:rPr>
        <w:t>的出险报案，并应立即通知项目小组。被保险人也可以直接向出单公司项目小组报案。</w:t>
      </w:r>
    </w:p>
    <w:p>
      <w:pPr>
        <w:autoSpaceDN w:val="0"/>
        <w:spacing w:line="360" w:lineRule="auto"/>
        <w:ind w:firstLine="480"/>
        <w:rPr>
          <w:rFonts w:hAnsi="宋体"/>
          <w:szCs w:val="24"/>
        </w:rPr>
      </w:pPr>
      <w:r>
        <w:rPr>
          <w:rFonts w:hAnsi="宋体"/>
          <w:szCs w:val="24"/>
        </w:rPr>
        <w:t>被保险人因特殊情况无法在出单公司规定时间内报案的，保险</w:t>
      </w:r>
      <w:r>
        <w:rPr>
          <w:rFonts w:hint="eastAsia" w:hAnsi="宋体"/>
          <w:szCs w:val="24"/>
        </w:rPr>
        <w:t>人</w:t>
      </w:r>
      <w:r>
        <w:rPr>
          <w:rFonts w:hAnsi="宋体"/>
          <w:szCs w:val="24"/>
        </w:rPr>
        <w:t>认可被保险人事后出具的书面说明，并视同为及时报案。</w:t>
      </w:r>
    </w:p>
    <w:p>
      <w:pPr>
        <w:spacing w:line="360" w:lineRule="auto"/>
        <w:ind w:firstLine="438" w:firstLineChars="200"/>
        <w:rPr>
          <w:rFonts w:hAnsi="宋体"/>
          <w:szCs w:val="24"/>
        </w:rPr>
      </w:pPr>
      <w:r>
        <w:rPr>
          <w:rFonts w:hint="eastAsia" w:hAnsi="宋体"/>
          <w:szCs w:val="24"/>
        </w:rPr>
        <w:t>2、</w:t>
      </w:r>
      <w:r>
        <w:rPr>
          <w:rFonts w:hAnsi="宋体"/>
          <w:szCs w:val="24"/>
        </w:rPr>
        <w:t>保险人在接到被保险人提交的索赔资料后，应立即审查核实，若认为有关证明和材料不完整，及时一次性以书面方式通知被保险人或公估公司应补充提供的有关证明或资料。若在接到索赔资料后2 个工作日内未提出有关审核意见，则视为保险人已认可索赔资料的完整性。</w:t>
      </w:r>
    </w:p>
    <w:p>
      <w:pPr>
        <w:spacing w:line="360" w:lineRule="auto"/>
        <w:ind w:firstLine="438" w:firstLineChars="200"/>
        <w:rPr>
          <w:rFonts w:hAnsi="宋体"/>
          <w:szCs w:val="24"/>
        </w:rPr>
      </w:pPr>
      <w:r>
        <w:rPr>
          <w:rFonts w:hint="eastAsia" w:hAnsi="宋体"/>
          <w:szCs w:val="24"/>
        </w:rPr>
        <w:t>3、</w:t>
      </w:r>
      <w:r>
        <w:rPr>
          <w:rFonts w:hAnsi="宋体"/>
          <w:szCs w:val="24"/>
        </w:rPr>
        <w:t>保险人在收到完整的索赔单证后，应尽快核定保险责任、损失项目和赔偿金额：</w:t>
      </w:r>
    </w:p>
    <w:p>
      <w:pPr>
        <w:spacing w:beforeLines="50" w:afterLines="50" w:line="360" w:lineRule="auto"/>
        <w:ind w:firstLine="438" w:firstLineChars="200"/>
        <w:rPr>
          <w:rFonts w:hAnsi="宋体"/>
          <w:szCs w:val="24"/>
        </w:rPr>
      </w:pPr>
      <w:r>
        <w:rPr>
          <w:rFonts w:hAnsi="宋体"/>
          <w:szCs w:val="24"/>
        </w:rPr>
        <w:t>4</w:t>
      </w:r>
      <w:r>
        <w:rPr>
          <w:rFonts w:hint="eastAsia" w:hAnsi="宋体"/>
          <w:szCs w:val="24"/>
        </w:rPr>
        <w:t>、</w:t>
      </w:r>
      <w:r>
        <w:rPr>
          <w:rFonts w:hAnsi="宋体"/>
          <w:szCs w:val="24"/>
        </w:rPr>
        <w:t>保险联席会议</w:t>
      </w:r>
    </w:p>
    <w:p>
      <w:pPr>
        <w:spacing w:line="360" w:lineRule="auto"/>
        <w:ind w:firstLine="438" w:firstLineChars="200"/>
        <w:rPr>
          <w:rFonts w:hAnsi="宋体"/>
          <w:szCs w:val="24"/>
        </w:rPr>
      </w:pPr>
      <w:r>
        <w:rPr>
          <w:rFonts w:hAnsi="宋体"/>
          <w:szCs w:val="24"/>
        </w:rPr>
        <w:t>应被保险人要求，保险人根据被保险人的需要，不定期召开保险联席会议，由被保险人有关部门人员参加，相互沟通，协商解决有关保险事宜。</w:t>
      </w:r>
    </w:p>
    <w:p>
      <w:pPr>
        <w:spacing w:beforeLines="50" w:afterLines="50" w:line="360" w:lineRule="auto"/>
        <w:ind w:firstLine="438" w:firstLineChars="200"/>
        <w:rPr>
          <w:rFonts w:hAnsi="宋体"/>
          <w:szCs w:val="24"/>
        </w:rPr>
      </w:pPr>
      <w:r>
        <w:rPr>
          <w:rFonts w:hAnsi="宋体"/>
          <w:szCs w:val="24"/>
        </w:rPr>
        <w:t>5．法律援助</w:t>
      </w:r>
    </w:p>
    <w:p>
      <w:pPr>
        <w:spacing w:line="360" w:lineRule="auto"/>
        <w:ind w:firstLine="438" w:firstLineChars="200"/>
        <w:rPr>
          <w:rFonts w:hAnsi="宋体"/>
          <w:szCs w:val="24"/>
        </w:rPr>
      </w:pPr>
      <w:r>
        <w:rPr>
          <w:rFonts w:hAnsi="宋体"/>
          <w:szCs w:val="24"/>
        </w:rPr>
        <w:t>保险人应为本项目提供法律援助服务，包括对保险及民事赔偿提供法律咨询、代为聘请律师、代理诉讼行为等。</w:t>
      </w:r>
    </w:p>
    <w:p>
      <w:pPr>
        <w:spacing w:beforeLines="50" w:afterLines="50" w:line="360" w:lineRule="auto"/>
        <w:ind w:firstLine="438" w:firstLineChars="200"/>
        <w:rPr>
          <w:rFonts w:hAnsi="宋体"/>
          <w:szCs w:val="24"/>
        </w:rPr>
      </w:pPr>
      <w:r>
        <w:rPr>
          <w:rFonts w:hAnsi="宋体"/>
          <w:szCs w:val="24"/>
        </w:rPr>
        <w:t>6．实施“险后两访”制度</w:t>
      </w:r>
    </w:p>
    <w:p>
      <w:pPr>
        <w:spacing w:beforeLines="50" w:afterLines="50" w:line="360" w:lineRule="auto"/>
        <w:ind w:firstLine="438" w:firstLineChars="200"/>
        <w:rPr>
          <w:rFonts w:hAnsi="宋体"/>
          <w:szCs w:val="24"/>
        </w:rPr>
      </w:pPr>
      <w:r>
        <w:rPr>
          <w:rFonts w:hAnsi="宋体"/>
          <w:szCs w:val="24"/>
        </w:rPr>
        <w:t>每次接到被保险人报案电话后，保险人安排专人进行险后回访，回访内容包括对查勘定损人员查勘时效、服务态度、工作技能的满意度等。赔付结案后，保险人实施第二次回访，回访内容主要为赔付时效和客户满意度等。</w:t>
      </w:r>
    </w:p>
    <w:p>
      <w:pPr>
        <w:spacing w:beforeLines="50" w:afterLines="50" w:line="360" w:lineRule="auto"/>
        <w:ind w:firstLine="438" w:firstLineChars="200"/>
        <w:rPr>
          <w:rFonts w:hAnsi="宋体"/>
          <w:szCs w:val="24"/>
        </w:rPr>
      </w:pPr>
      <w:r>
        <w:rPr>
          <w:rFonts w:hAnsi="宋体"/>
          <w:szCs w:val="24"/>
        </w:rPr>
        <w:t>7．人员变动及时通知</w:t>
      </w:r>
    </w:p>
    <w:p>
      <w:pPr>
        <w:spacing w:beforeLines="50" w:afterLines="50" w:line="360" w:lineRule="auto"/>
        <w:ind w:firstLine="438" w:firstLineChars="200"/>
        <w:rPr>
          <w:rFonts w:hAnsi="宋体"/>
          <w:szCs w:val="24"/>
        </w:rPr>
      </w:pPr>
      <w:r>
        <w:rPr>
          <w:rFonts w:hAnsi="宋体"/>
          <w:szCs w:val="24"/>
        </w:rPr>
        <w:t>保险人现场服务小组成员将各司其职，互相配合，手机均保持24小时开通。如果小组成员由于工作原因调动离岗，保险人应在第一时间内通知被保险人；同时，告知接替人员的工作经验、简历和联系方式；接替人员也将在最短时间内熟悉情况，进入工作状态。</w:t>
      </w:r>
    </w:p>
    <w:p>
      <w:pPr>
        <w:spacing w:line="360" w:lineRule="auto"/>
        <w:rPr>
          <w:rFonts w:hAnsi="宋体"/>
          <w:szCs w:val="24"/>
        </w:rPr>
      </w:pPr>
      <w:r>
        <w:rPr>
          <w:rFonts w:hint="eastAsia" w:hAnsi="宋体"/>
          <w:szCs w:val="24"/>
        </w:rPr>
        <w:t>二、赔案时效承诺：</w:t>
      </w:r>
      <w:r>
        <w:rPr>
          <w:rFonts w:hAnsi="宋体"/>
          <w:szCs w:val="24"/>
        </w:rPr>
        <w:t>在收到完整的索赔材料后，出单公司同意按照以下时限要求支付赔款</w:t>
      </w:r>
    </w:p>
    <w:p>
      <w:pPr>
        <w:pStyle w:val="325"/>
        <w:numPr>
          <w:ilvl w:val="0"/>
          <w:numId w:val="4"/>
        </w:numPr>
        <w:spacing w:line="360" w:lineRule="auto"/>
        <w:ind w:firstLineChars="0"/>
        <w:rPr>
          <w:rFonts w:ascii="宋体" w:hAnsi="宋体"/>
          <w:szCs w:val="24"/>
        </w:rPr>
      </w:pPr>
      <w:r>
        <w:rPr>
          <w:rFonts w:hint="eastAsia" w:ascii="宋体" w:hAnsi="宋体"/>
          <w:szCs w:val="24"/>
        </w:rPr>
        <w:t>赔款人民币10000元以下的，1个工作日；</w:t>
      </w:r>
    </w:p>
    <w:p>
      <w:pPr>
        <w:pStyle w:val="325"/>
        <w:numPr>
          <w:ilvl w:val="0"/>
          <w:numId w:val="4"/>
        </w:numPr>
        <w:spacing w:line="360" w:lineRule="auto"/>
        <w:ind w:firstLineChars="0"/>
        <w:rPr>
          <w:rFonts w:ascii="宋体" w:hAnsi="宋体"/>
          <w:szCs w:val="24"/>
        </w:rPr>
      </w:pPr>
      <w:r>
        <w:rPr>
          <w:rFonts w:hint="eastAsia" w:ascii="宋体" w:hAnsi="宋体"/>
          <w:szCs w:val="24"/>
        </w:rPr>
        <w:t>赔款额在人民币50000元以下的，3个工作日；</w:t>
      </w:r>
    </w:p>
    <w:p>
      <w:pPr>
        <w:pStyle w:val="325"/>
        <w:numPr>
          <w:ilvl w:val="0"/>
          <w:numId w:val="4"/>
        </w:numPr>
        <w:spacing w:line="360" w:lineRule="auto"/>
        <w:ind w:firstLineChars="0"/>
        <w:rPr>
          <w:rFonts w:ascii="宋体" w:hAnsi="宋体"/>
          <w:szCs w:val="24"/>
        </w:rPr>
      </w:pPr>
      <w:r>
        <w:rPr>
          <w:rFonts w:hint="eastAsia" w:ascii="宋体" w:hAnsi="宋体"/>
          <w:szCs w:val="24"/>
        </w:rPr>
        <w:t>赔款额在人民币50000-1000000元之间的，5个工作日。</w:t>
      </w:r>
    </w:p>
    <w:p>
      <w:pPr>
        <w:spacing w:line="360" w:lineRule="auto"/>
        <w:ind w:firstLine="438" w:firstLineChars="200"/>
        <w:rPr>
          <w:rFonts w:hAnsi="宋体"/>
          <w:szCs w:val="24"/>
        </w:rPr>
      </w:pPr>
    </w:p>
    <w:p>
      <w:pPr>
        <w:spacing w:line="360" w:lineRule="auto"/>
        <w:jc w:val="center"/>
        <w:rPr>
          <w:rFonts w:hAnsi="宋体"/>
          <w:szCs w:val="24"/>
        </w:rPr>
      </w:pPr>
      <w:r>
        <w:rPr>
          <w:rFonts w:hint="eastAsia" w:hAnsi="宋体"/>
          <w:szCs w:val="24"/>
        </w:rPr>
        <w:t>第三部分  其他事项</w:t>
      </w:r>
    </w:p>
    <w:p>
      <w:pPr>
        <w:spacing w:line="360" w:lineRule="auto"/>
        <w:jc w:val="center"/>
        <w:rPr>
          <w:rFonts w:hAnsi="宋体"/>
          <w:szCs w:val="24"/>
        </w:rPr>
      </w:pPr>
    </w:p>
    <w:p>
      <w:pPr>
        <w:pStyle w:val="325"/>
        <w:numPr>
          <w:ilvl w:val="0"/>
          <w:numId w:val="2"/>
        </w:numPr>
        <w:spacing w:line="360" w:lineRule="auto"/>
        <w:ind w:firstLineChars="0"/>
        <w:rPr>
          <w:rFonts w:ascii="宋体" w:hAnsi="宋体"/>
          <w:szCs w:val="24"/>
        </w:rPr>
      </w:pPr>
      <w:r>
        <w:rPr>
          <w:rFonts w:hint="eastAsia" w:ascii="宋体" w:hAnsi="宋体"/>
          <w:szCs w:val="24"/>
        </w:rPr>
        <w:t>甲方在保险期限内由于机构设置、人员流动等变更，应及时申请批改保单，乙方给予批单，但仍遵从本协议所定的费率及保险责任等相关内容。</w:t>
      </w:r>
    </w:p>
    <w:p>
      <w:pPr>
        <w:spacing w:line="360" w:lineRule="auto"/>
        <w:rPr>
          <w:rFonts w:hAnsi="宋体"/>
          <w:szCs w:val="24"/>
        </w:rPr>
      </w:pPr>
      <w:r>
        <w:rPr>
          <w:rFonts w:hint="eastAsia" w:hAnsi="宋体"/>
          <w:szCs w:val="24"/>
        </w:rPr>
        <w:t>二、保险单与本协议、今后可能产生的批单、补充与修正文件都将作为本保险协议的重要组成部分，互相说明，互为补充。如有不明确和不一致之处，则依照双方确认的时间顺序，以后者为准。</w:t>
      </w:r>
    </w:p>
    <w:p>
      <w:pPr>
        <w:spacing w:line="360" w:lineRule="auto"/>
        <w:rPr>
          <w:rFonts w:hAnsi="宋体"/>
          <w:szCs w:val="24"/>
        </w:rPr>
      </w:pPr>
      <w:r>
        <w:rPr>
          <w:rFonts w:hint="eastAsia" w:hAnsi="宋体"/>
          <w:szCs w:val="24"/>
        </w:rPr>
        <w:t>三、甲方与乙方之间的一切有关本保险的争议应通过友好协商解决。</w:t>
      </w:r>
    </w:p>
    <w:p>
      <w:pPr>
        <w:spacing w:line="360" w:lineRule="auto"/>
        <w:rPr>
          <w:rFonts w:hAnsi="宋体"/>
          <w:szCs w:val="24"/>
        </w:rPr>
      </w:pPr>
      <w:r>
        <w:rPr>
          <w:rFonts w:hint="eastAsia" w:hAnsi="宋体"/>
          <w:szCs w:val="24"/>
        </w:rPr>
        <w:t>四、本协议签订后发生的补充协议及批单，保险责任的改变以时间顺序为准。</w:t>
      </w:r>
    </w:p>
    <w:p>
      <w:pPr>
        <w:spacing w:line="360" w:lineRule="auto"/>
        <w:rPr>
          <w:rFonts w:hAnsi="宋体"/>
          <w:szCs w:val="24"/>
        </w:rPr>
      </w:pPr>
      <w:r>
        <w:rPr>
          <w:rFonts w:hint="eastAsia" w:hAnsi="宋体"/>
          <w:szCs w:val="24"/>
        </w:rPr>
        <w:t>五、本协议书经双方盖章有效。</w:t>
      </w:r>
    </w:p>
    <w:p>
      <w:pPr>
        <w:spacing w:line="360" w:lineRule="auto"/>
        <w:rPr>
          <w:rFonts w:hAnsi="宋体"/>
          <w:szCs w:val="24"/>
        </w:rPr>
      </w:pPr>
      <w:r>
        <w:rPr>
          <w:rFonts w:hint="eastAsia" w:hAnsi="宋体"/>
          <w:szCs w:val="24"/>
        </w:rPr>
        <w:t>六、本协议一式四份，甲乙双方各执两份。</w:t>
      </w:r>
    </w:p>
    <w:p>
      <w:pPr>
        <w:spacing w:line="360" w:lineRule="auto"/>
        <w:rPr>
          <w:rFonts w:hAnsi="宋体"/>
          <w:szCs w:val="24"/>
        </w:rPr>
      </w:pPr>
    </w:p>
    <w:p>
      <w:pPr>
        <w:spacing w:line="360" w:lineRule="auto"/>
        <w:rPr>
          <w:rFonts w:hAnsi="宋体"/>
          <w:szCs w:val="24"/>
        </w:rPr>
      </w:pPr>
    </w:p>
    <w:p>
      <w:pPr>
        <w:spacing w:line="360" w:lineRule="auto"/>
        <w:rPr>
          <w:rFonts w:hAnsi="宋体"/>
          <w:szCs w:val="24"/>
        </w:rPr>
      </w:pPr>
    </w:p>
    <w:p>
      <w:pPr>
        <w:spacing w:line="360" w:lineRule="auto"/>
        <w:rPr>
          <w:rFonts w:hAnsi="宋体"/>
          <w:szCs w:val="24"/>
        </w:rPr>
      </w:pPr>
      <w:r>
        <w:rPr>
          <w:rFonts w:hint="eastAsia" w:hAnsi="宋体"/>
          <w:szCs w:val="24"/>
        </w:rPr>
        <w:t>甲方（盖章）：                                 乙方（盖章）：</w:t>
      </w:r>
    </w:p>
    <w:p>
      <w:pPr>
        <w:spacing w:line="360" w:lineRule="auto"/>
        <w:rPr>
          <w:rFonts w:hAnsi="宋体"/>
          <w:szCs w:val="24"/>
        </w:rPr>
      </w:pPr>
      <w:r>
        <w:rPr>
          <w:rFonts w:hint="eastAsia" w:hAnsi="宋体"/>
          <w:szCs w:val="24"/>
        </w:rPr>
        <w:t>地址：                                        地址：</w:t>
      </w:r>
    </w:p>
    <w:p>
      <w:pPr>
        <w:spacing w:line="360" w:lineRule="auto"/>
        <w:rPr>
          <w:rFonts w:hAnsi="宋体"/>
          <w:szCs w:val="24"/>
        </w:rPr>
      </w:pPr>
      <w:r>
        <w:rPr>
          <w:rFonts w:hint="eastAsia" w:hAnsi="宋体"/>
          <w:szCs w:val="24"/>
        </w:rPr>
        <w:t>法定代表人（签章）：                           法定代表人（签章）：</w:t>
      </w:r>
    </w:p>
    <w:p>
      <w:pPr>
        <w:spacing w:line="360" w:lineRule="auto"/>
        <w:rPr>
          <w:rFonts w:hAnsi="宋体"/>
          <w:szCs w:val="24"/>
        </w:rPr>
      </w:pPr>
      <w:r>
        <w:rPr>
          <w:rFonts w:hint="eastAsia" w:hAnsi="宋体"/>
          <w:szCs w:val="24"/>
        </w:rPr>
        <w:t>或授权代表                                    或授权代表</w:t>
      </w:r>
    </w:p>
    <w:p>
      <w:pPr>
        <w:spacing w:line="360" w:lineRule="auto"/>
        <w:rPr>
          <w:rFonts w:hAnsi="宋体"/>
          <w:szCs w:val="24"/>
        </w:rPr>
      </w:pPr>
    </w:p>
    <w:p>
      <w:pPr>
        <w:spacing w:line="360" w:lineRule="auto"/>
        <w:rPr>
          <w:rFonts w:hAnsi="宋体"/>
          <w:szCs w:val="24"/>
        </w:rPr>
      </w:pPr>
      <w:r>
        <w:rPr>
          <w:rFonts w:hint="eastAsia" w:hAnsi="宋体"/>
          <w:szCs w:val="24"/>
        </w:rPr>
        <w:t xml:space="preserve"> 年   月    日                               年   月    日</w:t>
      </w:r>
    </w:p>
    <w:p>
      <w:pPr>
        <w:spacing w:line="440" w:lineRule="exact"/>
      </w:pPr>
    </w:p>
    <w:p/>
    <w:p>
      <w:pPr>
        <w:pStyle w:val="2"/>
        <w:pageBreakBefore/>
        <w:spacing w:before="260" w:after="260" w:line="500" w:lineRule="exact"/>
        <w:jc w:val="center"/>
        <w:rPr>
          <w:rFonts w:hAnsi="宋体"/>
          <w:color w:val="000000"/>
          <w:sz w:val="36"/>
          <w:szCs w:val="36"/>
          <w:highlight w:val="yellow"/>
        </w:rPr>
      </w:pPr>
      <w:r>
        <w:rPr>
          <w:rFonts w:hint="eastAsia" w:hAnsi="宋体"/>
          <w:color w:val="000000"/>
          <w:sz w:val="36"/>
          <w:szCs w:val="36"/>
          <w:highlight w:val="yellow"/>
        </w:rPr>
        <w:t>五、采购需求</w:t>
      </w:r>
      <w:bookmarkEnd w:id="57"/>
      <w:bookmarkEnd w:id="58"/>
    </w:p>
    <w:p>
      <w:pPr>
        <w:rPr>
          <w:rFonts w:ascii="仿宋" w:hAnsi="仿宋" w:eastAsia="仿宋" w:cs="Times New Roman"/>
          <w:b/>
          <w:sz w:val="32"/>
          <w:szCs w:val="32"/>
        </w:rPr>
      </w:pPr>
      <w:bookmarkStart w:id="59" w:name="_Hlt240110027"/>
      <w:bookmarkEnd w:id="59"/>
      <w:bookmarkStart w:id="60" w:name="_Toc527131324"/>
      <w:r>
        <w:rPr>
          <w:rFonts w:hint="eastAsia" w:ascii="仿宋" w:hAnsi="仿宋" w:eastAsia="仿宋" w:cs="Times New Roman"/>
          <w:b/>
          <w:sz w:val="32"/>
          <w:szCs w:val="32"/>
        </w:rPr>
        <w:t>一、</w:t>
      </w:r>
      <w:r>
        <w:rPr>
          <w:rFonts w:ascii="仿宋" w:hAnsi="仿宋" w:eastAsia="仿宋" w:cs="Times New Roman"/>
          <w:b/>
          <w:sz w:val="32"/>
          <w:szCs w:val="32"/>
        </w:rPr>
        <w:t>承</w:t>
      </w:r>
      <w:r>
        <w:rPr>
          <w:rFonts w:hint="eastAsia" w:ascii="仿宋" w:hAnsi="仿宋" w:eastAsia="仿宋" w:cs="Times New Roman"/>
          <w:b/>
          <w:sz w:val="32"/>
          <w:szCs w:val="32"/>
        </w:rPr>
        <w:t>保</w:t>
      </w:r>
      <w:r>
        <w:rPr>
          <w:rFonts w:ascii="仿宋" w:hAnsi="仿宋" w:eastAsia="仿宋" w:cs="Times New Roman"/>
          <w:b/>
          <w:sz w:val="32"/>
          <w:szCs w:val="32"/>
        </w:rPr>
        <w:t>范围及内容</w:t>
      </w:r>
    </w:p>
    <w:p>
      <w:pPr>
        <w:rPr>
          <w:rFonts w:ascii="仿宋" w:hAnsi="仿宋" w:eastAsia="仿宋" w:cs="Times New Roman"/>
          <w:sz w:val="32"/>
          <w:szCs w:val="32"/>
        </w:rPr>
      </w:pPr>
      <w:r>
        <w:rPr>
          <w:rFonts w:hint="eastAsia" w:ascii="仿宋" w:hAnsi="仿宋" w:eastAsia="仿宋" w:cs="Times New Roman"/>
          <w:sz w:val="32"/>
          <w:szCs w:val="32"/>
        </w:rPr>
        <w:t>在本保险单明细表中列明的地点范围内依法从事生产、经营等活动以及由于意外事故造成第三者人身伤亡或财产损失，依法应由被保险人承担的民事赔偿责任，保险人负责赔偿。</w:t>
      </w:r>
      <w:r>
        <w:rPr>
          <w:rFonts w:ascii="仿宋" w:hAnsi="仿宋" w:eastAsia="仿宋" w:cs="Times New Roman"/>
          <w:sz w:val="32"/>
          <w:szCs w:val="32"/>
        </w:rPr>
        <w:t>主要</w:t>
      </w:r>
      <w:r>
        <w:rPr>
          <w:rFonts w:hint="eastAsia" w:ascii="仿宋" w:hAnsi="仿宋" w:eastAsia="仿宋" w:cs="Times New Roman"/>
          <w:sz w:val="32"/>
          <w:szCs w:val="32"/>
        </w:rPr>
        <w:t>范围</w:t>
      </w:r>
      <w:r>
        <w:rPr>
          <w:rFonts w:ascii="仿宋" w:hAnsi="仿宋" w:eastAsia="仿宋" w:cs="Times New Roman"/>
          <w:sz w:val="32"/>
          <w:szCs w:val="32"/>
        </w:rPr>
        <w:t>包含合肥</w:t>
      </w:r>
      <w:r>
        <w:rPr>
          <w:rFonts w:hint="eastAsia" w:ascii="仿宋" w:hAnsi="仿宋" w:eastAsia="仿宋" w:cs="Times New Roman"/>
          <w:sz w:val="32"/>
          <w:szCs w:val="32"/>
        </w:rPr>
        <w:t>经开区(含新港工业园及经开北区)市政道路、路面坑洞及沉降、护栏、隔离桩、指示牌、路灯及附属设施、公交站亭及附属设施、施工围挡、园林绿化、雨污水管道系统及其附属设施、泵站、强弱电窨井、人行天桥及扶梯、河道系统及其附属设施、翡翠湖、南艳湖公园设施、明珠广场、苗圃（含苗圃水塘）、停车场等。具体承保内容：</w:t>
      </w:r>
    </w:p>
    <w:p>
      <w:pPr>
        <w:pStyle w:val="195"/>
        <w:spacing w:line="360" w:lineRule="auto"/>
        <w:ind w:left="720" w:firstLine="0" w:firstLineChars="0"/>
        <w:rPr>
          <w:rFonts w:ascii="仿宋" w:hAnsi="仿宋" w:eastAsia="仿宋" w:cs="Times New Roman"/>
          <w:sz w:val="32"/>
          <w:szCs w:val="32"/>
        </w:rPr>
      </w:pPr>
      <w:r>
        <w:rPr>
          <w:rFonts w:hint="eastAsia" w:ascii="仿宋" w:hAnsi="仿宋" w:eastAsia="仿宋" w:cs="Times New Roman"/>
          <w:sz w:val="32"/>
          <w:szCs w:val="32"/>
        </w:rPr>
        <w:t>赔偿限额：</w:t>
      </w:r>
    </w:p>
    <w:p>
      <w:pPr>
        <w:autoSpaceDE w:val="0"/>
        <w:autoSpaceDN w:val="0"/>
        <w:adjustRightInd w:val="0"/>
        <w:spacing w:line="360" w:lineRule="auto"/>
        <w:ind w:left="1" w:firstLine="580" w:firstLineChars="194"/>
        <w:jc w:val="left"/>
        <w:rPr>
          <w:rFonts w:ascii="仿宋" w:hAnsi="仿宋" w:eastAsia="仿宋" w:cs="Times New Roman"/>
          <w:sz w:val="32"/>
          <w:szCs w:val="32"/>
        </w:rPr>
      </w:pPr>
      <w:r>
        <w:rPr>
          <w:rFonts w:hint="eastAsia" w:ascii="仿宋" w:hAnsi="仿宋" w:eastAsia="仿宋" w:cs="Times New Roman"/>
          <w:sz w:val="32"/>
          <w:szCs w:val="32"/>
        </w:rPr>
        <w:t>1.公众责任保险，累计赔偿限额 1000万元，每次事故赔偿限额500万元，每次事故财产赔偿限额限额200万元，每人赔偿限额 100万元；</w:t>
      </w:r>
    </w:p>
    <w:p>
      <w:pPr>
        <w:autoSpaceDE w:val="0"/>
        <w:autoSpaceDN w:val="0"/>
        <w:adjustRightInd w:val="0"/>
        <w:spacing w:line="360" w:lineRule="auto"/>
        <w:ind w:firstLine="598" w:firstLineChars="200"/>
        <w:jc w:val="left"/>
        <w:rPr>
          <w:rFonts w:ascii="仿宋" w:hAnsi="仿宋" w:eastAsia="仿宋" w:cs="Times New Roman"/>
          <w:sz w:val="32"/>
          <w:szCs w:val="32"/>
        </w:rPr>
      </w:pPr>
      <w:r>
        <w:rPr>
          <w:rFonts w:hint="eastAsia" w:ascii="仿宋" w:hAnsi="仿宋" w:eastAsia="仿宋" w:cs="Times New Roman"/>
          <w:sz w:val="32"/>
          <w:szCs w:val="32"/>
        </w:rPr>
        <w:t>2.游泳池责任险，累计赔偿限额 1000万元，每次事故赔偿限额500万元，每次事故财产赔偿限额限额200万元，每人赔偿限额 100万元；</w:t>
      </w:r>
    </w:p>
    <w:p>
      <w:pPr>
        <w:autoSpaceDE w:val="0"/>
        <w:autoSpaceDN w:val="0"/>
        <w:adjustRightInd w:val="0"/>
        <w:spacing w:line="360" w:lineRule="auto"/>
        <w:ind w:firstLine="598" w:firstLineChars="200"/>
        <w:jc w:val="left"/>
        <w:rPr>
          <w:rFonts w:ascii="仿宋" w:hAnsi="仿宋" w:eastAsia="仿宋" w:cs="Times New Roman"/>
          <w:sz w:val="32"/>
          <w:szCs w:val="32"/>
        </w:rPr>
      </w:pPr>
      <w:r>
        <w:rPr>
          <w:rFonts w:hint="eastAsia" w:ascii="仿宋" w:hAnsi="仿宋" w:eastAsia="仿宋" w:cs="Times New Roman"/>
          <w:sz w:val="32"/>
          <w:szCs w:val="32"/>
        </w:rPr>
        <w:t>3.被保险人雇员责任险，累计赔偿限额 1000万元，每次事故赔偿限额500万元，每次事故财产赔偿限额限额200万元，每人赔偿限额 100万元；</w:t>
      </w:r>
    </w:p>
    <w:p>
      <w:pPr>
        <w:autoSpaceDE w:val="0"/>
        <w:autoSpaceDN w:val="0"/>
        <w:adjustRightInd w:val="0"/>
        <w:spacing w:line="360" w:lineRule="auto"/>
        <w:ind w:firstLine="598" w:firstLineChars="200"/>
        <w:jc w:val="left"/>
        <w:rPr>
          <w:rFonts w:ascii="仿宋" w:hAnsi="仿宋" w:eastAsia="仿宋" w:cs="Times New Roman"/>
          <w:sz w:val="32"/>
          <w:szCs w:val="32"/>
        </w:rPr>
      </w:pPr>
      <w:r>
        <w:rPr>
          <w:rFonts w:hint="eastAsia" w:ascii="仿宋" w:hAnsi="仿宋" w:eastAsia="仿宋" w:cs="Times New Roman"/>
          <w:sz w:val="32"/>
          <w:szCs w:val="32"/>
        </w:rPr>
        <w:t>4.电梯责任险，累计赔偿限额 1000万元，每次事故赔偿限额500万元，每次事故财产赔偿限额限额200万元，每人赔偿限额 100万元；</w:t>
      </w:r>
    </w:p>
    <w:p>
      <w:pPr>
        <w:autoSpaceDE w:val="0"/>
        <w:autoSpaceDN w:val="0"/>
        <w:adjustRightInd w:val="0"/>
        <w:spacing w:line="360" w:lineRule="auto"/>
        <w:ind w:firstLine="598" w:firstLineChars="200"/>
        <w:jc w:val="left"/>
        <w:rPr>
          <w:rFonts w:ascii="仿宋" w:hAnsi="仿宋" w:eastAsia="仿宋" w:cs="Times New Roman"/>
          <w:sz w:val="32"/>
          <w:szCs w:val="32"/>
        </w:rPr>
      </w:pPr>
      <w:r>
        <w:rPr>
          <w:rFonts w:hint="eastAsia" w:ascii="仿宋" w:hAnsi="仿宋" w:eastAsia="仿宋" w:cs="Times New Roman"/>
          <w:sz w:val="32"/>
          <w:szCs w:val="32"/>
        </w:rPr>
        <w:t>5.广告及装饰装置责任，累计赔偿限额 1000万元，每次事故赔偿限额500万元，每次事故财产赔偿限额限额200万元，每人赔偿限额 100万元；</w:t>
      </w:r>
    </w:p>
    <w:p>
      <w:pPr>
        <w:autoSpaceDE w:val="0"/>
        <w:autoSpaceDN w:val="0"/>
        <w:adjustRightInd w:val="0"/>
        <w:spacing w:line="360" w:lineRule="auto"/>
        <w:ind w:firstLine="544" w:firstLineChars="182"/>
        <w:jc w:val="left"/>
        <w:rPr>
          <w:rFonts w:ascii="仿宋" w:hAnsi="仿宋" w:eastAsia="仿宋" w:cs="Times New Roman"/>
          <w:sz w:val="32"/>
          <w:szCs w:val="32"/>
        </w:rPr>
      </w:pPr>
      <w:r>
        <w:rPr>
          <w:rFonts w:hint="eastAsia" w:ascii="仿宋" w:hAnsi="仿宋" w:eastAsia="仿宋" w:cs="Times New Roman"/>
          <w:sz w:val="32"/>
          <w:szCs w:val="32"/>
        </w:rPr>
        <w:t>6.急救费用条款: 承保范围内发生意外事故造成第三者人身伤害时应支付的合理急救费用</w:t>
      </w:r>
    </w:p>
    <w:p>
      <w:pPr>
        <w:autoSpaceDE w:val="0"/>
        <w:autoSpaceDN w:val="0"/>
        <w:adjustRightInd w:val="0"/>
        <w:spacing w:line="360" w:lineRule="auto"/>
        <w:ind w:firstLine="598" w:firstLineChars="200"/>
        <w:jc w:val="left"/>
        <w:rPr>
          <w:rFonts w:ascii="仿宋" w:hAnsi="仿宋" w:eastAsia="仿宋" w:cs="Times New Roman"/>
          <w:sz w:val="32"/>
          <w:szCs w:val="32"/>
        </w:rPr>
      </w:pPr>
      <w:r>
        <w:rPr>
          <w:rFonts w:hint="eastAsia" w:ascii="仿宋" w:hAnsi="仿宋" w:eastAsia="仿宋" w:cs="Times New Roman"/>
          <w:sz w:val="32"/>
          <w:szCs w:val="32"/>
        </w:rPr>
        <w:t>7.节日装饰责任扩展条款, 累计赔偿限额 1000万元，每次事故赔偿限额500万元，每次事故财产赔偿限额限额200万元，每人赔偿限额 100万元；</w:t>
      </w:r>
    </w:p>
    <w:p>
      <w:pPr>
        <w:autoSpaceDE w:val="0"/>
        <w:autoSpaceDN w:val="0"/>
        <w:adjustRightInd w:val="0"/>
        <w:spacing w:line="360" w:lineRule="auto"/>
        <w:ind w:firstLine="589" w:firstLineChars="197"/>
        <w:jc w:val="left"/>
        <w:rPr>
          <w:rFonts w:ascii="仿宋" w:hAnsi="仿宋" w:eastAsia="仿宋" w:cs="Times New Roman"/>
          <w:sz w:val="32"/>
          <w:szCs w:val="32"/>
        </w:rPr>
      </w:pPr>
      <w:r>
        <w:rPr>
          <w:rFonts w:hint="eastAsia" w:ascii="仿宋" w:hAnsi="仿宋" w:eastAsia="仿宋" w:cs="Times New Roman"/>
          <w:sz w:val="32"/>
          <w:szCs w:val="32"/>
        </w:rPr>
        <w:t>8.有缺陷的卫生设施条款, 累计赔偿限额 1000万元，每次事故赔偿限额500万元，每次事故财产赔偿限额限额200万元，每人赔偿限额 100万元；</w:t>
      </w:r>
    </w:p>
    <w:p>
      <w:pPr>
        <w:autoSpaceDE w:val="0"/>
        <w:autoSpaceDN w:val="0"/>
        <w:adjustRightInd w:val="0"/>
        <w:spacing w:line="360" w:lineRule="auto"/>
        <w:ind w:firstLine="598" w:firstLineChars="200"/>
        <w:jc w:val="left"/>
        <w:rPr>
          <w:rFonts w:ascii="仿宋" w:hAnsi="仿宋" w:eastAsia="仿宋" w:cs="Times New Roman"/>
          <w:sz w:val="32"/>
          <w:szCs w:val="32"/>
        </w:rPr>
      </w:pPr>
      <w:r>
        <w:rPr>
          <w:rFonts w:hint="eastAsia" w:ascii="仿宋" w:hAnsi="仿宋" w:eastAsia="仿宋" w:cs="Times New Roman"/>
          <w:sz w:val="32"/>
          <w:szCs w:val="32"/>
        </w:rPr>
        <w:t>9.市政附属设施责任保险条款, 累计赔偿限额 1000万元，每次事故赔偿限额500万元，每次事故财产赔偿限额限额200万元，每人赔偿限额 100万元；</w:t>
      </w:r>
    </w:p>
    <w:p>
      <w:pPr>
        <w:autoSpaceDE w:val="0"/>
        <w:autoSpaceDN w:val="0"/>
        <w:adjustRightInd w:val="0"/>
        <w:spacing w:line="360" w:lineRule="auto"/>
        <w:ind w:firstLine="580" w:firstLineChars="194"/>
        <w:jc w:val="left"/>
        <w:rPr>
          <w:rFonts w:ascii="仿宋" w:hAnsi="仿宋" w:eastAsia="仿宋" w:cs="Times New Roman"/>
          <w:sz w:val="32"/>
          <w:szCs w:val="32"/>
        </w:rPr>
      </w:pPr>
      <w:r>
        <w:rPr>
          <w:rFonts w:hint="eastAsia" w:ascii="仿宋" w:hAnsi="仿宋" w:eastAsia="仿宋" w:cs="Times New Roman"/>
          <w:sz w:val="32"/>
          <w:szCs w:val="32"/>
        </w:rPr>
        <w:t>10.火灾、爆炸及水损责任，累计赔偿限额是200万，每次事故赔偿限额50万（人伤25万，财产25万），每次事故每人赔偿限额10万；</w:t>
      </w:r>
    </w:p>
    <w:p>
      <w:pPr>
        <w:autoSpaceDE w:val="0"/>
        <w:autoSpaceDN w:val="0"/>
        <w:adjustRightInd w:val="0"/>
        <w:spacing w:line="360" w:lineRule="auto"/>
        <w:ind w:firstLine="580" w:firstLineChars="194"/>
        <w:jc w:val="left"/>
        <w:rPr>
          <w:rFonts w:hint="eastAsia" w:ascii="仿宋" w:hAnsi="仿宋" w:eastAsia="仿宋" w:cs="Times New Roman"/>
          <w:sz w:val="32"/>
          <w:szCs w:val="32"/>
        </w:rPr>
      </w:pPr>
      <w:r>
        <w:rPr>
          <w:rFonts w:hint="eastAsia" w:ascii="仿宋" w:hAnsi="仿宋" w:eastAsia="仿宋" w:cs="Times New Roman"/>
          <w:sz w:val="32"/>
          <w:szCs w:val="32"/>
        </w:rPr>
        <w:t>11.恐怖活动条款（累计赔偿限额是200万，每次事故赔偿限额50万（人伤25万，财产25万），每次事故每人赔偿限额10万；</w:t>
      </w:r>
    </w:p>
    <w:p>
      <w:pPr>
        <w:autoSpaceDE w:val="0"/>
        <w:autoSpaceDN w:val="0"/>
        <w:adjustRightInd w:val="0"/>
        <w:spacing w:line="360" w:lineRule="auto"/>
        <w:ind w:firstLine="580" w:firstLineChars="194"/>
        <w:jc w:val="left"/>
        <w:rPr>
          <w:rFonts w:ascii="仿宋" w:hAnsi="仿宋" w:eastAsia="仿宋" w:cs="Times New Roman"/>
          <w:sz w:val="32"/>
          <w:szCs w:val="32"/>
        </w:rPr>
      </w:pPr>
      <w:r>
        <w:rPr>
          <w:rFonts w:hint="eastAsia" w:ascii="仿宋" w:hAnsi="仿宋" w:eastAsia="仿宋" w:cs="Times New Roman"/>
          <w:sz w:val="32"/>
          <w:szCs w:val="32"/>
        </w:rPr>
        <w:t>免赔:每次事故绝对免赔额：人民币200元或损失金额的10%，以高者为准；</w:t>
      </w:r>
    </w:p>
    <w:p>
      <w:pPr>
        <w:autoSpaceDE w:val="0"/>
        <w:autoSpaceDN w:val="0"/>
        <w:spacing w:line="360" w:lineRule="auto"/>
        <w:jc w:val="center"/>
        <w:rPr>
          <w:rFonts w:ascii="仿宋" w:hAnsi="仿宋" w:eastAsia="仿宋" w:cs="Times New Roman"/>
          <w:sz w:val="32"/>
          <w:szCs w:val="32"/>
        </w:rPr>
      </w:pPr>
      <w:r>
        <w:rPr>
          <w:rFonts w:hint="eastAsia" w:ascii="仿宋" w:hAnsi="仿宋" w:eastAsia="仿宋" w:cs="Times New Roman"/>
          <w:sz w:val="32"/>
          <w:szCs w:val="32"/>
        </w:rPr>
        <w:t>公众责任险保险内容</w:t>
      </w:r>
    </w:p>
    <w:tbl>
      <w:tblPr>
        <w:tblStyle w:val="62"/>
        <w:tblW w:w="0" w:type="auto"/>
        <w:tblInd w:w="93" w:type="dxa"/>
        <w:tblLayout w:type="fixed"/>
        <w:tblCellMar>
          <w:top w:w="0" w:type="dxa"/>
          <w:left w:w="108" w:type="dxa"/>
          <w:bottom w:w="0" w:type="dxa"/>
          <w:right w:w="108" w:type="dxa"/>
        </w:tblCellMar>
      </w:tblPr>
      <w:tblGrid>
        <w:gridCol w:w="724"/>
        <w:gridCol w:w="1843"/>
        <w:gridCol w:w="4961"/>
        <w:gridCol w:w="851"/>
      </w:tblGrid>
      <w:tr>
        <w:tblPrEx>
          <w:tblCellMar>
            <w:top w:w="0" w:type="dxa"/>
            <w:left w:w="108" w:type="dxa"/>
            <w:bottom w:w="0" w:type="dxa"/>
            <w:right w:w="108" w:type="dxa"/>
          </w:tblCellMar>
        </w:tblPrEx>
        <w:trPr>
          <w:trHeight w:val="637"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序号</w:t>
            </w:r>
          </w:p>
        </w:tc>
        <w:tc>
          <w:tcPr>
            <w:tcW w:w="1843" w:type="dxa"/>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保险项目</w:t>
            </w:r>
          </w:p>
        </w:tc>
        <w:tc>
          <w:tcPr>
            <w:tcW w:w="4961" w:type="dxa"/>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保险的内容</w:t>
            </w:r>
          </w:p>
        </w:tc>
        <w:tc>
          <w:tcPr>
            <w:tcW w:w="851" w:type="dxa"/>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备 注</w:t>
            </w:r>
          </w:p>
        </w:tc>
      </w:tr>
      <w:tr>
        <w:tblPrEx>
          <w:tblCellMar>
            <w:top w:w="0" w:type="dxa"/>
            <w:left w:w="108" w:type="dxa"/>
            <w:bottom w:w="0" w:type="dxa"/>
            <w:right w:w="108" w:type="dxa"/>
          </w:tblCellMar>
        </w:tblPrEx>
        <w:trPr>
          <w:trHeight w:val="1159"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1</w:t>
            </w:r>
          </w:p>
        </w:tc>
        <w:tc>
          <w:tcPr>
            <w:tcW w:w="1843" w:type="dxa"/>
            <w:tcBorders>
              <w:top w:val="nil"/>
              <w:left w:val="nil"/>
              <w:bottom w:val="single" w:color="auto" w:sz="4" w:space="0"/>
              <w:right w:val="single" w:color="auto" w:sz="4" w:space="0"/>
            </w:tcBorders>
            <w:shd w:val="clear" w:color="000000" w:fill="FFFFFF"/>
            <w:vAlign w:val="center"/>
          </w:tcPr>
          <w:p>
            <w:pPr>
              <w:ind w:firstLine="179" w:firstLineChars="100"/>
              <w:rPr>
                <w:rFonts w:ascii="仿宋" w:hAnsi="仿宋" w:eastAsia="仿宋" w:cs="宋体"/>
                <w:b/>
                <w:sz w:val="20"/>
                <w:szCs w:val="20"/>
              </w:rPr>
            </w:pPr>
            <w:r>
              <w:rPr>
                <w:rFonts w:hint="eastAsia" w:ascii="仿宋" w:hAnsi="仿宋" w:eastAsia="仿宋" w:cs="宋体"/>
                <w:b/>
                <w:sz w:val="20"/>
                <w:szCs w:val="20"/>
              </w:rPr>
              <w:t>市政道路、慢车道、人行道、台阶、隔离桩等、施工围挡、护栏等</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szCs w:val="20"/>
              </w:rPr>
            </w:pPr>
            <w:r>
              <w:rPr>
                <w:rFonts w:hint="eastAsia" w:ascii="仿宋" w:hAnsi="仿宋" w:eastAsia="仿宋" w:cs="宋体"/>
                <w:b/>
                <w:sz w:val="20"/>
                <w:szCs w:val="20"/>
              </w:rPr>
              <w:t>第三者在市政道路、慢车道、人行道、台阶发生的跌倒、滑倒和碰撞到隔离桩、施工围挡、护栏等发生人身伤亡事故或者造成的财产损失。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p>
        </w:tc>
      </w:tr>
      <w:tr>
        <w:tblPrEx>
          <w:tblCellMar>
            <w:top w:w="0" w:type="dxa"/>
            <w:left w:w="108" w:type="dxa"/>
            <w:bottom w:w="0" w:type="dxa"/>
            <w:right w:w="108" w:type="dxa"/>
          </w:tblCellMar>
        </w:tblPrEx>
        <w:trPr>
          <w:trHeight w:val="509"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2</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人行天桥、台阶</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szCs w:val="20"/>
              </w:rPr>
            </w:pPr>
            <w:r>
              <w:rPr>
                <w:rFonts w:hint="eastAsia" w:ascii="仿宋" w:hAnsi="仿宋" w:eastAsia="仿宋" w:cs="宋体"/>
                <w:b/>
                <w:sz w:val="20"/>
                <w:szCs w:val="20"/>
              </w:rPr>
              <w:t>第三者在人行天桥上发生的跌落、跌倒、滑倒等发生人身伤亡事故或者造成的财产损失。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p>
        </w:tc>
      </w:tr>
      <w:tr>
        <w:tblPrEx>
          <w:tblCellMar>
            <w:top w:w="0" w:type="dxa"/>
            <w:left w:w="108" w:type="dxa"/>
            <w:bottom w:w="0" w:type="dxa"/>
            <w:right w:w="108" w:type="dxa"/>
          </w:tblCellMar>
        </w:tblPrEx>
        <w:trPr>
          <w:trHeight w:val="547"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3</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电梯</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szCs w:val="20"/>
              </w:rPr>
            </w:pPr>
            <w:r>
              <w:rPr>
                <w:rFonts w:hint="eastAsia" w:ascii="仿宋" w:hAnsi="仿宋" w:eastAsia="仿宋" w:cs="宋体"/>
                <w:b/>
                <w:sz w:val="20"/>
                <w:szCs w:val="20"/>
              </w:rPr>
              <w:t>第三者在乘坐电梯、升降机和自动扶梯时发生的人身伤亡事故或者造成的财产损失。如：坠落、夹伤等</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p>
        </w:tc>
      </w:tr>
      <w:tr>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4</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市政道路附属（含窨井盖等）</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szCs w:val="20"/>
              </w:rPr>
            </w:pPr>
            <w:r>
              <w:rPr>
                <w:rFonts w:hint="eastAsia" w:ascii="仿宋" w:hAnsi="仿宋" w:eastAsia="仿宋" w:cs="宋体"/>
                <w:b/>
                <w:sz w:val="20"/>
                <w:szCs w:val="20"/>
              </w:rPr>
              <w:t>第三者因市政道路及人行道雨污水窨井盖缺失、破损发生的人身伤亡事故或者造成的财产损失。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p>
        </w:tc>
      </w:tr>
      <w:tr>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5</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市政道路绿化部分</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szCs w:val="20"/>
              </w:rPr>
            </w:pPr>
            <w:r>
              <w:rPr>
                <w:rFonts w:hint="eastAsia" w:ascii="仿宋" w:hAnsi="仿宋" w:eastAsia="仿宋" w:cs="宋体"/>
                <w:b/>
                <w:sz w:val="20"/>
                <w:szCs w:val="20"/>
              </w:rPr>
              <w:t>第三者在市政道路用地范围内的绿化物折断、坠落、倾倒的发生意外人身伤亡事故或者造成的财产损失。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p>
        </w:tc>
      </w:tr>
      <w:tr>
        <w:tblPrEx>
          <w:tblCellMar>
            <w:top w:w="0" w:type="dxa"/>
            <w:left w:w="108" w:type="dxa"/>
            <w:bottom w:w="0" w:type="dxa"/>
            <w:right w:w="108" w:type="dxa"/>
          </w:tblCellMar>
        </w:tblPrEx>
        <w:trPr>
          <w:trHeight w:val="544"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6</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市政雨污水系统及其附属设施（含泵站、管井及附属设施）</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szCs w:val="20"/>
              </w:rPr>
            </w:pPr>
            <w:r>
              <w:rPr>
                <w:rFonts w:hint="eastAsia" w:ascii="仿宋" w:hAnsi="仿宋" w:eastAsia="仿宋" w:cs="宋体"/>
                <w:b/>
                <w:sz w:val="20"/>
                <w:szCs w:val="20"/>
              </w:rPr>
              <w:t>市政雨污水系统及附属设施（例截流闸、泵站等附属设施）给第三者造成的人身伤亡事故或者财产损失。如：恶劣天气，雨水满溢、管井或设备损坏等。</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p>
        </w:tc>
      </w:tr>
      <w:tr>
        <w:tblPrEx>
          <w:tblCellMar>
            <w:top w:w="0" w:type="dxa"/>
            <w:left w:w="108" w:type="dxa"/>
            <w:bottom w:w="0" w:type="dxa"/>
            <w:right w:w="108" w:type="dxa"/>
          </w:tblCellMar>
        </w:tblPrEx>
        <w:trPr>
          <w:trHeight w:val="852"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7</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市政道路强弱电系统（含管井）</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szCs w:val="20"/>
              </w:rPr>
            </w:pPr>
            <w:r>
              <w:rPr>
                <w:rFonts w:hint="eastAsia" w:ascii="仿宋" w:hAnsi="仿宋" w:eastAsia="仿宋" w:cs="宋体"/>
                <w:b/>
                <w:sz w:val="20"/>
                <w:szCs w:val="20"/>
              </w:rPr>
              <w:t>市政道路附属强弱电系统给第三者造成的人身伤亡事故或者财产损失。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p>
        </w:tc>
      </w:tr>
      <w:tr>
        <w:tblPrEx>
          <w:tblCellMar>
            <w:top w:w="0" w:type="dxa"/>
            <w:left w:w="108" w:type="dxa"/>
            <w:bottom w:w="0" w:type="dxa"/>
            <w:right w:w="108" w:type="dxa"/>
          </w:tblCellMar>
        </w:tblPrEx>
        <w:trPr>
          <w:trHeight w:val="567"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8</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市政道路附属（含交通信号灯、广告牌等）</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szCs w:val="20"/>
              </w:rPr>
            </w:pPr>
            <w:r>
              <w:rPr>
                <w:rFonts w:hint="eastAsia" w:ascii="仿宋" w:hAnsi="仿宋" w:eastAsia="仿宋" w:cs="宋体"/>
                <w:b/>
                <w:sz w:val="20"/>
                <w:szCs w:val="20"/>
              </w:rPr>
              <w:t>第三者因</w:t>
            </w:r>
            <w:r>
              <w:rPr>
                <w:rFonts w:ascii="仿宋" w:hAnsi="仿宋" w:eastAsia="仿宋" w:cs="宋体"/>
                <w:b/>
                <w:sz w:val="20"/>
                <w:szCs w:val="20"/>
              </w:rPr>
              <w:t>交通信号灯、交通标志、交通监控设备、路灯、广告牌</w:t>
            </w:r>
            <w:r>
              <w:rPr>
                <w:rFonts w:hint="eastAsia" w:ascii="仿宋" w:hAnsi="仿宋" w:eastAsia="仿宋" w:cs="宋体"/>
                <w:b/>
                <w:sz w:val="20"/>
                <w:szCs w:val="20"/>
              </w:rPr>
              <w:t>等</w:t>
            </w:r>
            <w:r>
              <w:rPr>
                <w:rFonts w:ascii="仿宋" w:hAnsi="仿宋" w:eastAsia="仿宋" w:cs="宋体"/>
                <w:b/>
                <w:sz w:val="20"/>
                <w:szCs w:val="20"/>
              </w:rPr>
              <w:t>的坠落、破损</w:t>
            </w:r>
            <w:r>
              <w:rPr>
                <w:rFonts w:hint="eastAsia" w:ascii="仿宋" w:hAnsi="仿宋" w:eastAsia="仿宋" w:cs="宋体"/>
                <w:b/>
                <w:sz w:val="20"/>
                <w:szCs w:val="20"/>
              </w:rPr>
              <w:t>发生的人身伤亡事故或者造成的财产损失。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p>
        </w:tc>
      </w:tr>
      <w:tr>
        <w:tblPrEx>
          <w:tblCellMar>
            <w:top w:w="0" w:type="dxa"/>
            <w:left w:w="108" w:type="dxa"/>
            <w:bottom w:w="0" w:type="dxa"/>
            <w:right w:w="108" w:type="dxa"/>
          </w:tblCellMar>
        </w:tblPrEx>
        <w:trPr>
          <w:trHeight w:val="56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9</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路灯及附属供电设施</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szCs w:val="20"/>
              </w:rPr>
            </w:pPr>
            <w:r>
              <w:rPr>
                <w:rFonts w:hint="eastAsia" w:ascii="仿宋" w:hAnsi="仿宋" w:eastAsia="仿宋" w:cs="宋体"/>
                <w:b/>
                <w:sz w:val="20"/>
                <w:szCs w:val="20"/>
              </w:rPr>
              <w:t>第三者因路灯及附属供电设施漏电、触电事故造成的人身伤亡事故或者造成的财产损失。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p>
        </w:tc>
      </w:tr>
      <w:tr>
        <w:tblPrEx>
          <w:tblCellMar>
            <w:top w:w="0" w:type="dxa"/>
            <w:left w:w="108" w:type="dxa"/>
            <w:bottom w:w="0" w:type="dxa"/>
            <w:right w:w="108" w:type="dxa"/>
          </w:tblCellMar>
        </w:tblPrEx>
        <w:trPr>
          <w:trHeight w:val="555"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10</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公交站台及附属供电设施</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szCs w:val="20"/>
              </w:rPr>
            </w:pPr>
            <w:r>
              <w:rPr>
                <w:rFonts w:hint="eastAsia" w:ascii="仿宋" w:hAnsi="仿宋" w:eastAsia="仿宋" w:cs="宋体"/>
                <w:b/>
                <w:sz w:val="20"/>
                <w:szCs w:val="20"/>
              </w:rPr>
              <w:t>第三者因公交站亭及附属设施倒塌、触电事故造成的人身伤亡事故或者造成的财产损失。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p>
        </w:tc>
      </w:tr>
      <w:tr>
        <w:tblPrEx>
          <w:tblCellMar>
            <w:top w:w="0" w:type="dxa"/>
            <w:left w:w="108" w:type="dxa"/>
            <w:bottom w:w="0" w:type="dxa"/>
            <w:right w:w="108" w:type="dxa"/>
          </w:tblCellMar>
        </w:tblPrEx>
        <w:trPr>
          <w:trHeight w:val="548"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11</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河道、翡翠湖、南艳湖、明珠广场、苗圃（含水塘）等管理区域</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szCs w:val="20"/>
              </w:rPr>
            </w:pPr>
            <w:r>
              <w:rPr>
                <w:rFonts w:hint="eastAsia" w:ascii="仿宋" w:hAnsi="仿宋" w:eastAsia="仿宋" w:cs="宋体"/>
                <w:b/>
                <w:sz w:val="20"/>
                <w:szCs w:val="20"/>
              </w:rPr>
              <w:t>辖区内河道和公园里的管理区域及其附属设施设备损坏导致的伤害或损失；水域部分禁止游泳，第三者失足掉落河道和湖泊、水塘等发生的人身伤亡事故或者造成的财产损失。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p>
        </w:tc>
      </w:tr>
      <w:tr>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12</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ascii="仿宋" w:hAnsi="仿宋" w:eastAsia="仿宋" w:cs="宋体"/>
                <w:b/>
                <w:sz w:val="20"/>
                <w:szCs w:val="20"/>
              </w:rPr>
              <w:t>游泳池</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szCs w:val="20"/>
              </w:rPr>
            </w:pPr>
            <w:r>
              <w:rPr>
                <w:rFonts w:hint="eastAsia" w:ascii="仿宋" w:hAnsi="仿宋" w:eastAsia="仿宋" w:cs="宋体"/>
                <w:b/>
                <w:sz w:val="20"/>
                <w:szCs w:val="20"/>
              </w:rPr>
              <w:t>被保险人</w:t>
            </w:r>
            <w:r>
              <w:rPr>
                <w:rFonts w:ascii="仿宋" w:hAnsi="仿宋" w:eastAsia="仿宋" w:cs="宋体"/>
                <w:b/>
                <w:sz w:val="20"/>
                <w:szCs w:val="20"/>
              </w:rPr>
              <w:t>所拥有、使用或经营的游泳池发生意外事故造成第三者人身伤亡</w:t>
            </w:r>
            <w:r>
              <w:rPr>
                <w:rFonts w:hint="eastAsia" w:ascii="仿宋" w:hAnsi="仿宋" w:eastAsia="仿宋" w:cs="宋体"/>
                <w:b/>
                <w:sz w:val="20"/>
                <w:szCs w:val="20"/>
              </w:rPr>
              <w:t>。</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p>
        </w:tc>
      </w:tr>
      <w:tr>
        <w:tblPrEx>
          <w:tblCellMar>
            <w:top w:w="0" w:type="dxa"/>
            <w:left w:w="108" w:type="dxa"/>
            <w:bottom w:w="0" w:type="dxa"/>
            <w:right w:w="108" w:type="dxa"/>
          </w:tblCellMar>
        </w:tblPrEx>
        <w:trPr>
          <w:trHeight w:val="566"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13</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b/>
                <w:szCs w:val="21"/>
              </w:rPr>
            </w:pPr>
            <w:r>
              <w:rPr>
                <w:rFonts w:ascii="仿宋" w:hAnsi="仿宋" w:eastAsia="仿宋" w:cs="宋体"/>
                <w:b/>
                <w:sz w:val="20"/>
                <w:szCs w:val="20"/>
              </w:rPr>
              <w:t>被保险人雇员责任条款</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szCs w:val="20"/>
              </w:rPr>
            </w:pPr>
            <w:r>
              <w:rPr>
                <w:rFonts w:ascii="仿宋" w:hAnsi="仿宋" w:eastAsia="仿宋" w:cs="宋体"/>
                <w:b/>
                <w:sz w:val="20"/>
                <w:szCs w:val="20"/>
              </w:rPr>
              <w:t>被保险人的雇员在从事被保险人经营业务相关的工作时因发生意外事故或由于其个人疏忽、过失而造成第三者的人身伤亡或财产损失</w:t>
            </w:r>
            <w:r>
              <w:rPr>
                <w:rFonts w:hint="eastAsia" w:ascii="仿宋" w:hAnsi="仿宋" w:eastAsia="仿宋" w:cs="宋体"/>
                <w:b/>
                <w:sz w:val="20"/>
                <w:szCs w:val="20"/>
              </w:rPr>
              <w:t>。</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p>
        </w:tc>
      </w:tr>
      <w:tr>
        <w:tblPrEx>
          <w:tblCellMar>
            <w:top w:w="0" w:type="dxa"/>
            <w:left w:w="108" w:type="dxa"/>
            <w:bottom w:w="0" w:type="dxa"/>
            <w:right w:w="108" w:type="dxa"/>
          </w:tblCellMar>
        </w:tblPrEx>
        <w:trPr>
          <w:trHeight w:val="56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14</w:t>
            </w:r>
          </w:p>
        </w:tc>
        <w:tc>
          <w:tcPr>
            <w:tcW w:w="1843"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ascii="仿宋" w:hAnsi="仿宋" w:eastAsia="仿宋" w:cs="宋体"/>
                <w:b/>
                <w:sz w:val="20"/>
                <w:szCs w:val="20"/>
              </w:rPr>
              <w:t>火灾、爆炸及水损</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szCs w:val="20"/>
              </w:rPr>
            </w:pPr>
            <w:r>
              <w:rPr>
                <w:rFonts w:ascii="仿宋" w:hAnsi="仿宋" w:eastAsia="仿宋" w:cs="宋体"/>
                <w:b/>
                <w:sz w:val="20"/>
                <w:szCs w:val="20"/>
              </w:rPr>
              <w:t>承保范围内因火灾、爆炸以及由此引起的烟熏或者因水损造成第三者人身伤亡或财产损失</w:t>
            </w:r>
            <w:r>
              <w:rPr>
                <w:rFonts w:hint="eastAsia" w:ascii="仿宋" w:hAnsi="仿宋" w:eastAsia="仿宋" w:cs="宋体"/>
                <w:b/>
                <w:sz w:val="20"/>
                <w:szCs w:val="20"/>
              </w:rPr>
              <w:t>。</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p>
        </w:tc>
      </w:tr>
      <w:tr>
        <w:tblPrEx>
          <w:tblCellMar>
            <w:top w:w="0" w:type="dxa"/>
            <w:left w:w="108" w:type="dxa"/>
            <w:bottom w:w="0" w:type="dxa"/>
            <w:right w:w="108" w:type="dxa"/>
          </w:tblCellMar>
        </w:tblPrEx>
        <w:trPr>
          <w:trHeight w:val="688"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15</w:t>
            </w:r>
          </w:p>
        </w:tc>
        <w:tc>
          <w:tcPr>
            <w:tcW w:w="1843" w:type="dxa"/>
            <w:tcBorders>
              <w:top w:val="nil"/>
              <w:left w:val="nil"/>
              <w:bottom w:val="single" w:color="auto" w:sz="4" w:space="0"/>
              <w:right w:val="single" w:color="auto" w:sz="4" w:space="0"/>
            </w:tcBorders>
            <w:shd w:val="clear" w:color="000000" w:fill="FFFFFF"/>
            <w:vAlign w:val="center"/>
          </w:tcPr>
          <w:p>
            <w:pPr>
              <w:pStyle w:val="6"/>
              <w:keepNext w:val="0"/>
              <w:keepLines w:val="0"/>
              <w:snapToGrid w:val="0"/>
              <w:spacing w:before="0" w:afterLines="50" w:line="240" w:lineRule="auto"/>
              <w:rPr>
                <w:rFonts w:ascii="仿宋" w:hAnsi="仿宋" w:eastAsia="仿宋" w:cs="宋体"/>
                <w:bCs w:val="0"/>
                <w:sz w:val="20"/>
                <w:szCs w:val="20"/>
              </w:rPr>
            </w:pPr>
            <w:r>
              <w:rPr>
                <w:rFonts w:hint="eastAsia" w:ascii="仿宋" w:hAnsi="仿宋" w:eastAsia="仿宋" w:cs="宋体"/>
                <w:bCs w:val="0"/>
                <w:sz w:val="20"/>
                <w:szCs w:val="20"/>
              </w:rPr>
              <w:t>广告及装饰装置责任条款</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szCs w:val="20"/>
              </w:rPr>
            </w:pPr>
            <w:r>
              <w:rPr>
                <w:rFonts w:ascii="仿宋" w:hAnsi="仿宋" w:eastAsia="仿宋" w:cs="宋体"/>
                <w:b/>
                <w:sz w:val="20"/>
                <w:szCs w:val="20"/>
              </w:rPr>
              <w:t>承保范围内</w:t>
            </w:r>
            <w:r>
              <w:rPr>
                <w:rFonts w:hint="eastAsia" w:ascii="仿宋" w:hAnsi="仿宋" w:eastAsia="仿宋" w:cs="宋体"/>
                <w:b/>
                <w:sz w:val="20"/>
                <w:szCs w:val="20"/>
              </w:rPr>
              <w:t>所布置的广告、霓红灯、装饰物因发生意外事故造成第三者人身伤亡或财产损失。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p>
        </w:tc>
      </w:tr>
      <w:tr>
        <w:tblPrEx>
          <w:tblCellMar>
            <w:top w:w="0" w:type="dxa"/>
            <w:left w:w="108" w:type="dxa"/>
            <w:bottom w:w="0" w:type="dxa"/>
            <w:right w:w="108" w:type="dxa"/>
          </w:tblCellMar>
        </w:tblPrEx>
        <w:trPr>
          <w:trHeight w:val="533"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16</w:t>
            </w:r>
          </w:p>
        </w:tc>
        <w:tc>
          <w:tcPr>
            <w:tcW w:w="1843" w:type="dxa"/>
            <w:tcBorders>
              <w:top w:val="nil"/>
              <w:left w:val="nil"/>
              <w:bottom w:val="single" w:color="auto" w:sz="4" w:space="0"/>
              <w:right w:val="single" w:color="auto" w:sz="4" w:space="0"/>
            </w:tcBorders>
            <w:shd w:val="clear" w:color="000000" w:fill="FFFFFF"/>
            <w:vAlign w:val="center"/>
          </w:tcPr>
          <w:p>
            <w:pPr>
              <w:pStyle w:val="6"/>
              <w:keepNext w:val="0"/>
              <w:keepLines w:val="0"/>
              <w:snapToGrid w:val="0"/>
              <w:spacing w:before="0" w:afterLines="50" w:line="240" w:lineRule="auto"/>
              <w:jc w:val="center"/>
              <w:rPr>
                <w:rFonts w:ascii="仿宋" w:hAnsi="仿宋" w:eastAsia="仿宋" w:cs="宋体"/>
                <w:bCs w:val="0"/>
                <w:sz w:val="20"/>
                <w:szCs w:val="20"/>
              </w:rPr>
            </w:pPr>
            <w:r>
              <w:rPr>
                <w:rFonts w:ascii="仿宋" w:hAnsi="仿宋" w:eastAsia="仿宋" w:cs="宋体"/>
                <w:bCs w:val="0"/>
                <w:sz w:val="20"/>
                <w:szCs w:val="20"/>
              </w:rPr>
              <w:t>急救费用条款</w:t>
            </w:r>
          </w:p>
        </w:tc>
        <w:tc>
          <w:tcPr>
            <w:tcW w:w="4961" w:type="dxa"/>
            <w:tcBorders>
              <w:top w:val="nil"/>
              <w:left w:val="nil"/>
              <w:bottom w:val="single" w:color="auto" w:sz="4" w:space="0"/>
              <w:right w:val="single" w:color="auto" w:sz="4" w:space="0"/>
            </w:tcBorders>
            <w:shd w:val="clear" w:color="000000" w:fill="FFFFFF"/>
            <w:vAlign w:val="center"/>
          </w:tcPr>
          <w:p>
            <w:pPr>
              <w:adjustRightInd w:val="0"/>
              <w:snapToGrid w:val="0"/>
              <w:spacing w:afterLines="50"/>
              <w:rPr>
                <w:rFonts w:ascii="仿宋" w:hAnsi="仿宋" w:eastAsia="仿宋"/>
                <w:b/>
                <w:szCs w:val="21"/>
              </w:rPr>
            </w:pPr>
            <w:r>
              <w:rPr>
                <w:rFonts w:ascii="仿宋" w:hAnsi="仿宋" w:eastAsia="仿宋" w:cs="宋体"/>
                <w:b/>
                <w:sz w:val="20"/>
                <w:szCs w:val="20"/>
              </w:rPr>
              <w:t>承保范围内发生意外事故造成第三者人身伤害时应支付的合理急救费用。</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p>
        </w:tc>
      </w:tr>
      <w:tr>
        <w:tblPrEx>
          <w:tblCellMar>
            <w:top w:w="0" w:type="dxa"/>
            <w:left w:w="108" w:type="dxa"/>
            <w:bottom w:w="0" w:type="dxa"/>
            <w:right w:w="108" w:type="dxa"/>
          </w:tblCellMar>
        </w:tblPrEx>
        <w:trPr>
          <w:trHeight w:val="1068"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17</w:t>
            </w:r>
          </w:p>
        </w:tc>
        <w:tc>
          <w:tcPr>
            <w:tcW w:w="1843" w:type="dxa"/>
            <w:tcBorders>
              <w:top w:val="nil"/>
              <w:left w:val="nil"/>
              <w:bottom w:val="single" w:color="auto" w:sz="4" w:space="0"/>
              <w:right w:val="single" w:color="auto" w:sz="4" w:space="0"/>
            </w:tcBorders>
            <w:shd w:val="clear" w:color="000000" w:fill="FFFFFF"/>
            <w:vAlign w:val="center"/>
          </w:tcPr>
          <w:p>
            <w:pPr>
              <w:pStyle w:val="6"/>
              <w:keepNext w:val="0"/>
              <w:keepLines w:val="0"/>
              <w:snapToGrid w:val="0"/>
              <w:spacing w:before="0" w:afterLines="50" w:line="240" w:lineRule="auto"/>
              <w:jc w:val="center"/>
              <w:rPr>
                <w:rFonts w:ascii="仿宋" w:hAnsi="仿宋" w:eastAsia="仿宋" w:cs="宋体"/>
                <w:bCs w:val="0"/>
                <w:sz w:val="20"/>
                <w:szCs w:val="20"/>
              </w:rPr>
            </w:pPr>
            <w:r>
              <w:rPr>
                <w:rFonts w:ascii="仿宋" w:hAnsi="仿宋" w:eastAsia="仿宋" w:cs="宋体"/>
                <w:bCs w:val="0"/>
                <w:sz w:val="20"/>
                <w:szCs w:val="20"/>
              </w:rPr>
              <w:t>节日装饰责任扩展条款</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szCs w:val="20"/>
              </w:rPr>
            </w:pPr>
            <w:r>
              <w:rPr>
                <w:rFonts w:ascii="仿宋" w:hAnsi="仿宋" w:eastAsia="仿宋" w:cs="宋体"/>
                <w:b/>
                <w:sz w:val="20"/>
                <w:szCs w:val="20"/>
              </w:rPr>
              <w:t>被保险人和/或承包商和/或分包商在节假日期间由于装卸节日装饰品时导致的意外事故造成第三者人身伤亡或财产损失</w:t>
            </w:r>
            <w:r>
              <w:rPr>
                <w:rFonts w:hint="eastAsia" w:ascii="仿宋" w:hAnsi="仿宋" w:eastAsia="仿宋" w:cs="宋体"/>
                <w:b/>
                <w:sz w:val="20"/>
                <w:szCs w:val="20"/>
              </w:rPr>
              <w:t>。</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p>
        </w:tc>
      </w:tr>
      <w:tr>
        <w:tblPrEx>
          <w:tblCellMar>
            <w:top w:w="0" w:type="dxa"/>
            <w:left w:w="108" w:type="dxa"/>
            <w:bottom w:w="0" w:type="dxa"/>
            <w:right w:w="108" w:type="dxa"/>
          </w:tblCellMar>
        </w:tblPrEx>
        <w:trPr>
          <w:trHeight w:val="1154"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18</w:t>
            </w:r>
          </w:p>
        </w:tc>
        <w:tc>
          <w:tcPr>
            <w:tcW w:w="1843" w:type="dxa"/>
            <w:tcBorders>
              <w:top w:val="nil"/>
              <w:left w:val="nil"/>
              <w:bottom w:val="single" w:color="auto" w:sz="4" w:space="0"/>
              <w:right w:val="single" w:color="auto" w:sz="4" w:space="0"/>
            </w:tcBorders>
            <w:shd w:val="clear" w:color="000000" w:fill="FFFFFF"/>
            <w:vAlign w:val="center"/>
          </w:tcPr>
          <w:p>
            <w:pPr>
              <w:adjustRightInd w:val="0"/>
              <w:snapToGrid w:val="0"/>
              <w:spacing w:afterLines="50"/>
              <w:textAlignment w:val="baseline"/>
              <w:outlineLvl w:val="4"/>
              <w:rPr>
                <w:rFonts w:ascii="仿宋" w:hAnsi="仿宋" w:eastAsia="仿宋" w:cs="宋体"/>
                <w:b/>
                <w:sz w:val="20"/>
                <w:szCs w:val="20"/>
              </w:rPr>
            </w:pPr>
            <w:r>
              <w:rPr>
                <w:rFonts w:ascii="仿宋" w:hAnsi="仿宋" w:eastAsia="仿宋" w:cs="宋体"/>
                <w:b/>
                <w:sz w:val="20"/>
                <w:szCs w:val="20"/>
              </w:rPr>
              <w:t>有缺陷的卫生设施条款</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szCs w:val="20"/>
              </w:rPr>
            </w:pPr>
            <w:r>
              <w:rPr>
                <w:rFonts w:hint="eastAsia" w:ascii="仿宋" w:hAnsi="仿宋" w:eastAsia="仿宋" w:cs="宋体"/>
                <w:b/>
                <w:sz w:val="20"/>
                <w:szCs w:val="20"/>
              </w:rPr>
              <w:t>承保范围内</w:t>
            </w:r>
            <w:r>
              <w:rPr>
                <w:rFonts w:ascii="仿宋" w:hAnsi="仿宋" w:eastAsia="仿宋" w:cs="宋体"/>
                <w:b/>
                <w:sz w:val="20"/>
                <w:szCs w:val="20"/>
              </w:rPr>
              <w:t>因卫生设施发生意外事故导致污染物泄漏而依法应承担的对任何第三者人身伤亡及财产损失的赔偿责任（包括根据法律应由被保险人承担的清除污染物的费用）</w:t>
            </w:r>
            <w:r>
              <w:rPr>
                <w:rFonts w:hint="eastAsia" w:ascii="仿宋" w:hAnsi="仿宋" w:eastAsia="仿宋" w:cs="宋体"/>
                <w:b/>
                <w:sz w:val="20"/>
                <w:szCs w:val="20"/>
              </w:rPr>
              <w:t>。</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p>
        </w:tc>
      </w:tr>
      <w:tr>
        <w:tblPrEx>
          <w:tblCellMar>
            <w:top w:w="0" w:type="dxa"/>
            <w:left w:w="108" w:type="dxa"/>
            <w:bottom w:w="0" w:type="dxa"/>
            <w:right w:w="108" w:type="dxa"/>
          </w:tblCellMar>
        </w:tblPrEx>
        <w:trPr>
          <w:trHeight w:val="1154"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19</w:t>
            </w:r>
          </w:p>
        </w:tc>
        <w:tc>
          <w:tcPr>
            <w:tcW w:w="1843" w:type="dxa"/>
            <w:tcBorders>
              <w:top w:val="nil"/>
              <w:left w:val="nil"/>
              <w:bottom w:val="single" w:color="auto" w:sz="4" w:space="0"/>
              <w:right w:val="single" w:color="auto" w:sz="4" w:space="0"/>
            </w:tcBorders>
            <w:shd w:val="clear" w:color="000000" w:fill="FFFFFF"/>
            <w:vAlign w:val="center"/>
          </w:tcPr>
          <w:p>
            <w:pPr>
              <w:adjustRightInd w:val="0"/>
              <w:snapToGrid w:val="0"/>
              <w:spacing w:afterLines="50"/>
              <w:textAlignment w:val="baseline"/>
              <w:outlineLvl w:val="4"/>
              <w:rPr>
                <w:rFonts w:ascii="仿宋" w:hAnsi="仿宋" w:eastAsia="仿宋" w:cs="宋体"/>
                <w:b/>
                <w:sz w:val="20"/>
                <w:szCs w:val="20"/>
              </w:rPr>
            </w:pPr>
            <w:r>
              <w:rPr>
                <w:rFonts w:ascii="仿宋" w:hAnsi="仿宋" w:eastAsia="仿宋" w:cs="宋体"/>
                <w:b/>
                <w:sz w:val="20"/>
                <w:szCs w:val="20"/>
              </w:rPr>
              <w:t>恐怖活动条款</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szCs w:val="20"/>
              </w:rPr>
            </w:pPr>
            <w:r>
              <w:rPr>
                <w:rFonts w:ascii="仿宋" w:hAnsi="仿宋" w:eastAsia="仿宋" w:cs="宋体"/>
                <w:b/>
                <w:sz w:val="20"/>
                <w:szCs w:val="20"/>
              </w:rPr>
              <w:t>被</w:t>
            </w:r>
            <w:r>
              <w:rPr>
                <w:rFonts w:hint="eastAsia" w:ascii="仿宋" w:hAnsi="仿宋" w:eastAsia="仿宋" w:cs="宋体"/>
                <w:b/>
                <w:sz w:val="20"/>
                <w:szCs w:val="20"/>
              </w:rPr>
              <w:t>承保范围内</w:t>
            </w:r>
            <w:r>
              <w:rPr>
                <w:rFonts w:ascii="仿宋" w:hAnsi="仿宋" w:eastAsia="仿宋" w:cs="宋体"/>
                <w:b/>
                <w:sz w:val="20"/>
                <w:szCs w:val="20"/>
              </w:rPr>
              <w:t>出现任何恐怖分子或组织进行恐怖活动直接造成第三者人身伤亡或财产损失</w:t>
            </w:r>
            <w:r>
              <w:rPr>
                <w:rFonts w:hint="eastAsia" w:ascii="仿宋" w:hAnsi="仿宋" w:eastAsia="仿宋" w:cs="宋体"/>
                <w:b/>
                <w:sz w:val="20"/>
                <w:szCs w:val="20"/>
              </w:rPr>
              <w:t>。</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p>
        </w:tc>
      </w:tr>
      <w:tr>
        <w:tblPrEx>
          <w:tblCellMar>
            <w:top w:w="0" w:type="dxa"/>
            <w:left w:w="108" w:type="dxa"/>
            <w:bottom w:w="0" w:type="dxa"/>
            <w:right w:w="108" w:type="dxa"/>
          </w:tblCellMar>
        </w:tblPrEx>
        <w:trPr>
          <w:trHeight w:val="657"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r>
              <w:rPr>
                <w:rFonts w:hint="eastAsia" w:ascii="仿宋" w:hAnsi="仿宋" w:eastAsia="仿宋" w:cs="宋体"/>
                <w:b/>
                <w:sz w:val="20"/>
                <w:szCs w:val="20"/>
              </w:rPr>
              <w:t>20</w:t>
            </w:r>
          </w:p>
        </w:tc>
        <w:tc>
          <w:tcPr>
            <w:tcW w:w="1843" w:type="dxa"/>
            <w:tcBorders>
              <w:top w:val="nil"/>
              <w:left w:val="nil"/>
              <w:bottom w:val="single" w:color="auto" w:sz="4" w:space="0"/>
              <w:right w:val="single" w:color="auto" w:sz="4" w:space="0"/>
            </w:tcBorders>
            <w:shd w:val="clear" w:color="000000" w:fill="FFFFFF"/>
            <w:vAlign w:val="center"/>
          </w:tcPr>
          <w:p>
            <w:pPr>
              <w:adjustRightInd w:val="0"/>
              <w:snapToGrid w:val="0"/>
              <w:spacing w:afterLines="50"/>
              <w:textAlignment w:val="baseline"/>
              <w:outlineLvl w:val="4"/>
              <w:rPr>
                <w:rFonts w:ascii="仿宋" w:hAnsi="仿宋" w:eastAsia="仿宋" w:cs="宋体"/>
                <w:b/>
                <w:sz w:val="20"/>
                <w:szCs w:val="20"/>
              </w:rPr>
            </w:pPr>
            <w:r>
              <w:rPr>
                <w:rFonts w:ascii="仿宋" w:hAnsi="仿宋" w:eastAsia="仿宋" w:cs="宋体"/>
                <w:b/>
                <w:sz w:val="20"/>
                <w:szCs w:val="20"/>
              </w:rPr>
              <w:t>停车场</w:t>
            </w:r>
          </w:p>
        </w:tc>
        <w:tc>
          <w:tcPr>
            <w:tcW w:w="4961" w:type="dxa"/>
            <w:tcBorders>
              <w:top w:val="nil"/>
              <w:left w:val="nil"/>
              <w:bottom w:val="single" w:color="auto" w:sz="4" w:space="0"/>
              <w:right w:val="single" w:color="auto" w:sz="4" w:space="0"/>
            </w:tcBorders>
            <w:shd w:val="clear" w:color="000000" w:fill="FFFFFF"/>
            <w:vAlign w:val="center"/>
          </w:tcPr>
          <w:p>
            <w:pPr>
              <w:rPr>
                <w:rFonts w:ascii="仿宋" w:hAnsi="仿宋" w:eastAsia="仿宋" w:cs="宋体"/>
                <w:b/>
                <w:sz w:val="20"/>
                <w:szCs w:val="20"/>
              </w:rPr>
            </w:pPr>
            <w:r>
              <w:rPr>
                <w:rFonts w:hint="eastAsia" w:ascii="仿宋" w:hAnsi="仿宋" w:eastAsia="仿宋" w:cs="宋体"/>
                <w:b/>
                <w:sz w:val="20"/>
                <w:szCs w:val="20"/>
              </w:rPr>
              <w:t>第三者在停车场内发生的跌倒、滑倒和碰撞等造成人身伤亡事故或者造成的财产损失。</w:t>
            </w:r>
          </w:p>
        </w:tc>
        <w:tc>
          <w:tcPr>
            <w:tcW w:w="85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b/>
                <w:sz w:val="20"/>
                <w:szCs w:val="20"/>
              </w:rPr>
            </w:pPr>
          </w:p>
        </w:tc>
      </w:tr>
    </w:tbl>
    <w:p>
      <w:pPr>
        <w:rPr>
          <w:rFonts w:ascii="宋体" w:hAnsi="宋体"/>
          <w:sz w:val="24"/>
          <w:szCs w:val="24"/>
        </w:rPr>
      </w:pPr>
    </w:p>
    <w:p>
      <w:pPr>
        <w:pStyle w:val="325"/>
        <w:spacing w:line="360" w:lineRule="auto"/>
        <w:ind w:firstLine="0" w:firstLineChars="0"/>
        <w:rPr>
          <w:rFonts w:ascii="仿宋" w:hAnsi="仿宋" w:eastAsia="仿宋"/>
          <w:b/>
          <w:sz w:val="32"/>
          <w:szCs w:val="32"/>
        </w:rPr>
      </w:pPr>
      <w:r>
        <w:rPr>
          <w:rFonts w:hint="eastAsia" w:ascii="仿宋" w:hAnsi="仿宋" w:eastAsia="仿宋"/>
          <w:b/>
          <w:sz w:val="32"/>
          <w:szCs w:val="32"/>
        </w:rPr>
        <w:t>二、服务期限</w:t>
      </w:r>
    </w:p>
    <w:p>
      <w:pPr>
        <w:pStyle w:val="325"/>
        <w:spacing w:line="360" w:lineRule="auto"/>
        <w:ind w:firstLine="640"/>
        <w:rPr>
          <w:rFonts w:hint="eastAsia" w:ascii="仿宋" w:hAnsi="仿宋" w:eastAsia="仿宋"/>
          <w:sz w:val="32"/>
          <w:szCs w:val="32"/>
        </w:rPr>
      </w:pPr>
      <w:r>
        <w:rPr>
          <w:rFonts w:ascii="仿宋" w:hAnsi="仿宋" w:eastAsia="仿宋"/>
          <w:sz w:val="32"/>
          <w:szCs w:val="32"/>
        </w:rPr>
        <w:t>1＋X（X≤2）年，合同期满后，经双方协商一致可续签，一年一签，续签合同不超过2次。服务内容、质量及费用保持不变。服务期内，采购人有权提前终止合同，所缴纳保费按实际承保期限支付（年度费用</w:t>
      </w:r>
      <w:r>
        <w:rPr>
          <w:rFonts w:hint="eastAsia" w:ascii="仿宋" w:hAnsi="仿宋" w:eastAsia="仿宋"/>
          <w:sz w:val="32"/>
          <w:szCs w:val="32"/>
        </w:rPr>
        <w:t>/12*实际承保月份</w:t>
      </w:r>
      <w:r>
        <w:rPr>
          <w:rFonts w:ascii="仿宋" w:hAnsi="仿宋" w:eastAsia="仿宋"/>
          <w:sz w:val="32"/>
          <w:szCs w:val="32"/>
        </w:rPr>
        <w:t>）。</w:t>
      </w:r>
    </w:p>
    <w:p>
      <w:pPr>
        <w:pStyle w:val="325"/>
        <w:spacing w:line="360" w:lineRule="auto"/>
        <w:ind w:firstLine="0" w:firstLineChars="0"/>
        <w:rPr>
          <w:rFonts w:hint="eastAsia" w:ascii="仿宋" w:hAnsi="仿宋" w:eastAsia="仿宋"/>
          <w:b/>
          <w:sz w:val="32"/>
          <w:szCs w:val="32"/>
        </w:rPr>
      </w:pPr>
      <w:r>
        <w:rPr>
          <w:rFonts w:hint="eastAsia" w:ascii="仿宋" w:hAnsi="仿宋" w:eastAsia="仿宋"/>
          <w:b/>
          <w:sz w:val="32"/>
          <w:szCs w:val="32"/>
        </w:rPr>
        <w:t>三、采购预算</w:t>
      </w:r>
    </w:p>
    <w:p>
      <w:pPr>
        <w:pStyle w:val="325"/>
        <w:spacing w:line="360" w:lineRule="auto"/>
        <w:ind w:firstLine="0" w:firstLineChars="0"/>
        <w:rPr>
          <w:rFonts w:ascii="仿宋" w:hAnsi="仿宋" w:eastAsia="仿宋"/>
          <w:sz w:val="32"/>
          <w:szCs w:val="32"/>
        </w:rPr>
      </w:pPr>
      <w:r>
        <w:rPr>
          <w:rFonts w:hint="eastAsia" w:ascii="仿宋" w:hAnsi="仿宋" w:eastAsia="仿宋"/>
          <w:sz w:val="32"/>
          <w:szCs w:val="32"/>
        </w:rPr>
        <w:t>14.75万元/年。</w:t>
      </w:r>
    </w:p>
    <w:p>
      <w:pPr>
        <w:rPr>
          <w:rFonts w:ascii="仿宋" w:hAnsi="仿宋" w:eastAsia="仿宋" w:cs="Times New Roman"/>
          <w:b/>
          <w:sz w:val="32"/>
          <w:szCs w:val="32"/>
        </w:rPr>
      </w:pPr>
      <w:r>
        <w:rPr>
          <w:rFonts w:hint="eastAsia" w:ascii="仿宋" w:hAnsi="仿宋" w:eastAsia="仿宋" w:cs="Times New Roman"/>
          <w:b/>
          <w:sz w:val="32"/>
          <w:szCs w:val="32"/>
        </w:rPr>
        <w:t xml:space="preserve">四、其它要求 </w:t>
      </w:r>
    </w:p>
    <w:p>
      <w:pPr>
        <w:pStyle w:val="325"/>
        <w:spacing w:line="360" w:lineRule="auto"/>
        <w:ind w:firstLine="640"/>
        <w:rPr>
          <w:rFonts w:ascii="仿宋" w:hAnsi="仿宋" w:eastAsia="仿宋"/>
          <w:sz w:val="32"/>
          <w:szCs w:val="32"/>
        </w:rPr>
      </w:pPr>
      <w:r>
        <w:rPr>
          <w:rFonts w:hint="eastAsia" w:ascii="仿宋" w:hAnsi="仿宋" w:eastAsia="仿宋"/>
          <w:sz w:val="32"/>
          <w:szCs w:val="32"/>
        </w:rPr>
        <w:t>1.投标人资格：具有中国银行保险监督管理委员会（或原保监会）颁发的《经营保险业务许可证》，</w:t>
      </w:r>
      <w:r>
        <w:rPr>
          <w:rFonts w:ascii="仿宋" w:hAnsi="仿宋" w:eastAsia="仿宋"/>
          <w:sz w:val="32"/>
          <w:szCs w:val="32"/>
        </w:rPr>
        <w:t>同一保险公司只能有一家投标人参加投标；</w:t>
      </w:r>
      <w:r>
        <w:rPr>
          <w:rFonts w:hint="eastAsia" w:ascii="仿宋" w:hAnsi="仿宋" w:eastAsia="仿宋"/>
          <w:sz w:val="32"/>
          <w:szCs w:val="32"/>
        </w:rPr>
        <w:t>2019年以来，具有承保过类似公众责任险服务业绩。</w:t>
      </w:r>
    </w:p>
    <w:p>
      <w:pPr>
        <w:pStyle w:val="325"/>
        <w:spacing w:line="360" w:lineRule="auto"/>
        <w:ind w:firstLine="64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保险</w:t>
      </w:r>
      <w:r>
        <w:rPr>
          <w:rFonts w:hint="eastAsia" w:ascii="仿宋" w:hAnsi="仿宋" w:eastAsia="仿宋"/>
          <w:sz w:val="32"/>
          <w:szCs w:val="32"/>
        </w:rPr>
        <w:t>人</w:t>
      </w:r>
      <w:r>
        <w:rPr>
          <w:rFonts w:ascii="仿宋" w:hAnsi="仿宋" w:eastAsia="仿宋"/>
          <w:sz w:val="32"/>
          <w:szCs w:val="32"/>
        </w:rPr>
        <w:t>设立24小时报案电话，可全年365天随时接受被保</w:t>
      </w:r>
      <w:r>
        <w:rPr>
          <w:rFonts w:hint="eastAsia" w:ascii="仿宋" w:hAnsi="仿宋" w:eastAsia="仿宋"/>
          <w:sz w:val="32"/>
          <w:szCs w:val="32"/>
        </w:rPr>
        <w:t>险人</w:t>
      </w:r>
      <w:r>
        <w:rPr>
          <w:rFonts w:ascii="仿宋" w:hAnsi="仿宋" w:eastAsia="仿宋"/>
          <w:sz w:val="32"/>
          <w:szCs w:val="32"/>
        </w:rPr>
        <w:t>的出险报案，并应立即通知项目小组。被保险人也可以直接向出单公司项目小组报案。被保险人因特殊情况无法在出单公司规定时间内报案的，保险</w:t>
      </w:r>
      <w:r>
        <w:rPr>
          <w:rFonts w:hint="eastAsia" w:ascii="仿宋" w:hAnsi="仿宋" w:eastAsia="仿宋"/>
          <w:sz w:val="32"/>
          <w:szCs w:val="32"/>
        </w:rPr>
        <w:t>人</w:t>
      </w:r>
      <w:r>
        <w:rPr>
          <w:rFonts w:ascii="仿宋" w:hAnsi="仿宋" w:eastAsia="仿宋"/>
          <w:sz w:val="32"/>
          <w:szCs w:val="32"/>
        </w:rPr>
        <w:t>认可被保险人事后出具的书面说明，并视同为及时报案。</w:t>
      </w:r>
    </w:p>
    <w:p>
      <w:pPr>
        <w:pStyle w:val="325"/>
        <w:spacing w:line="360" w:lineRule="auto"/>
        <w:ind w:firstLine="64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保险人在接到被保险人提交的索赔资料后，应在</w:t>
      </w:r>
      <w:r>
        <w:rPr>
          <w:rFonts w:hint="eastAsia" w:ascii="仿宋" w:hAnsi="仿宋" w:eastAsia="仿宋"/>
          <w:sz w:val="32"/>
          <w:szCs w:val="32"/>
        </w:rPr>
        <w:t>2个工作日内</w:t>
      </w:r>
      <w:r>
        <w:rPr>
          <w:rFonts w:ascii="仿宋" w:hAnsi="仿宋" w:eastAsia="仿宋"/>
          <w:sz w:val="32"/>
          <w:szCs w:val="32"/>
        </w:rPr>
        <w:t>立即审查核实，若认为有关证明和材料不完整，及时一次性以书面方式通知被保险人或公估公司应补充提供的有关证明或资料。若在接到索赔资料后2 个工作日内未提出有关审核意见，则视为保险人已认可索赔资料的完整性。</w:t>
      </w:r>
    </w:p>
    <w:p>
      <w:pPr>
        <w:pStyle w:val="325"/>
        <w:spacing w:line="360" w:lineRule="auto"/>
        <w:ind w:firstLine="64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保险人在收到完整的索赔单证后，应尽快核定保险责任、损失项目和赔偿金额</w:t>
      </w:r>
      <w:r>
        <w:rPr>
          <w:rFonts w:hint="eastAsia" w:ascii="仿宋" w:hAnsi="仿宋" w:eastAsia="仿宋"/>
          <w:sz w:val="32"/>
          <w:szCs w:val="32"/>
        </w:rPr>
        <w:t>。</w:t>
      </w:r>
    </w:p>
    <w:p>
      <w:pPr>
        <w:pStyle w:val="325"/>
        <w:spacing w:line="360" w:lineRule="auto"/>
        <w:ind w:firstLine="64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被保险人要求，保险人根据被保险人的需要，不定期召开保险联席会议，由被保险人有关部门人员参加，相互沟通，协商解决有关保险事宜。</w:t>
      </w:r>
    </w:p>
    <w:p>
      <w:pPr>
        <w:pStyle w:val="325"/>
        <w:spacing w:line="360" w:lineRule="auto"/>
        <w:ind w:firstLine="64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保险人应为本项目提供法律援助服务，包括对保险及民事赔偿提供法律咨询、代为聘请律师、代理诉讼行为等。</w:t>
      </w:r>
    </w:p>
    <w:p>
      <w:pPr>
        <w:pStyle w:val="325"/>
        <w:spacing w:line="360" w:lineRule="auto"/>
        <w:ind w:firstLine="64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实施“险后两访”制度</w:t>
      </w:r>
      <w:r>
        <w:rPr>
          <w:rFonts w:hint="eastAsia" w:ascii="仿宋" w:hAnsi="仿宋" w:eastAsia="仿宋"/>
          <w:sz w:val="32"/>
          <w:szCs w:val="32"/>
        </w:rPr>
        <w:t>，</w:t>
      </w:r>
      <w:r>
        <w:rPr>
          <w:rFonts w:ascii="仿宋" w:hAnsi="仿宋" w:eastAsia="仿宋"/>
          <w:sz w:val="32"/>
          <w:szCs w:val="32"/>
        </w:rPr>
        <w:t>每次接到被保险人报案电话后，保险人安排专人进行险后回访，回访内容包括对查勘定损人员查勘时效、服务态度、工作技能的满意度等。赔付结案后，保险人实施第二次回访，回访内容主要为赔付时效和客户满意度等。</w:t>
      </w:r>
    </w:p>
    <w:p>
      <w:pPr>
        <w:pStyle w:val="325"/>
        <w:spacing w:line="360" w:lineRule="auto"/>
        <w:ind w:firstLine="640"/>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保险人提供现场服务成员清单</w:t>
      </w:r>
      <w:r>
        <w:rPr>
          <w:rFonts w:hint="eastAsia" w:ascii="仿宋" w:hAnsi="仿宋" w:eastAsia="仿宋"/>
          <w:sz w:val="32"/>
          <w:szCs w:val="32"/>
        </w:rPr>
        <w:t>，</w:t>
      </w:r>
      <w:r>
        <w:rPr>
          <w:rFonts w:ascii="仿宋" w:hAnsi="仿宋" w:eastAsia="仿宋"/>
          <w:sz w:val="32"/>
          <w:szCs w:val="32"/>
        </w:rPr>
        <w:t>成员将各司其职，互相配合，手机均保持24小时开通。如果小组成员由于工作原因调动离岗，保险人应在第一时间内通知被保险人；同时，告知接替人员的工作经验、简历和联系方式；接替人员也将在最短时间内熟悉情况，进入工作状态。</w:t>
      </w:r>
    </w:p>
    <w:p>
      <w:pPr>
        <w:pStyle w:val="325"/>
        <w:spacing w:line="360" w:lineRule="auto"/>
        <w:ind w:firstLine="640"/>
        <w:rPr>
          <w:rFonts w:ascii="仿宋" w:hAnsi="仿宋" w:eastAsia="仿宋"/>
          <w:sz w:val="32"/>
          <w:szCs w:val="32"/>
        </w:rPr>
      </w:pPr>
      <w:r>
        <w:rPr>
          <w:rFonts w:hint="eastAsia" w:ascii="仿宋" w:hAnsi="仿宋" w:eastAsia="仿宋"/>
          <w:sz w:val="32"/>
          <w:szCs w:val="32"/>
        </w:rPr>
        <w:t>9.赔案时效承诺：</w:t>
      </w:r>
      <w:r>
        <w:rPr>
          <w:rFonts w:ascii="仿宋" w:hAnsi="仿宋" w:eastAsia="仿宋"/>
          <w:sz w:val="32"/>
          <w:szCs w:val="32"/>
        </w:rPr>
        <w:t>在收到完整的索赔材料后，出单公司同意按照以下时限要求支付赔款</w:t>
      </w:r>
      <w:r>
        <w:rPr>
          <w:rFonts w:hint="eastAsia" w:ascii="仿宋" w:hAnsi="仿宋" w:eastAsia="仿宋"/>
          <w:sz w:val="32"/>
          <w:szCs w:val="32"/>
        </w:rPr>
        <w:t>①赔款人民币10000元以下的，1个工作日；②赔款额在人民币50000元以下的，3个工作日；③赔款额在人民币50000-1000000元之间的，5个工作日。</w:t>
      </w:r>
    </w:p>
    <w:p>
      <w:pPr>
        <w:pStyle w:val="2"/>
        <w:pageBreakBefore/>
        <w:spacing w:before="480" w:after="260" w:line="500" w:lineRule="exact"/>
        <w:jc w:val="center"/>
        <w:rPr>
          <w:rFonts w:hAnsi="宋体"/>
          <w:b w:val="0"/>
          <w:bCs w:val="0"/>
          <w:color w:val="000000"/>
        </w:rPr>
      </w:pPr>
      <w:r>
        <w:rPr>
          <w:rFonts w:hint="eastAsia" w:hAnsi="宋体"/>
          <w:color w:val="000000"/>
        </w:rPr>
        <w:t>六、响应文件格式</w:t>
      </w:r>
      <w:bookmarkEnd w:id="60"/>
    </w:p>
    <w:p>
      <w:pPr>
        <w:spacing w:line="500" w:lineRule="exact"/>
        <w:jc w:val="center"/>
        <w:rPr>
          <w:rFonts w:hAnsi="宋体"/>
          <w:b/>
          <w:color w:val="000000"/>
          <w:sz w:val="32"/>
          <w:szCs w:val="24"/>
        </w:rPr>
      </w:pPr>
    </w:p>
    <w:p>
      <w:pPr>
        <w:spacing w:line="500" w:lineRule="exact"/>
        <w:jc w:val="center"/>
        <w:rPr>
          <w:rFonts w:hAnsi="宋体"/>
          <w:b/>
          <w:color w:val="000000"/>
          <w:sz w:val="32"/>
          <w:szCs w:val="24"/>
        </w:rPr>
      </w:pPr>
    </w:p>
    <w:p>
      <w:pPr>
        <w:spacing w:line="900" w:lineRule="exact"/>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Lines="50" w:line="500" w:lineRule="exact"/>
        <w:jc w:val="center"/>
        <w:rPr>
          <w:rFonts w:hAnsi="宋体"/>
          <w:b/>
          <w:color w:val="000000"/>
          <w:sz w:val="72"/>
          <w:szCs w:val="24"/>
        </w:rPr>
      </w:pPr>
    </w:p>
    <w:p>
      <w:pPr>
        <w:spacing w:afterLines="50" w:line="500" w:lineRule="exact"/>
        <w:jc w:val="center"/>
        <w:rPr>
          <w:rFonts w:hAnsi="宋体"/>
          <w:b/>
          <w:color w:val="000000"/>
          <w:sz w:val="72"/>
          <w:szCs w:val="24"/>
        </w:rPr>
      </w:pPr>
    </w:p>
    <w:p>
      <w:pPr>
        <w:spacing w:afterLines="50" w:line="500" w:lineRule="exact"/>
        <w:rPr>
          <w:rFonts w:hAnsi="宋体"/>
          <w:b/>
          <w:color w:val="000000"/>
          <w:sz w:val="32"/>
          <w:szCs w:val="24"/>
          <w:u w:val="single"/>
        </w:rPr>
      </w:pPr>
      <w:r>
        <w:rPr>
          <w:rFonts w:hint="eastAsia" w:hAnsi="宋体"/>
          <w:b/>
          <w:color w:val="000000"/>
          <w:sz w:val="32"/>
          <w:szCs w:val="24"/>
        </w:rPr>
        <w:t>供应商：</w:t>
      </w:r>
    </w:p>
    <w:p>
      <w:pPr>
        <w:spacing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61" w:name="_Toc438648618"/>
      <w:r>
        <w:rPr>
          <w:rFonts w:hint="eastAsia" w:hAnsi="宋体" w:cs="宋体"/>
          <w:b/>
          <w:color w:val="000000"/>
          <w:szCs w:val="24"/>
        </w:rPr>
        <w:t>响应文件资料清单</w:t>
      </w:r>
    </w:p>
    <w:tbl>
      <w:tblPr>
        <w:tblStyle w:val="6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62" w:name="_Toc461053086"/>
      <w:bookmarkStart w:id="63" w:name="_Toc2774249"/>
      <w:bookmarkStart w:id="64" w:name="_Toc461056631"/>
      <w:r>
        <w:rPr>
          <w:rFonts w:hint="eastAsia" w:ascii="宋体" w:hAnsi="宋体" w:eastAsia="宋体"/>
          <w:bCs w:val="0"/>
          <w:color w:val="000000"/>
          <w:sz w:val="24"/>
          <w:szCs w:val="24"/>
        </w:rPr>
        <w:t>附件：</w:t>
      </w:r>
    </w:p>
    <w:p>
      <w:pPr>
        <w:pStyle w:val="3"/>
        <w:spacing w:line="360" w:lineRule="auto"/>
        <w:ind w:firstLine="0"/>
        <w:jc w:val="left"/>
        <w:rPr>
          <w:rFonts w:ascii="宋体" w:hAnsi="宋体" w:eastAsia="宋体"/>
          <w:bCs w:val="0"/>
          <w:color w:val="000000"/>
          <w:sz w:val="24"/>
          <w:szCs w:val="24"/>
        </w:rPr>
      </w:pPr>
      <w:r>
        <w:rPr>
          <w:rFonts w:hint="eastAsia" w:ascii="宋体" w:hAnsi="宋体" w:eastAsia="宋体"/>
          <w:bCs w:val="0"/>
          <w:color w:val="000000"/>
          <w:sz w:val="24"/>
          <w:szCs w:val="24"/>
        </w:rPr>
        <w:t>一</w:t>
      </w:r>
      <w:bookmarkEnd w:id="62"/>
      <w:bookmarkEnd w:id="63"/>
      <w:bookmarkEnd w:id="64"/>
      <w:r>
        <w:rPr>
          <w:rFonts w:hint="eastAsia" w:ascii="宋体" w:hAnsi="宋体" w:eastAsia="宋体"/>
          <w:bCs w:val="0"/>
          <w:color w:val="000000"/>
          <w:sz w:val="24"/>
          <w:szCs w:val="24"/>
        </w:rPr>
        <w:t>、</w:t>
      </w:r>
    </w:p>
    <w:p>
      <w:pPr>
        <w:spacing w:beforeLines="50"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Lines="50"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Lines="50" w:line="360" w:lineRule="auto"/>
        <w:jc w:val="left"/>
        <w:rPr>
          <w:rFonts w:hAnsi="宋体"/>
          <w:b/>
          <w:bCs/>
          <w:color w:val="000000"/>
          <w:szCs w:val="28"/>
          <w:u w:val="single"/>
        </w:rPr>
      </w:pPr>
      <w:r>
        <w:rPr>
          <w:rFonts w:hint="eastAsia" w:hAnsi="宋体"/>
          <w:b/>
          <w:color w:val="000000"/>
          <w:szCs w:val="28"/>
        </w:rPr>
        <w:t>项目编号：</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Ansi="宋体"/>
                <w:bCs/>
                <w:color w:val="000000"/>
                <w:u w:val="single"/>
              </w:rPr>
            </w:pPr>
            <w:r>
              <w:rPr>
                <w:rFonts w:hint="eastAsia" w:hAnsi="宋体"/>
                <w:bCs/>
                <w:color w:val="000000"/>
              </w:rPr>
              <w:t>总价：</w:t>
            </w:r>
            <w:r>
              <w:rPr>
                <w:rFonts w:hint="eastAsia" w:hAnsi="宋体"/>
                <w:bCs/>
                <w:color w:val="000000"/>
                <w:u w:val="single"/>
              </w:rPr>
              <w:t xml:space="preserve">          元</w:t>
            </w:r>
            <w:r>
              <w:rPr>
                <w:rFonts w:hint="eastAsia" w:cs="仿宋_GB2312" w:asciiTheme="minorEastAsia" w:hAnsiTheme="minorEastAsia" w:eastAsiaTheme="minorEastAsia"/>
                <w:szCs w:val="24"/>
              </w:rPr>
              <w:t>。</w:t>
            </w:r>
          </w:p>
          <w:p>
            <w:pPr>
              <w:snapToGrid w:val="0"/>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1、本表内容根据招标文件要求的所有费用。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38" w:firstLineChars="200"/>
        <w:rPr>
          <w:rFonts w:hAnsi="宋体"/>
          <w:b/>
          <w:bCs/>
          <w:color w:val="000000"/>
          <w:szCs w:val="28"/>
        </w:rPr>
      </w:pPr>
    </w:p>
    <w:p>
      <w:pPr>
        <w:adjustRightInd w:val="0"/>
        <w:snapToGrid w:val="0"/>
        <w:spacing w:line="360" w:lineRule="auto"/>
        <w:ind w:firstLine="438" w:firstLineChars="200"/>
        <w:rPr>
          <w:rFonts w:hAnsi="宋体"/>
          <w:b/>
          <w:bCs/>
          <w:color w:val="000000"/>
          <w:szCs w:val="28"/>
        </w:rPr>
      </w:pPr>
    </w:p>
    <w:p>
      <w:pPr>
        <w:adjustRightInd w:val="0"/>
        <w:snapToGrid w:val="0"/>
        <w:spacing w:line="360" w:lineRule="auto"/>
        <w:ind w:firstLine="438" w:firstLineChars="200"/>
        <w:rPr>
          <w:rFonts w:hAnsi="宋体"/>
          <w:b/>
          <w:bCs/>
          <w:color w:val="000000"/>
          <w:szCs w:val="28"/>
        </w:rPr>
      </w:pPr>
    </w:p>
    <w:bookmarkEnd w:id="61"/>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65" w:name="_Toc438648620"/>
      <w:r>
        <w:rPr>
          <w:rFonts w:hint="eastAsia" w:hAnsi="宋体" w:cs="宋体"/>
          <w:b/>
          <w:color w:val="000000"/>
          <w:szCs w:val="24"/>
        </w:rPr>
        <w:br w:type="page"/>
      </w:r>
      <w:bookmarkEnd w:id="65"/>
      <w:r>
        <w:rPr>
          <w:rFonts w:hint="eastAsia" w:hAnsi="宋体" w:cs="宋体"/>
          <w:b/>
          <w:color w:val="000000"/>
          <w:szCs w:val="24"/>
        </w:rPr>
        <w:t>三</w:t>
      </w:r>
    </w:p>
    <w:p>
      <w:pPr>
        <w:spacing w:beforeLines="50"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3、我方承诺报价低于同类货物和服务的市场平均价格。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Lines="20" w:afterLines="20" w:line="540" w:lineRule="exact"/>
        <w:ind w:firstLine="610"/>
        <w:rPr>
          <w:rFonts w:hAnsi="宋体" w:cs="宋体"/>
          <w:color w:val="000000"/>
          <w:szCs w:val="24"/>
        </w:rPr>
      </w:pPr>
      <w:r>
        <w:rPr>
          <w:rFonts w:hint="eastAsia" w:hAnsi="宋体" w:cs="宋体"/>
          <w:color w:val="000000"/>
          <w:szCs w:val="24"/>
        </w:rPr>
        <w:t>单位名称：</w:t>
      </w:r>
    </w:p>
    <w:p>
      <w:pPr>
        <w:spacing w:beforeLines="20" w:afterLines="20" w:line="540" w:lineRule="exact"/>
        <w:ind w:firstLine="610"/>
        <w:rPr>
          <w:rFonts w:hAnsi="宋体" w:cs="宋体"/>
          <w:color w:val="000000"/>
          <w:szCs w:val="24"/>
        </w:rPr>
      </w:pPr>
      <w:r>
        <w:rPr>
          <w:rFonts w:hint="eastAsia" w:hAnsi="宋体" w:cs="宋体"/>
          <w:color w:val="000000"/>
          <w:szCs w:val="24"/>
        </w:rPr>
        <w:t>地    址：</w:t>
      </w:r>
    </w:p>
    <w:p>
      <w:pPr>
        <w:spacing w:beforeLines="20" w:afterLines="20" w:line="540" w:lineRule="exact"/>
        <w:ind w:firstLine="610"/>
        <w:rPr>
          <w:rFonts w:hAnsi="宋体" w:cs="宋体"/>
          <w:color w:val="000000"/>
          <w:szCs w:val="24"/>
        </w:rPr>
      </w:pPr>
      <w:r>
        <w:rPr>
          <w:rFonts w:hint="eastAsia" w:hAnsi="宋体" w:cs="宋体"/>
          <w:color w:val="000000"/>
          <w:szCs w:val="24"/>
        </w:rPr>
        <w:t>成立时间： 年月日</w:t>
      </w:r>
    </w:p>
    <w:p>
      <w:pPr>
        <w:spacing w:beforeLines="20" w:afterLines="20" w:line="540" w:lineRule="exact"/>
        <w:ind w:firstLine="610"/>
        <w:rPr>
          <w:rFonts w:hAnsi="宋体" w:cs="宋体"/>
          <w:color w:val="000000"/>
          <w:szCs w:val="24"/>
        </w:rPr>
      </w:pPr>
      <w:r>
        <w:rPr>
          <w:rFonts w:hint="eastAsia" w:hAnsi="宋体" w:cs="宋体"/>
          <w:color w:val="000000"/>
          <w:szCs w:val="24"/>
        </w:rPr>
        <w:t>经营期限：</w:t>
      </w:r>
    </w:p>
    <w:p>
      <w:pPr>
        <w:spacing w:beforeLines="20"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Lines="20"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Lines="20"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Lines="20" w:afterLines="20" w:line="540" w:lineRule="exact"/>
        <w:ind w:firstLine="610"/>
        <w:rPr>
          <w:rFonts w:hAnsi="宋体" w:cs="宋体"/>
          <w:color w:val="000000"/>
          <w:szCs w:val="24"/>
        </w:rPr>
      </w:pPr>
    </w:p>
    <w:p>
      <w:pPr>
        <w:pStyle w:val="25"/>
        <w:spacing w:beforeLines="20"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Lines="20" w:afterLines="20" w:line="540" w:lineRule="exact"/>
        <w:ind w:firstLine="438" w:firstLineChars="200"/>
        <w:rPr>
          <w:rFonts w:hAnsi="宋体" w:cs="宋体"/>
          <w:color w:val="000000"/>
          <w:szCs w:val="24"/>
        </w:rPr>
      </w:pPr>
    </w:p>
    <w:p>
      <w:pPr>
        <w:tabs>
          <w:tab w:val="left" w:pos="720"/>
          <w:tab w:val="left" w:pos="900"/>
        </w:tabs>
        <w:spacing w:beforeLines="20" w:afterLines="20" w:line="540" w:lineRule="exact"/>
        <w:ind w:firstLine="438" w:firstLineChars="200"/>
        <w:rPr>
          <w:rFonts w:hAnsi="宋体" w:cs="宋体"/>
          <w:color w:val="000000"/>
          <w:szCs w:val="24"/>
        </w:rPr>
      </w:pPr>
    </w:p>
    <w:p>
      <w:pPr>
        <w:tabs>
          <w:tab w:val="left" w:pos="720"/>
          <w:tab w:val="left" w:pos="900"/>
        </w:tabs>
        <w:spacing w:beforeLines="20" w:afterLines="20" w:line="540" w:lineRule="exact"/>
        <w:ind w:firstLine="4161" w:firstLineChars="1900"/>
        <w:rPr>
          <w:rFonts w:hAnsi="宋体" w:cs="宋体"/>
          <w:color w:val="000000"/>
          <w:szCs w:val="24"/>
        </w:rPr>
      </w:pPr>
    </w:p>
    <w:p>
      <w:pPr>
        <w:tabs>
          <w:tab w:val="left" w:pos="720"/>
          <w:tab w:val="left" w:pos="900"/>
        </w:tabs>
        <w:spacing w:beforeLines="20"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Lines="20"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Lines="20" w:afterLines="20" w:line="540" w:lineRule="exact"/>
        <w:outlineLvl w:val="1"/>
        <w:rPr>
          <w:rFonts w:hAnsi="宋体" w:cs="宋体"/>
          <w:b/>
          <w:color w:val="000000"/>
          <w:szCs w:val="24"/>
        </w:rPr>
      </w:pPr>
      <w:r>
        <w:rPr>
          <w:rFonts w:hAnsi="宋体" w:cs="宋体"/>
          <w:color w:val="000000"/>
          <w:szCs w:val="24"/>
        </w:rPr>
        <w:br w:type="page"/>
      </w:r>
      <w:bookmarkStart w:id="66" w:name="_Toc438648622"/>
      <w:r>
        <w:rPr>
          <w:rFonts w:hint="eastAsia" w:hAnsi="宋体" w:cs="宋体"/>
          <w:b/>
          <w:color w:val="000000"/>
          <w:szCs w:val="24"/>
        </w:rPr>
        <w:t>五</w:t>
      </w:r>
    </w:p>
    <w:p>
      <w:pPr>
        <w:spacing w:beforeLines="50"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2"/>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2"/>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2"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yc1k/XAAAACgEAAA8AAAAAAAAAAQAgAAAAIgAAAGRycy9kb3ducmV2LnhtbFBLAQIUABQA&#10;AAAIAIdO4kBy+BYdKgIAAGUEAAAOAAAAAAAAAAEAIAAAACYBAABkcnMvZTJvRG9jLnhtbFBLBQYA&#10;AAAABgAGAFkBAADC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32"/>
        <w:snapToGrid w:val="0"/>
        <w:spacing w:line="360" w:lineRule="auto"/>
        <w:jc w:val="left"/>
        <w:rPr>
          <w:rFonts w:hAnsi="宋体"/>
          <w:color w:val="000000"/>
          <w:sz w:val="24"/>
          <w:szCs w:val="28"/>
        </w:rPr>
      </w:pPr>
      <w:r>
        <w:rPr>
          <w:rFonts w:hint="eastAsia" w:hAnsi="宋体"/>
          <w:color w:val="000000"/>
          <w:sz w:val="24"/>
          <w:szCs w:val="28"/>
        </w:rPr>
        <w:t>注：</w:t>
      </w:r>
    </w:p>
    <w:p>
      <w:pPr>
        <w:pStyle w:val="32"/>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66"/>
      <w:bookmarkStart w:id="67" w:name="_Toc433835936"/>
      <w:bookmarkStart w:id="68" w:name="_Toc438648630"/>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7"/>
    <w:bookmarkEnd w:id="68"/>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2、供应商单位营业执照、资质证书、企业法人代码证书、税务登记证等有关资料复印件及上述综合评分资料、报价资料，打印盖章装订成册。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7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8"/>
                            <w:jc w:val="center"/>
                          </w:pPr>
                          <w:r>
                            <w:rPr>
                              <w:rFonts w:hint="eastAsia"/>
                            </w:rPr>
                            <w:t>第</w:t>
                          </w:r>
                          <w:r>
                            <w:fldChar w:fldCharType="begin"/>
                          </w:r>
                          <w:r>
                            <w:instrText xml:space="preserve">page</w:instrText>
                          </w:r>
                          <w:r>
                            <w:fldChar w:fldCharType="separate"/>
                          </w:r>
                          <w:r>
                            <w:t>11</w:t>
                          </w:r>
                          <w:r>
                            <w:fldChar w:fldCharType="end"/>
                          </w:r>
                          <w:r>
                            <w:rPr>
                              <w:rFonts w:hint="eastAsia"/>
                            </w:rPr>
                            <w:t>页共</w:t>
                          </w:r>
                          <w:r>
                            <w:fldChar w:fldCharType="begin"/>
                          </w:r>
                          <w:r>
                            <w:instrText xml:space="preserve">numpages</w:instrText>
                          </w:r>
                          <w:r>
                            <w:fldChar w:fldCharType="separate"/>
                          </w:r>
                          <w:r>
                            <w:t>47</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KMiyTYAQAAsQ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lZJnt5DjVmPHvPi8MENuDTzPeBlYj3IYNIX+RCMo7ini7hiiISnR9WqqkoMcYzNDuIXT899&#10;gHgnnCHJaGjA6WVR2fEB4pg6p6Rq1t0qrfMEtSU9ol5V767yi0sI0bVNySIvw4STOI29JysOu2Ei&#10;unPtCXn2uBANtbj/lOh7i3qn3ZmNMBu72Tj4oPYdtrzM1cG/P0RsLvecKoywyDU5OMnMetq6tCp/&#10;+znr6U/b/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coyLJNgBAACxAwAADgAAAAAAAAAB&#10;ACAAAAAiAQAAZHJzL2Uyb0RvYy54bWxQSwUGAAAAAAYABgBZAQAAbAUAAAAA&#10;">
              <v:fill on="f" focussize="0,0"/>
              <v:stroke on="f" weight="1.25pt"/>
              <v:imagedata o:title=""/>
              <o:lock v:ext="edit" aspectratio="f"/>
              <v:textbox inset="0mm,0mm,0mm,0mm" style="mso-fit-shape-to-text:t;">
                <w:txbxContent>
                  <w:p>
                    <w:pPr>
                      <w:pStyle w:val="38"/>
                      <w:jc w:val="center"/>
                    </w:pPr>
                    <w:r>
                      <w:rPr>
                        <w:rFonts w:hint="eastAsia"/>
                      </w:rPr>
                      <w:t>第</w:t>
                    </w:r>
                    <w:r>
                      <w:fldChar w:fldCharType="begin"/>
                    </w:r>
                    <w:r>
                      <w:instrText xml:space="preserve">page</w:instrText>
                    </w:r>
                    <w:r>
                      <w:fldChar w:fldCharType="separate"/>
                    </w:r>
                    <w:r>
                      <w:t>11</w:t>
                    </w:r>
                    <w:r>
                      <w:fldChar w:fldCharType="end"/>
                    </w:r>
                    <w:r>
                      <w:rPr>
                        <w:rFonts w:hint="eastAsia"/>
                      </w:rPr>
                      <w:t>页共</w:t>
                    </w:r>
                    <w:r>
                      <w:fldChar w:fldCharType="begin"/>
                    </w:r>
                    <w:r>
                      <w:instrText xml:space="preserve">numpages</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D73ueNgBAACxAwAADgAAAAAAAAAB&#10;ACAAAAAiAQAAZHJzL2Uyb0RvYy54bWxQSwUGAAAAAAYABgBZAQAAbAUAAAAA&#10;">
              <v:fill on="f" focussize="0,0"/>
              <v:stroke on="f" weight="1.25pt"/>
              <v:imagedata o:title=""/>
              <o:lock v:ext="edit" aspectratio="f"/>
              <v:textbox inset="0mm,0mm,0mm,0mm" style="mso-fit-shape-to-text:t;">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t>合肥经济技术开发区公用事业</w:t>
    </w:r>
    <w:r>
      <w:rPr>
        <w:rFonts w:hint="eastAsia"/>
        <w:lang w:eastAsia="zh-CN"/>
      </w:rPr>
      <w:t>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9146BF"/>
    <w:multiLevelType w:val="multilevel"/>
    <w:tmpl w:val="409146B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B132C0"/>
    <w:multiLevelType w:val="multilevel"/>
    <w:tmpl w:val="55B132C0"/>
    <w:lvl w:ilvl="0" w:tentative="0">
      <w:start w:val="1"/>
      <w:numFmt w:val="japaneseCounting"/>
      <w:lvlText w:val="第%1部"/>
      <w:lvlJc w:val="left"/>
      <w:pPr>
        <w:ind w:left="1266"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6425D60"/>
    <w:multiLevelType w:val="multilevel"/>
    <w:tmpl w:val="56425D60"/>
    <w:lvl w:ilvl="0" w:tentative="0">
      <w:start w:val="1"/>
      <w:numFmt w:val="decimal"/>
      <w:lvlText w:val="%1、"/>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764F0399"/>
    <w:multiLevelType w:val="multilevel"/>
    <w:tmpl w:val="764F0399"/>
    <w:lvl w:ilvl="0" w:tentative="0">
      <w:start w:val="1"/>
      <w:numFmt w:val="none"/>
      <w:lvlText w:val="一、"/>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Y1Y2MyMDNkM2YyZGM5MzAzYTA4ZGY2OTNjYjgifQ=="/>
  </w:docVars>
  <w:rsids>
    <w:rsidRoot w:val="00172A27"/>
    <w:rsid w:val="00004ED4"/>
    <w:rsid w:val="00006D7F"/>
    <w:rsid w:val="00007331"/>
    <w:rsid w:val="000116D8"/>
    <w:rsid w:val="000137F3"/>
    <w:rsid w:val="00015BFC"/>
    <w:rsid w:val="00016CD6"/>
    <w:rsid w:val="00016FD1"/>
    <w:rsid w:val="00016FF2"/>
    <w:rsid w:val="00017D2E"/>
    <w:rsid w:val="00021F46"/>
    <w:rsid w:val="0002518A"/>
    <w:rsid w:val="00027442"/>
    <w:rsid w:val="0003033E"/>
    <w:rsid w:val="00032699"/>
    <w:rsid w:val="00036937"/>
    <w:rsid w:val="00036981"/>
    <w:rsid w:val="0003711C"/>
    <w:rsid w:val="000428B6"/>
    <w:rsid w:val="00046159"/>
    <w:rsid w:val="00046A5C"/>
    <w:rsid w:val="00050059"/>
    <w:rsid w:val="00051531"/>
    <w:rsid w:val="0005155F"/>
    <w:rsid w:val="00052E9D"/>
    <w:rsid w:val="000541D4"/>
    <w:rsid w:val="00054464"/>
    <w:rsid w:val="00061A2C"/>
    <w:rsid w:val="00063973"/>
    <w:rsid w:val="00065151"/>
    <w:rsid w:val="00071AC2"/>
    <w:rsid w:val="00073BB9"/>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19BB"/>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567"/>
    <w:rsid w:val="000A5E39"/>
    <w:rsid w:val="000A601C"/>
    <w:rsid w:val="000A64BD"/>
    <w:rsid w:val="000A7F25"/>
    <w:rsid w:val="000B108D"/>
    <w:rsid w:val="000B1B82"/>
    <w:rsid w:val="000B2C2B"/>
    <w:rsid w:val="000B3B52"/>
    <w:rsid w:val="000B5652"/>
    <w:rsid w:val="000B74D7"/>
    <w:rsid w:val="000B7600"/>
    <w:rsid w:val="000C124E"/>
    <w:rsid w:val="000C46B6"/>
    <w:rsid w:val="000C5797"/>
    <w:rsid w:val="000C5E5E"/>
    <w:rsid w:val="000C71FC"/>
    <w:rsid w:val="000C7D80"/>
    <w:rsid w:val="000D0880"/>
    <w:rsid w:val="000D0886"/>
    <w:rsid w:val="000D1C9B"/>
    <w:rsid w:val="000D1EC3"/>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5BA9"/>
    <w:rsid w:val="00156A10"/>
    <w:rsid w:val="00161786"/>
    <w:rsid w:val="00161DC9"/>
    <w:rsid w:val="00162A0F"/>
    <w:rsid w:val="00163F5E"/>
    <w:rsid w:val="00171E49"/>
    <w:rsid w:val="0017207A"/>
    <w:rsid w:val="00172A27"/>
    <w:rsid w:val="00175378"/>
    <w:rsid w:val="001763F4"/>
    <w:rsid w:val="00176BCF"/>
    <w:rsid w:val="001773DA"/>
    <w:rsid w:val="001800F3"/>
    <w:rsid w:val="0018043C"/>
    <w:rsid w:val="0018147A"/>
    <w:rsid w:val="001826A9"/>
    <w:rsid w:val="00185133"/>
    <w:rsid w:val="00187A18"/>
    <w:rsid w:val="001902A1"/>
    <w:rsid w:val="00191805"/>
    <w:rsid w:val="00191F15"/>
    <w:rsid w:val="00192FD5"/>
    <w:rsid w:val="00194D51"/>
    <w:rsid w:val="001952AB"/>
    <w:rsid w:val="001962CE"/>
    <w:rsid w:val="00196466"/>
    <w:rsid w:val="00196D1B"/>
    <w:rsid w:val="001A1CD3"/>
    <w:rsid w:val="001A45AA"/>
    <w:rsid w:val="001A6D7D"/>
    <w:rsid w:val="001B1DA8"/>
    <w:rsid w:val="001B291A"/>
    <w:rsid w:val="001B4416"/>
    <w:rsid w:val="001C0269"/>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16431"/>
    <w:rsid w:val="00216DBC"/>
    <w:rsid w:val="00222CCE"/>
    <w:rsid w:val="00227496"/>
    <w:rsid w:val="00231921"/>
    <w:rsid w:val="00231A42"/>
    <w:rsid w:val="00231F95"/>
    <w:rsid w:val="00244EF5"/>
    <w:rsid w:val="0024637C"/>
    <w:rsid w:val="00246FBC"/>
    <w:rsid w:val="0024752D"/>
    <w:rsid w:val="00247BCC"/>
    <w:rsid w:val="0025147F"/>
    <w:rsid w:val="00251A38"/>
    <w:rsid w:val="002534D7"/>
    <w:rsid w:val="0025415F"/>
    <w:rsid w:val="00260C38"/>
    <w:rsid w:val="002622F8"/>
    <w:rsid w:val="00262E88"/>
    <w:rsid w:val="00263510"/>
    <w:rsid w:val="002652EF"/>
    <w:rsid w:val="00270CF4"/>
    <w:rsid w:val="00271BD7"/>
    <w:rsid w:val="00275767"/>
    <w:rsid w:val="00275CCC"/>
    <w:rsid w:val="00276263"/>
    <w:rsid w:val="00280AA5"/>
    <w:rsid w:val="0028161D"/>
    <w:rsid w:val="00283FA3"/>
    <w:rsid w:val="002869DC"/>
    <w:rsid w:val="002877B0"/>
    <w:rsid w:val="002915B0"/>
    <w:rsid w:val="002929A0"/>
    <w:rsid w:val="00293A8B"/>
    <w:rsid w:val="0029442D"/>
    <w:rsid w:val="00295CA9"/>
    <w:rsid w:val="00297FB5"/>
    <w:rsid w:val="002A2375"/>
    <w:rsid w:val="002A34ED"/>
    <w:rsid w:val="002A37F8"/>
    <w:rsid w:val="002A3BC4"/>
    <w:rsid w:val="002A68C2"/>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8B1"/>
    <w:rsid w:val="002F1B74"/>
    <w:rsid w:val="002F3175"/>
    <w:rsid w:val="002F37D8"/>
    <w:rsid w:val="002F58E6"/>
    <w:rsid w:val="002F7000"/>
    <w:rsid w:val="002F7432"/>
    <w:rsid w:val="003005B1"/>
    <w:rsid w:val="003029C9"/>
    <w:rsid w:val="00303F42"/>
    <w:rsid w:val="003112F0"/>
    <w:rsid w:val="00311E4F"/>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90A"/>
    <w:rsid w:val="00344EB5"/>
    <w:rsid w:val="003457B7"/>
    <w:rsid w:val="00346CD5"/>
    <w:rsid w:val="003479D3"/>
    <w:rsid w:val="0035073E"/>
    <w:rsid w:val="00351090"/>
    <w:rsid w:val="00351A08"/>
    <w:rsid w:val="0035330F"/>
    <w:rsid w:val="00356ECE"/>
    <w:rsid w:val="00360B94"/>
    <w:rsid w:val="00361098"/>
    <w:rsid w:val="00365C95"/>
    <w:rsid w:val="00365D51"/>
    <w:rsid w:val="00366317"/>
    <w:rsid w:val="00367E82"/>
    <w:rsid w:val="00370832"/>
    <w:rsid w:val="00373485"/>
    <w:rsid w:val="0037525A"/>
    <w:rsid w:val="00375D9F"/>
    <w:rsid w:val="00377820"/>
    <w:rsid w:val="0038255F"/>
    <w:rsid w:val="00382BC7"/>
    <w:rsid w:val="00390CDF"/>
    <w:rsid w:val="003920AE"/>
    <w:rsid w:val="00397763"/>
    <w:rsid w:val="003A3012"/>
    <w:rsid w:val="003A4014"/>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59D8"/>
    <w:rsid w:val="003F5DD2"/>
    <w:rsid w:val="003F6B7D"/>
    <w:rsid w:val="003F736C"/>
    <w:rsid w:val="003F7D04"/>
    <w:rsid w:val="00400573"/>
    <w:rsid w:val="00402230"/>
    <w:rsid w:val="00403AB6"/>
    <w:rsid w:val="00403BA6"/>
    <w:rsid w:val="00406884"/>
    <w:rsid w:val="00406C56"/>
    <w:rsid w:val="00410FF1"/>
    <w:rsid w:val="00411ADB"/>
    <w:rsid w:val="00414A6C"/>
    <w:rsid w:val="00414BF3"/>
    <w:rsid w:val="004160BB"/>
    <w:rsid w:val="00417913"/>
    <w:rsid w:val="00420CA7"/>
    <w:rsid w:val="00422C7A"/>
    <w:rsid w:val="00423163"/>
    <w:rsid w:val="00425D6A"/>
    <w:rsid w:val="004312D9"/>
    <w:rsid w:val="0043148D"/>
    <w:rsid w:val="00431C1F"/>
    <w:rsid w:val="00431CD1"/>
    <w:rsid w:val="00431D6E"/>
    <w:rsid w:val="00431DAE"/>
    <w:rsid w:val="00433240"/>
    <w:rsid w:val="0043382F"/>
    <w:rsid w:val="00436728"/>
    <w:rsid w:val="00436851"/>
    <w:rsid w:val="00441247"/>
    <w:rsid w:val="00441727"/>
    <w:rsid w:val="00441B0F"/>
    <w:rsid w:val="004424FE"/>
    <w:rsid w:val="00442F5A"/>
    <w:rsid w:val="00444698"/>
    <w:rsid w:val="00444E37"/>
    <w:rsid w:val="00444FE5"/>
    <w:rsid w:val="004457D6"/>
    <w:rsid w:val="00445AA2"/>
    <w:rsid w:val="0044666D"/>
    <w:rsid w:val="00446873"/>
    <w:rsid w:val="0044698D"/>
    <w:rsid w:val="0044749F"/>
    <w:rsid w:val="0045173A"/>
    <w:rsid w:val="00451B3D"/>
    <w:rsid w:val="00452C94"/>
    <w:rsid w:val="004557C6"/>
    <w:rsid w:val="004579B7"/>
    <w:rsid w:val="00461433"/>
    <w:rsid w:val="00463AFB"/>
    <w:rsid w:val="00464BA6"/>
    <w:rsid w:val="00465527"/>
    <w:rsid w:val="004713C2"/>
    <w:rsid w:val="004732FD"/>
    <w:rsid w:val="0047495B"/>
    <w:rsid w:val="004756BE"/>
    <w:rsid w:val="00476A44"/>
    <w:rsid w:val="00480342"/>
    <w:rsid w:val="00480971"/>
    <w:rsid w:val="0048111D"/>
    <w:rsid w:val="00482302"/>
    <w:rsid w:val="00482657"/>
    <w:rsid w:val="00482A3C"/>
    <w:rsid w:val="00483422"/>
    <w:rsid w:val="00485C29"/>
    <w:rsid w:val="004862A0"/>
    <w:rsid w:val="004924BB"/>
    <w:rsid w:val="00494C7B"/>
    <w:rsid w:val="004A0A2F"/>
    <w:rsid w:val="004A3BD9"/>
    <w:rsid w:val="004A56BA"/>
    <w:rsid w:val="004A6381"/>
    <w:rsid w:val="004A71ED"/>
    <w:rsid w:val="004B3F9D"/>
    <w:rsid w:val="004B4CEE"/>
    <w:rsid w:val="004C03FE"/>
    <w:rsid w:val="004C4382"/>
    <w:rsid w:val="004C4AD3"/>
    <w:rsid w:val="004C4C68"/>
    <w:rsid w:val="004C4F01"/>
    <w:rsid w:val="004D1059"/>
    <w:rsid w:val="004D126E"/>
    <w:rsid w:val="004D2977"/>
    <w:rsid w:val="004D3F91"/>
    <w:rsid w:val="004D5EE8"/>
    <w:rsid w:val="004D7247"/>
    <w:rsid w:val="004E5A60"/>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99"/>
    <w:rsid w:val="00524CDE"/>
    <w:rsid w:val="00526207"/>
    <w:rsid w:val="00526C1A"/>
    <w:rsid w:val="005306FF"/>
    <w:rsid w:val="00533DC9"/>
    <w:rsid w:val="005357F2"/>
    <w:rsid w:val="00535CAC"/>
    <w:rsid w:val="005367F1"/>
    <w:rsid w:val="005408DA"/>
    <w:rsid w:val="00540A10"/>
    <w:rsid w:val="00542F03"/>
    <w:rsid w:val="005430A5"/>
    <w:rsid w:val="00545B21"/>
    <w:rsid w:val="005461F7"/>
    <w:rsid w:val="00547686"/>
    <w:rsid w:val="005512C5"/>
    <w:rsid w:val="005547CF"/>
    <w:rsid w:val="00555483"/>
    <w:rsid w:val="00555C36"/>
    <w:rsid w:val="00556DBD"/>
    <w:rsid w:val="005629EC"/>
    <w:rsid w:val="00563531"/>
    <w:rsid w:val="0056462D"/>
    <w:rsid w:val="00564A88"/>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044F"/>
    <w:rsid w:val="005A206C"/>
    <w:rsid w:val="005A5327"/>
    <w:rsid w:val="005A59E0"/>
    <w:rsid w:val="005B0ADB"/>
    <w:rsid w:val="005B15E2"/>
    <w:rsid w:val="005B1B6A"/>
    <w:rsid w:val="005B356E"/>
    <w:rsid w:val="005B4384"/>
    <w:rsid w:val="005B5429"/>
    <w:rsid w:val="005B69F1"/>
    <w:rsid w:val="005B7902"/>
    <w:rsid w:val="005C102E"/>
    <w:rsid w:val="005C1803"/>
    <w:rsid w:val="005C2C51"/>
    <w:rsid w:val="005C319B"/>
    <w:rsid w:val="005C36AB"/>
    <w:rsid w:val="005C5B53"/>
    <w:rsid w:val="005C5E16"/>
    <w:rsid w:val="005C6C96"/>
    <w:rsid w:val="005C7218"/>
    <w:rsid w:val="005D1197"/>
    <w:rsid w:val="005E0924"/>
    <w:rsid w:val="005E195F"/>
    <w:rsid w:val="005E2AB2"/>
    <w:rsid w:val="005E492B"/>
    <w:rsid w:val="005E502A"/>
    <w:rsid w:val="005E74AA"/>
    <w:rsid w:val="005E7895"/>
    <w:rsid w:val="005F0FA7"/>
    <w:rsid w:val="005F273C"/>
    <w:rsid w:val="005F304A"/>
    <w:rsid w:val="005F403A"/>
    <w:rsid w:val="005F4E66"/>
    <w:rsid w:val="005F4FE7"/>
    <w:rsid w:val="005F535D"/>
    <w:rsid w:val="005F54F9"/>
    <w:rsid w:val="005F5DD9"/>
    <w:rsid w:val="005F6A1C"/>
    <w:rsid w:val="006004E1"/>
    <w:rsid w:val="00601D77"/>
    <w:rsid w:val="00602523"/>
    <w:rsid w:val="00602BE3"/>
    <w:rsid w:val="00602E46"/>
    <w:rsid w:val="0060324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1B38"/>
    <w:rsid w:val="006332C3"/>
    <w:rsid w:val="0063501B"/>
    <w:rsid w:val="0063577F"/>
    <w:rsid w:val="00635FCB"/>
    <w:rsid w:val="0063654A"/>
    <w:rsid w:val="00640923"/>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398F"/>
    <w:rsid w:val="00684C67"/>
    <w:rsid w:val="00684D37"/>
    <w:rsid w:val="006858C3"/>
    <w:rsid w:val="00685AEE"/>
    <w:rsid w:val="0068648B"/>
    <w:rsid w:val="0068795D"/>
    <w:rsid w:val="0069127D"/>
    <w:rsid w:val="00693DC7"/>
    <w:rsid w:val="00695DF5"/>
    <w:rsid w:val="0069723F"/>
    <w:rsid w:val="006A176E"/>
    <w:rsid w:val="006A540E"/>
    <w:rsid w:val="006A7B5A"/>
    <w:rsid w:val="006B1395"/>
    <w:rsid w:val="006B3AE6"/>
    <w:rsid w:val="006B6704"/>
    <w:rsid w:val="006C6FD0"/>
    <w:rsid w:val="006D5116"/>
    <w:rsid w:val="006D5120"/>
    <w:rsid w:val="006D5D07"/>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2B11"/>
    <w:rsid w:val="00753DF1"/>
    <w:rsid w:val="007552D5"/>
    <w:rsid w:val="00755D4E"/>
    <w:rsid w:val="00756286"/>
    <w:rsid w:val="007570BF"/>
    <w:rsid w:val="0075739B"/>
    <w:rsid w:val="00760EAD"/>
    <w:rsid w:val="00765BDB"/>
    <w:rsid w:val="007678A6"/>
    <w:rsid w:val="00770743"/>
    <w:rsid w:val="00771805"/>
    <w:rsid w:val="00771A3F"/>
    <w:rsid w:val="0077362C"/>
    <w:rsid w:val="0077496B"/>
    <w:rsid w:val="00781CE0"/>
    <w:rsid w:val="00783A57"/>
    <w:rsid w:val="0078435B"/>
    <w:rsid w:val="007878AF"/>
    <w:rsid w:val="00793BAC"/>
    <w:rsid w:val="00794B05"/>
    <w:rsid w:val="007963E1"/>
    <w:rsid w:val="00796E21"/>
    <w:rsid w:val="0079748D"/>
    <w:rsid w:val="007A4ADF"/>
    <w:rsid w:val="007A6648"/>
    <w:rsid w:val="007A6ED9"/>
    <w:rsid w:val="007B0AF9"/>
    <w:rsid w:val="007B2643"/>
    <w:rsid w:val="007B27F4"/>
    <w:rsid w:val="007B2E8A"/>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7F2AA7"/>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41BC"/>
    <w:rsid w:val="0084511A"/>
    <w:rsid w:val="00845993"/>
    <w:rsid w:val="0084639C"/>
    <w:rsid w:val="008474C6"/>
    <w:rsid w:val="00847804"/>
    <w:rsid w:val="00847F13"/>
    <w:rsid w:val="0085002A"/>
    <w:rsid w:val="008520E2"/>
    <w:rsid w:val="00852C04"/>
    <w:rsid w:val="00853996"/>
    <w:rsid w:val="00853EE8"/>
    <w:rsid w:val="008629D2"/>
    <w:rsid w:val="00863E41"/>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4E5"/>
    <w:rsid w:val="008A62CA"/>
    <w:rsid w:val="008B03FD"/>
    <w:rsid w:val="008B084E"/>
    <w:rsid w:val="008B09AA"/>
    <w:rsid w:val="008B1710"/>
    <w:rsid w:val="008B178A"/>
    <w:rsid w:val="008B2640"/>
    <w:rsid w:val="008C123E"/>
    <w:rsid w:val="008C1CD8"/>
    <w:rsid w:val="008C5A65"/>
    <w:rsid w:val="008C630C"/>
    <w:rsid w:val="008C7561"/>
    <w:rsid w:val="008D594B"/>
    <w:rsid w:val="008D60A3"/>
    <w:rsid w:val="008D7B13"/>
    <w:rsid w:val="008E17F0"/>
    <w:rsid w:val="008E1AAD"/>
    <w:rsid w:val="008E2DA6"/>
    <w:rsid w:val="008E3731"/>
    <w:rsid w:val="008E66FA"/>
    <w:rsid w:val="008E767D"/>
    <w:rsid w:val="008F2960"/>
    <w:rsid w:val="008F2A67"/>
    <w:rsid w:val="008F6E1B"/>
    <w:rsid w:val="008F6E5F"/>
    <w:rsid w:val="00900F20"/>
    <w:rsid w:val="00901EC8"/>
    <w:rsid w:val="00902E6D"/>
    <w:rsid w:val="00904B4A"/>
    <w:rsid w:val="00912E6B"/>
    <w:rsid w:val="009144A2"/>
    <w:rsid w:val="00914978"/>
    <w:rsid w:val="00917C12"/>
    <w:rsid w:val="00920BA7"/>
    <w:rsid w:val="00921B6F"/>
    <w:rsid w:val="00924AE7"/>
    <w:rsid w:val="00925BEE"/>
    <w:rsid w:val="00927BF7"/>
    <w:rsid w:val="00930DED"/>
    <w:rsid w:val="009311CD"/>
    <w:rsid w:val="00931B1B"/>
    <w:rsid w:val="00934CBC"/>
    <w:rsid w:val="00935F08"/>
    <w:rsid w:val="00936699"/>
    <w:rsid w:val="00937292"/>
    <w:rsid w:val="009425EA"/>
    <w:rsid w:val="0094501B"/>
    <w:rsid w:val="00950E56"/>
    <w:rsid w:val="00951CF0"/>
    <w:rsid w:val="0095367F"/>
    <w:rsid w:val="00954CCB"/>
    <w:rsid w:val="0095589C"/>
    <w:rsid w:val="009559CF"/>
    <w:rsid w:val="00957F4D"/>
    <w:rsid w:val="00960011"/>
    <w:rsid w:val="00960244"/>
    <w:rsid w:val="0096126F"/>
    <w:rsid w:val="00961C40"/>
    <w:rsid w:val="009624A6"/>
    <w:rsid w:val="00962B94"/>
    <w:rsid w:val="00963059"/>
    <w:rsid w:val="00975397"/>
    <w:rsid w:val="00980D47"/>
    <w:rsid w:val="009837F0"/>
    <w:rsid w:val="00983818"/>
    <w:rsid w:val="00984E4B"/>
    <w:rsid w:val="00991486"/>
    <w:rsid w:val="009915EA"/>
    <w:rsid w:val="009927FE"/>
    <w:rsid w:val="009933BD"/>
    <w:rsid w:val="00993842"/>
    <w:rsid w:val="009943FD"/>
    <w:rsid w:val="009A1F08"/>
    <w:rsid w:val="009A2CB3"/>
    <w:rsid w:val="009A3445"/>
    <w:rsid w:val="009B3500"/>
    <w:rsid w:val="009B3B84"/>
    <w:rsid w:val="009B4518"/>
    <w:rsid w:val="009B4539"/>
    <w:rsid w:val="009B51C5"/>
    <w:rsid w:val="009B7D59"/>
    <w:rsid w:val="009C2799"/>
    <w:rsid w:val="009C3346"/>
    <w:rsid w:val="009C3BF2"/>
    <w:rsid w:val="009C4312"/>
    <w:rsid w:val="009C43F4"/>
    <w:rsid w:val="009C5703"/>
    <w:rsid w:val="009C6619"/>
    <w:rsid w:val="009C67CA"/>
    <w:rsid w:val="009D0464"/>
    <w:rsid w:val="009D09D7"/>
    <w:rsid w:val="009D2533"/>
    <w:rsid w:val="009D3314"/>
    <w:rsid w:val="009D34FA"/>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0C8B"/>
    <w:rsid w:val="00A1638B"/>
    <w:rsid w:val="00A20751"/>
    <w:rsid w:val="00A230F2"/>
    <w:rsid w:val="00A24939"/>
    <w:rsid w:val="00A267F8"/>
    <w:rsid w:val="00A274E3"/>
    <w:rsid w:val="00A300CA"/>
    <w:rsid w:val="00A348FB"/>
    <w:rsid w:val="00A34B30"/>
    <w:rsid w:val="00A3676F"/>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A51"/>
    <w:rsid w:val="00A81FC1"/>
    <w:rsid w:val="00A8336B"/>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C47ED"/>
    <w:rsid w:val="00AC4C84"/>
    <w:rsid w:val="00AC5549"/>
    <w:rsid w:val="00AD061B"/>
    <w:rsid w:val="00AD0C55"/>
    <w:rsid w:val="00AD18DF"/>
    <w:rsid w:val="00AD5D04"/>
    <w:rsid w:val="00AD64CD"/>
    <w:rsid w:val="00AE2A89"/>
    <w:rsid w:val="00AE3398"/>
    <w:rsid w:val="00AE588F"/>
    <w:rsid w:val="00AE71F8"/>
    <w:rsid w:val="00AF1F43"/>
    <w:rsid w:val="00AF4616"/>
    <w:rsid w:val="00AF5F8E"/>
    <w:rsid w:val="00AF6EE4"/>
    <w:rsid w:val="00B01EAB"/>
    <w:rsid w:val="00B022B7"/>
    <w:rsid w:val="00B05FCB"/>
    <w:rsid w:val="00B0629E"/>
    <w:rsid w:val="00B10963"/>
    <w:rsid w:val="00B13BC2"/>
    <w:rsid w:val="00B15C28"/>
    <w:rsid w:val="00B15F56"/>
    <w:rsid w:val="00B164E6"/>
    <w:rsid w:val="00B168B2"/>
    <w:rsid w:val="00B220A2"/>
    <w:rsid w:val="00B22E36"/>
    <w:rsid w:val="00B232C9"/>
    <w:rsid w:val="00B24524"/>
    <w:rsid w:val="00B25226"/>
    <w:rsid w:val="00B2529D"/>
    <w:rsid w:val="00B26E2A"/>
    <w:rsid w:val="00B32CDA"/>
    <w:rsid w:val="00B336B0"/>
    <w:rsid w:val="00B33F63"/>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8F"/>
    <w:rsid w:val="00B968FA"/>
    <w:rsid w:val="00B9751E"/>
    <w:rsid w:val="00BA3791"/>
    <w:rsid w:val="00BB04AD"/>
    <w:rsid w:val="00BB143D"/>
    <w:rsid w:val="00BB1A5C"/>
    <w:rsid w:val="00BB30B6"/>
    <w:rsid w:val="00BB3981"/>
    <w:rsid w:val="00BB3EB9"/>
    <w:rsid w:val="00BB45D8"/>
    <w:rsid w:val="00BB6903"/>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13608"/>
    <w:rsid w:val="00C14BBA"/>
    <w:rsid w:val="00C1570B"/>
    <w:rsid w:val="00C15944"/>
    <w:rsid w:val="00C171D7"/>
    <w:rsid w:val="00C17E2B"/>
    <w:rsid w:val="00C206B2"/>
    <w:rsid w:val="00C23929"/>
    <w:rsid w:val="00C26A10"/>
    <w:rsid w:val="00C277FE"/>
    <w:rsid w:val="00C319E6"/>
    <w:rsid w:val="00C3286F"/>
    <w:rsid w:val="00C34FE5"/>
    <w:rsid w:val="00C35ABF"/>
    <w:rsid w:val="00C407C5"/>
    <w:rsid w:val="00C41684"/>
    <w:rsid w:val="00C474EA"/>
    <w:rsid w:val="00C53EED"/>
    <w:rsid w:val="00C577B8"/>
    <w:rsid w:val="00C57F7D"/>
    <w:rsid w:val="00C63EA2"/>
    <w:rsid w:val="00C64417"/>
    <w:rsid w:val="00C6535A"/>
    <w:rsid w:val="00C712A5"/>
    <w:rsid w:val="00C74304"/>
    <w:rsid w:val="00C754A1"/>
    <w:rsid w:val="00C75A42"/>
    <w:rsid w:val="00C81354"/>
    <w:rsid w:val="00C83812"/>
    <w:rsid w:val="00C8584E"/>
    <w:rsid w:val="00C861DA"/>
    <w:rsid w:val="00C902A3"/>
    <w:rsid w:val="00C92766"/>
    <w:rsid w:val="00CA0E8B"/>
    <w:rsid w:val="00CA4337"/>
    <w:rsid w:val="00CA630A"/>
    <w:rsid w:val="00CA6E2A"/>
    <w:rsid w:val="00CA7C97"/>
    <w:rsid w:val="00CB08EF"/>
    <w:rsid w:val="00CB2FDF"/>
    <w:rsid w:val="00CB3102"/>
    <w:rsid w:val="00CC1AD1"/>
    <w:rsid w:val="00CC2F8E"/>
    <w:rsid w:val="00CC5CBE"/>
    <w:rsid w:val="00CC6BEB"/>
    <w:rsid w:val="00CC7BEC"/>
    <w:rsid w:val="00CD1618"/>
    <w:rsid w:val="00CD2913"/>
    <w:rsid w:val="00CD3B53"/>
    <w:rsid w:val="00CD42F8"/>
    <w:rsid w:val="00CD7982"/>
    <w:rsid w:val="00CE1174"/>
    <w:rsid w:val="00CE6553"/>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27DF"/>
    <w:rsid w:val="00D5527F"/>
    <w:rsid w:val="00D56495"/>
    <w:rsid w:val="00D5749E"/>
    <w:rsid w:val="00D61C04"/>
    <w:rsid w:val="00D61CED"/>
    <w:rsid w:val="00D64F5B"/>
    <w:rsid w:val="00D66A1B"/>
    <w:rsid w:val="00D71E6C"/>
    <w:rsid w:val="00D7404C"/>
    <w:rsid w:val="00D7476E"/>
    <w:rsid w:val="00D8098B"/>
    <w:rsid w:val="00D83AEA"/>
    <w:rsid w:val="00D86D74"/>
    <w:rsid w:val="00D87361"/>
    <w:rsid w:val="00D87CB4"/>
    <w:rsid w:val="00D9211F"/>
    <w:rsid w:val="00D92632"/>
    <w:rsid w:val="00D92A44"/>
    <w:rsid w:val="00D93B72"/>
    <w:rsid w:val="00D946F8"/>
    <w:rsid w:val="00D97110"/>
    <w:rsid w:val="00D9729B"/>
    <w:rsid w:val="00D979F5"/>
    <w:rsid w:val="00D97CA4"/>
    <w:rsid w:val="00DA6188"/>
    <w:rsid w:val="00DB0FA4"/>
    <w:rsid w:val="00DB38B6"/>
    <w:rsid w:val="00DB4301"/>
    <w:rsid w:val="00DB44BE"/>
    <w:rsid w:val="00DB4947"/>
    <w:rsid w:val="00DB4970"/>
    <w:rsid w:val="00DB508F"/>
    <w:rsid w:val="00DC1C51"/>
    <w:rsid w:val="00DC315B"/>
    <w:rsid w:val="00DC429A"/>
    <w:rsid w:val="00DC484E"/>
    <w:rsid w:val="00DC70FD"/>
    <w:rsid w:val="00DC7CC2"/>
    <w:rsid w:val="00DD126C"/>
    <w:rsid w:val="00DD3714"/>
    <w:rsid w:val="00DD59E7"/>
    <w:rsid w:val="00DE5689"/>
    <w:rsid w:val="00DE5FBD"/>
    <w:rsid w:val="00DF1B99"/>
    <w:rsid w:val="00DF4B83"/>
    <w:rsid w:val="00DF75A2"/>
    <w:rsid w:val="00DF7C0F"/>
    <w:rsid w:val="00E00928"/>
    <w:rsid w:val="00E00A6E"/>
    <w:rsid w:val="00E05588"/>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37ABF"/>
    <w:rsid w:val="00E40749"/>
    <w:rsid w:val="00E40D9A"/>
    <w:rsid w:val="00E43A7D"/>
    <w:rsid w:val="00E43FCA"/>
    <w:rsid w:val="00E45A86"/>
    <w:rsid w:val="00E47DB5"/>
    <w:rsid w:val="00E47E85"/>
    <w:rsid w:val="00E47F5D"/>
    <w:rsid w:val="00E51146"/>
    <w:rsid w:val="00E525D8"/>
    <w:rsid w:val="00E5553C"/>
    <w:rsid w:val="00E573C9"/>
    <w:rsid w:val="00E57BB4"/>
    <w:rsid w:val="00E60D15"/>
    <w:rsid w:val="00E615DD"/>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3FF2"/>
    <w:rsid w:val="00EA784A"/>
    <w:rsid w:val="00EB1F79"/>
    <w:rsid w:val="00EB3C5B"/>
    <w:rsid w:val="00EB45A6"/>
    <w:rsid w:val="00EB4B86"/>
    <w:rsid w:val="00EB78F3"/>
    <w:rsid w:val="00EC02DC"/>
    <w:rsid w:val="00EC095A"/>
    <w:rsid w:val="00EC50EF"/>
    <w:rsid w:val="00EC6917"/>
    <w:rsid w:val="00EC7987"/>
    <w:rsid w:val="00ED2A67"/>
    <w:rsid w:val="00ED3517"/>
    <w:rsid w:val="00ED43AD"/>
    <w:rsid w:val="00EE251B"/>
    <w:rsid w:val="00EE315F"/>
    <w:rsid w:val="00EE3C3D"/>
    <w:rsid w:val="00EE6A3C"/>
    <w:rsid w:val="00EF0A61"/>
    <w:rsid w:val="00EF0E54"/>
    <w:rsid w:val="00EF0EC3"/>
    <w:rsid w:val="00EF590A"/>
    <w:rsid w:val="00F000AE"/>
    <w:rsid w:val="00F00105"/>
    <w:rsid w:val="00F00774"/>
    <w:rsid w:val="00F02DBD"/>
    <w:rsid w:val="00F0667A"/>
    <w:rsid w:val="00F068FE"/>
    <w:rsid w:val="00F10019"/>
    <w:rsid w:val="00F14757"/>
    <w:rsid w:val="00F153B8"/>
    <w:rsid w:val="00F161FF"/>
    <w:rsid w:val="00F1758B"/>
    <w:rsid w:val="00F17902"/>
    <w:rsid w:val="00F21EA8"/>
    <w:rsid w:val="00F2384E"/>
    <w:rsid w:val="00F2631E"/>
    <w:rsid w:val="00F36A01"/>
    <w:rsid w:val="00F37273"/>
    <w:rsid w:val="00F422D9"/>
    <w:rsid w:val="00F43BA7"/>
    <w:rsid w:val="00F5302F"/>
    <w:rsid w:val="00F539EF"/>
    <w:rsid w:val="00F53C96"/>
    <w:rsid w:val="00F53E71"/>
    <w:rsid w:val="00F55BC3"/>
    <w:rsid w:val="00F618E9"/>
    <w:rsid w:val="00F61904"/>
    <w:rsid w:val="00F6198E"/>
    <w:rsid w:val="00F636AF"/>
    <w:rsid w:val="00F63CC4"/>
    <w:rsid w:val="00F64771"/>
    <w:rsid w:val="00F7020B"/>
    <w:rsid w:val="00F747D1"/>
    <w:rsid w:val="00F75401"/>
    <w:rsid w:val="00F75729"/>
    <w:rsid w:val="00F83EE0"/>
    <w:rsid w:val="00F86C8B"/>
    <w:rsid w:val="00F87BF5"/>
    <w:rsid w:val="00F919D7"/>
    <w:rsid w:val="00F922DA"/>
    <w:rsid w:val="00F93FB4"/>
    <w:rsid w:val="00F9582B"/>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3021"/>
    <w:rsid w:val="00FD5283"/>
    <w:rsid w:val="00FD5E32"/>
    <w:rsid w:val="00FD7355"/>
    <w:rsid w:val="00FD7C9D"/>
    <w:rsid w:val="00FE19B0"/>
    <w:rsid w:val="00FE6930"/>
    <w:rsid w:val="00FE76F2"/>
    <w:rsid w:val="00FE7E5D"/>
    <w:rsid w:val="00FF2375"/>
    <w:rsid w:val="00FF5791"/>
    <w:rsid w:val="00FF6572"/>
    <w:rsid w:val="02486FA3"/>
    <w:rsid w:val="037E0D05"/>
    <w:rsid w:val="03BF5149"/>
    <w:rsid w:val="041E18D4"/>
    <w:rsid w:val="04E01777"/>
    <w:rsid w:val="055167AC"/>
    <w:rsid w:val="05905DF7"/>
    <w:rsid w:val="05A63A8C"/>
    <w:rsid w:val="073308E6"/>
    <w:rsid w:val="074E1771"/>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CDB105F"/>
    <w:rsid w:val="0D0906C9"/>
    <w:rsid w:val="0D126C7E"/>
    <w:rsid w:val="0E1C20A0"/>
    <w:rsid w:val="0F5800C4"/>
    <w:rsid w:val="10912EC3"/>
    <w:rsid w:val="11E85BC4"/>
    <w:rsid w:val="128727B8"/>
    <w:rsid w:val="13845D13"/>
    <w:rsid w:val="13A078C0"/>
    <w:rsid w:val="13B0220C"/>
    <w:rsid w:val="142F15B6"/>
    <w:rsid w:val="14420D88"/>
    <w:rsid w:val="149F2467"/>
    <w:rsid w:val="15B12C0B"/>
    <w:rsid w:val="15CC6AEE"/>
    <w:rsid w:val="167A7DAC"/>
    <w:rsid w:val="172E6069"/>
    <w:rsid w:val="17726828"/>
    <w:rsid w:val="178A2948"/>
    <w:rsid w:val="184247A3"/>
    <w:rsid w:val="18465535"/>
    <w:rsid w:val="18605F4F"/>
    <w:rsid w:val="198B5630"/>
    <w:rsid w:val="1A963B26"/>
    <w:rsid w:val="1AEC4059"/>
    <w:rsid w:val="1B023953"/>
    <w:rsid w:val="1CCE4908"/>
    <w:rsid w:val="1E212D2C"/>
    <w:rsid w:val="1FAF6052"/>
    <w:rsid w:val="220F56F1"/>
    <w:rsid w:val="2462106B"/>
    <w:rsid w:val="247C01A4"/>
    <w:rsid w:val="24F075EF"/>
    <w:rsid w:val="25235D17"/>
    <w:rsid w:val="25863B04"/>
    <w:rsid w:val="267F7783"/>
    <w:rsid w:val="26D0546D"/>
    <w:rsid w:val="26E95C38"/>
    <w:rsid w:val="26F8146C"/>
    <w:rsid w:val="28A424D8"/>
    <w:rsid w:val="2A401170"/>
    <w:rsid w:val="2A87709E"/>
    <w:rsid w:val="2ACB2345"/>
    <w:rsid w:val="2B071E91"/>
    <w:rsid w:val="2D003CDA"/>
    <w:rsid w:val="2D005F49"/>
    <w:rsid w:val="2D091DFE"/>
    <w:rsid w:val="2D180B16"/>
    <w:rsid w:val="2D642EDA"/>
    <w:rsid w:val="2E243225"/>
    <w:rsid w:val="2E3B16F7"/>
    <w:rsid w:val="2E703356"/>
    <w:rsid w:val="2F124AB0"/>
    <w:rsid w:val="30172FC7"/>
    <w:rsid w:val="305A2C48"/>
    <w:rsid w:val="31892A9F"/>
    <w:rsid w:val="31CD41A8"/>
    <w:rsid w:val="320C2A4E"/>
    <w:rsid w:val="32CC4C19"/>
    <w:rsid w:val="32DF6E6C"/>
    <w:rsid w:val="32EA53D2"/>
    <w:rsid w:val="333D17B4"/>
    <w:rsid w:val="33610BC3"/>
    <w:rsid w:val="33D07626"/>
    <w:rsid w:val="341F5680"/>
    <w:rsid w:val="3426478E"/>
    <w:rsid w:val="34FB0156"/>
    <w:rsid w:val="350A2D03"/>
    <w:rsid w:val="3740068C"/>
    <w:rsid w:val="37A46854"/>
    <w:rsid w:val="3A064448"/>
    <w:rsid w:val="3ADB63A2"/>
    <w:rsid w:val="3B461731"/>
    <w:rsid w:val="3B607653"/>
    <w:rsid w:val="3BA537DF"/>
    <w:rsid w:val="3C55396F"/>
    <w:rsid w:val="3C623E3A"/>
    <w:rsid w:val="3CCA03C2"/>
    <w:rsid w:val="3D1B1DE9"/>
    <w:rsid w:val="3E0C652E"/>
    <w:rsid w:val="3E503843"/>
    <w:rsid w:val="3F4F1107"/>
    <w:rsid w:val="40466FDB"/>
    <w:rsid w:val="40773F96"/>
    <w:rsid w:val="408C373D"/>
    <w:rsid w:val="40C50DE9"/>
    <w:rsid w:val="411D29D5"/>
    <w:rsid w:val="41E62125"/>
    <w:rsid w:val="42441329"/>
    <w:rsid w:val="42827FAD"/>
    <w:rsid w:val="435F0738"/>
    <w:rsid w:val="441377A8"/>
    <w:rsid w:val="4496695B"/>
    <w:rsid w:val="457779BC"/>
    <w:rsid w:val="45D13C93"/>
    <w:rsid w:val="45F5412F"/>
    <w:rsid w:val="465042E3"/>
    <w:rsid w:val="473138EC"/>
    <w:rsid w:val="4755784C"/>
    <w:rsid w:val="47771AC7"/>
    <w:rsid w:val="48AC7244"/>
    <w:rsid w:val="48AF480F"/>
    <w:rsid w:val="49100CD7"/>
    <w:rsid w:val="4A55487A"/>
    <w:rsid w:val="4B7904A6"/>
    <w:rsid w:val="4BBB11F2"/>
    <w:rsid w:val="4E5A0389"/>
    <w:rsid w:val="4E867B2E"/>
    <w:rsid w:val="4EC514DE"/>
    <w:rsid w:val="4F9E443B"/>
    <w:rsid w:val="503D1CD1"/>
    <w:rsid w:val="50595446"/>
    <w:rsid w:val="50EB7180"/>
    <w:rsid w:val="51075C5A"/>
    <w:rsid w:val="525F1ECA"/>
    <w:rsid w:val="52F12FDC"/>
    <w:rsid w:val="52F77142"/>
    <w:rsid w:val="53112AB6"/>
    <w:rsid w:val="532E0F86"/>
    <w:rsid w:val="537D5B1F"/>
    <w:rsid w:val="53885680"/>
    <w:rsid w:val="551F6DCA"/>
    <w:rsid w:val="57A82F18"/>
    <w:rsid w:val="58726CCB"/>
    <w:rsid w:val="59503A2E"/>
    <w:rsid w:val="59771907"/>
    <w:rsid w:val="599F2EC1"/>
    <w:rsid w:val="59E5547D"/>
    <w:rsid w:val="5A246F8E"/>
    <w:rsid w:val="5ABE512E"/>
    <w:rsid w:val="5B4D74F0"/>
    <w:rsid w:val="5E661FE6"/>
    <w:rsid w:val="5ED72AC2"/>
    <w:rsid w:val="5F9C06A7"/>
    <w:rsid w:val="604245F3"/>
    <w:rsid w:val="612A4F36"/>
    <w:rsid w:val="61642930"/>
    <w:rsid w:val="62A819D0"/>
    <w:rsid w:val="62C124BF"/>
    <w:rsid w:val="62DA4F38"/>
    <w:rsid w:val="62EC7940"/>
    <w:rsid w:val="638C1840"/>
    <w:rsid w:val="643F2933"/>
    <w:rsid w:val="64793173"/>
    <w:rsid w:val="64D65719"/>
    <w:rsid w:val="677102A6"/>
    <w:rsid w:val="6A462692"/>
    <w:rsid w:val="6A6E367C"/>
    <w:rsid w:val="6AA95F46"/>
    <w:rsid w:val="6B181B7C"/>
    <w:rsid w:val="6B8D7C22"/>
    <w:rsid w:val="6BDF4A6F"/>
    <w:rsid w:val="6C0C505C"/>
    <w:rsid w:val="6C6602A5"/>
    <w:rsid w:val="6CAB69A8"/>
    <w:rsid w:val="6CBE1293"/>
    <w:rsid w:val="6D0464DC"/>
    <w:rsid w:val="6D102A04"/>
    <w:rsid w:val="6DDE274F"/>
    <w:rsid w:val="6E252855"/>
    <w:rsid w:val="6E2D073C"/>
    <w:rsid w:val="6E2F0203"/>
    <w:rsid w:val="6F45735D"/>
    <w:rsid w:val="71246380"/>
    <w:rsid w:val="72A6388B"/>
    <w:rsid w:val="7525795F"/>
    <w:rsid w:val="77737045"/>
    <w:rsid w:val="7A152971"/>
    <w:rsid w:val="7A2E7BFE"/>
    <w:rsid w:val="7AC4542B"/>
    <w:rsid w:val="7AD249BD"/>
    <w:rsid w:val="7B155F4D"/>
    <w:rsid w:val="7B4C46EE"/>
    <w:rsid w:val="7BC52524"/>
    <w:rsid w:val="7BE14381"/>
    <w:rsid w:val="7C1D3BDA"/>
    <w:rsid w:val="7C4476A9"/>
    <w:rsid w:val="7CF9620B"/>
    <w:rsid w:val="7E697359"/>
    <w:rsid w:val="7ED57027"/>
    <w:rsid w:val="7F272653"/>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69"/>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2"/>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4"/>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3"/>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1"/>
    <w:qFormat/>
    <w:uiPriority w:val="0"/>
    <w:pPr>
      <w:keepNext/>
      <w:outlineLvl w:val="4"/>
    </w:pPr>
    <w:rPr>
      <w:rFonts w:hAnsi="Arial"/>
      <w:bCs/>
      <w:kern w:val="2"/>
      <w:sz w:val="28"/>
    </w:rPr>
  </w:style>
  <w:style w:type="paragraph" w:styleId="7">
    <w:name w:val="heading 6"/>
    <w:basedOn w:val="1"/>
    <w:next w:val="1"/>
    <w:link w:val="126"/>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3"/>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28"/>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5"/>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kern w:val="2"/>
      <w:sz w:val="21"/>
      <w:szCs w:val="22"/>
    </w:rPr>
  </w:style>
  <w:style w:type="paragraph" w:styleId="12">
    <w:name w:val="toc 7"/>
    <w:basedOn w:val="1"/>
    <w:next w:val="1"/>
    <w:qFormat/>
    <w:uiPriority w:val="39"/>
    <w:pPr>
      <w:ind w:left="1260"/>
      <w:jc w:val="left"/>
    </w:pPr>
    <w:rPr>
      <w:szCs w:val="21"/>
    </w:rPr>
  </w:style>
  <w:style w:type="paragraph" w:styleId="13">
    <w:name w:val="table of authorities"/>
    <w:basedOn w:val="1"/>
    <w:next w:val="1"/>
    <w:qFormat/>
    <w:uiPriority w:val="0"/>
    <w:pPr>
      <w:ind w:left="420" w:leftChars="200"/>
    </w:pPr>
  </w:style>
  <w:style w:type="paragraph" w:styleId="14">
    <w:name w:val="index 8"/>
    <w:basedOn w:val="1"/>
    <w:next w:val="1"/>
    <w:qFormat/>
    <w:uiPriority w:val="0"/>
    <w:pPr>
      <w:ind w:left="1400" w:leftChars="1400"/>
    </w:pPr>
  </w:style>
  <w:style w:type="paragraph" w:styleId="15">
    <w:name w:val="Normal Indent"/>
    <w:basedOn w:val="1"/>
    <w:qFormat/>
    <w:uiPriority w:val="0"/>
    <w:pPr>
      <w:ind w:firstLine="420" w:firstLineChars="200"/>
    </w:pPr>
    <w:rPr>
      <w:szCs w:val="24"/>
    </w:rPr>
  </w:style>
  <w:style w:type="paragraph" w:styleId="16">
    <w:name w:val="caption"/>
    <w:basedOn w:val="1"/>
    <w:next w:val="1"/>
    <w:qFormat/>
    <w:uiPriority w:val="0"/>
    <w:pPr>
      <w:spacing w:before="152" w:after="160"/>
    </w:pPr>
    <w:rPr>
      <w:rFonts w:ascii="Arial" w:hAnsi="Arial" w:eastAsia="黑体" w:cs="Arial"/>
      <w:kern w:val="2"/>
      <w:sz w:val="20"/>
    </w:rPr>
  </w:style>
  <w:style w:type="paragraph" w:styleId="17">
    <w:name w:val="index 5"/>
    <w:basedOn w:val="1"/>
    <w:next w:val="1"/>
    <w:qFormat/>
    <w:uiPriority w:val="0"/>
    <w:pPr>
      <w:ind w:left="800" w:leftChars="800"/>
    </w:pPr>
  </w:style>
  <w:style w:type="paragraph" w:styleId="18">
    <w:name w:val="Document Map"/>
    <w:basedOn w:val="1"/>
    <w:link w:val="122"/>
    <w:qFormat/>
    <w:uiPriority w:val="0"/>
    <w:pPr>
      <w:shd w:val="clear" w:color="auto" w:fill="000080"/>
    </w:pPr>
    <w:rPr>
      <w:rFonts w:ascii="Times New Roman"/>
      <w:kern w:val="2"/>
      <w:sz w:val="21"/>
    </w:rPr>
  </w:style>
  <w:style w:type="paragraph" w:styleId="19">
    <w:name w:val="toa heading"/>
    <w:basedOn w:val="1"/>
    <w:next w:val="1"/>
    <w:qFormat/>
    <w:uiPriority w:val="0"/>
    <w:pPr>
      <w:spacing w:before="120"/>
    </w:pPr>
    <w:rPr>
      <w:rFonts w:ascii="Arial" w:hAnsi="Arial"/>
      <w:b/>
      <w:bCs/>
      <w:szCs w:val="24"/>
    </w:rPr>
  </w:style>
  <w:style w:type="paragraph" w:styleId="20">
    <w:name w:val="annotation text"/>
    <w:basedOn w:val="1"/>
    <w:link w:val="130"/>
    <w:qFormat/>
    <w:uiPriority w:val="99"/>
    <w:pPr>
      <w:jc w:val="left"/>
    </w:pPr>
    <w:rPr>
      <w:rFonts w:ascii="Times New Roman"/>
      <w:kern w:val="2"/>
      <w:sz w:val="21"/>
    </w:rPr>
  </w:style>
  <w:style w:type="paragraph" w:styleId="21">
    <w:name w:val="index 6"/>
    <w:basedOn w:val="1"/>
    <w:next w:val="1"/>
    <w:qFormat/>
    <w:uiPriority w:val="0"/>
    <w:pPr>
      <w:ind w:left="1000" w:leftChars="1000"/>
    </w:pPr>
  </w:style>
  <w:style w:type="paragraph" w:styleId="22">
    <w:name w:val="Salutation"/>
    <w:basedOn w:val="1"/>
    <w:next w:val="1"/>
    <w:link w:val="124"/>
    <w:qFormat/>
    <w:uiPriority w:val="0"/>
    <w:rPr>
      <w:rFonts w:ascii="仿宋_GB2312" w:eastAsia="仿宋_GB2312"/>
      <w:sz w:val="28"/>
    </w:rPr>
  </w:style>
  <w:style w:type="paragraph" w:styleId="23">
    <w:name w:val="Body Text 3"/>
    <w:basedOn w:val="1"/>
    <w:link w:val="129"/>
    <w:qFormat/>
    <w:uiPriority w:val="0"/>
    <w:rPr>
      <w:rFonts w:ascii="黑体" w:hAnsi="Arial" w:eastAsia="黑体"/>
      <w:b/>
      <w:sz w:val="28"/>
    </w:rPr>
  </w:style>
  <w:style w:type="paragraph" w:styleId="24">
    <w:name w:val="Body Text"/>
    <w:basedOn w:val="1"/>
    <w:link w:val="174"/>
    <w:qFormat/>
    <w:uiPriority w:val="0"/>
    <w:rPr>
      <w:rFonts w:hAnsi="Arial"/>
      <w:kern w:val="2"/>
      <w:sz w:val="28"/>
    </w:rPr>
  </w:style>
  <w:style w:type="paragraph" w:styleId="25">
    <w:name w:val="Body Text Indent"/>
    <w:basedOn w:val="1"/>
    <w:link w:val="75"/>
    <w:qFormat/>
    <w:uiPriority w:val="0"/>
    <w:pPr>
      <w:ind w:firstLine="645"/>
    </w:pPr>
    <w:rPr>
      <w:rFonts w:ascii="楷体_GB2312" w:eastAsia="楷体_GB2312"/>
      <w:kern w:val="2"/>
      <w:sz w:val="32"/>
    </w:rPr>
  </w:style>
  <w:style w:type="paragraph" w:styleId="26">
    <w:name w:val="List 2"/>
    <w:basedOn w:val="1"/>
    <w:qFormat/>
    <w:uiPriority w:val="0"/>
    <w:pPr>
      <w:ind w:left="100" w:leftChars="200" w:hanging="200" w:hangingChars="200"/>
    </w:pPr>
    <w:rPr>
      <w:szCs w:val="24"/>
    </w:rPr>
  </w:style>
  <w:style w:type="paragraph" w:styleId="27">
    <w:name w:val="List Continue"/>
    <w:basedOn w:val="1"/>
    <w:qFormat/>
    <w:uiPriority w:val="0"/>
    <w:pPr>
      <w:spacing w:after="120"/>
      <w:ind w:left="420" w:leftChars="200"/>
    </w:pPr>
    <w:rPr>
      <w:szCs w:val="24"/>
    </w:rPr>
  </w:style>
  <w:style w:type="paragraph" w:styleId="28">
    <w:name w:val="Block Text"/>
    <w:basedOn w:val="1"/>
    <w:qFormat/>
    <w:uiPriority w:val="0"/>
    <w:pPr>
      <w:spacing w:after="120"/>
      <w:ind w:left="1440" w:leftChars="700" w:right="1440" w:rightChars="700"/>
    </w:pPr>
    <w:rPr>
      <w:szCs w:val="24"/>
    </w:rPr>
  </w:style>
  <w:style w:type="paragraph" w:styleId="29">
    <w:name w:val="index 4"/>
    <w:basedOn w:val="1"/>
    <w:next w:val="1"/>
    <w:qFormat/>
    <w:uiPriority w:val="0"/>
    <w:pPr>
      <w:ind w:left="600" w:leftChars="600"/>
    </w:pPr>
  </w:style>
  <w:style w:type="paragraph" w:styleId="30">
    <w:name w:val="toc 5"/>
    <w:basedOn w:val="1"/>
    <w:next w:val="1"/>
    <w:qFormat/>
    <w:uiPriority w:val="39"/>
    <w:pPr>
      <w:ind w:left="840"/>
      <w:jc w:val="left"/>
    </w:pPr>
    <w:rPr>
      <w:szCs w:val="21"/>
    </w:rPr>
  </w:style>
  <w:style w:type="paragraph" w:styleId="31">
    <w:name w:val="toc 3"/>
    <w:basedOn w:val="1"/>
    <w:next w:val="1"/>
    <w:qFormat/>
    <w:uiPriority w:val="39"/>
    <w:pPr>
      <w:ind w:left="420"/>
      <w:jc w:val="left"/>
    </w:pPr>
    <w:rPr>
      <w:i/>
      <w:iCs/>
      <w:szCs w:val="24"/>
    </w:rPr>
  </w:style>
  <w:style w:type="paragraph" w:styleId="32">
    <w:name w:val="Plain Text"/>
    <w:basedOn w:val="1"/>
    <w:link w:val="161"/>
    <w:qFormat/>
    <w:uiPriority w:val="0"/>
    <w:rPr>
      <w:rFonts w:hAnsi="Courier New"/>
      <w:kern w:val="2"/>
      <w:sz w:val="21"/>
    </w:rPr>
  </w:style>
  <w:style w:type="paragraph" w:styleId="33">
    <w:name w:val="toc 8"/>
    <w:basedOn w:val="1"/>
    <w:next w:val="1"/>
    <w:qFormat/>
    <w:uiPriority w:val="39"/>
    <w:pPr>
      <w:ind w:left="1470"/>
      <w:jc w:val="left"/>
    </w:pPr>
    <w:rPr>
      <w:szCs w:val="21"/>
    </w:rPr>
  </w:style>
  <w:style w:type="paragraph" w:styleId="34">
    <w:name w:val="index 3"/>
    <w:basedOn w:val="1"/>
    <w:next w:val="1"/>
    <w:qFormat/>
    <w:uiPriority w:val="0"/>
    <w:pPr>
      <w:ind w:left="400" w:leftChars="400"/>
    </w:pPr>
  </w:style>
  <w:style w:type="paragraph" w:styleId="35">
    <w:name w:val="Date"/>
    <w:basedOn w:val="1"/>
    <w:next w:val="1"/>
    <w:link w:val="93"/>
    <w:qFormat/>
    <w:uiPriority w:val="0"/>
    <w:rPr>
      <w:rFonts w:ascii="Times New Roman"/>
      <w:b/>
      <w:kern w:val="2"/>
      <w:sz w:val="28"/>
    </w:rPr>
  </w:style>
  <w:style w:type="paragraph" w:styleId="36">
    <w:name w:val="Body Text Indent 2"/>
    <w:basedOn w:val="1"/>
    <w:link w:val="177"/>
    <w:qFormat/>
    <w:uiPriority w:val="0"/>
    <w:pPr>
      <w:ind w:left="630" w:firstLine="645"/>
    </w:pPr>
    <w:rPr>
      <w:rFonts w:ascii="Arial" w:hAnsi="Arial" w:eastAsia="仿宋_GB2312"/>
      <w:sz w:val="32"/>
    </w:rPr>
  </w:style>
  <w:style w:type="paragraph" w:styleId="37">
    <w:name w:val="Balloon Text"/>
    <w:basedOn w:val="1"/>
    <w:link w:val="86"/>
    <w:qFormat/>
    <w:uiPriority w:val="99"/>
    <w:rPr>
      <w:sz w:val="18"/>
      <w:szCs w:val="18"/>
    </w:rPr>
  </w:style>
  <w:style w:type="paragraph" w:styleId="38">
    <w:name w:val="footer"/>
    <w:basedOn w:val="1"/>
    <w:link w:val="183"/>
    <w:qFormat/>
    <w:uiPriority w:val="99"/>
    <w:pPr>
      <w:tabs>
        <w:tab w:val="center" w:pos="4153"/>
        <w:tab w:val="right" w:pos="8306"/>
      </w:tabs>
      <w:snapToGrid w:val="0"/>
      <w:jc w:val="left"/>
    </w:pPr>
    <w:rPr>
      <w:rFonts w:ascii="Times New Roman"/>
      <w:kern w:val="2"/>
      <w:sz w:val="18"/>
    </w:rPr>
  </w:style>
  <w:style w:type="paragraph" w:styleId="39">
    <w:name w:val="header"/>
    <w:basedOn w:val="1"/>
    <w:link w:val="103"/>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0">
    <w:name w:val="toc 1"/>
    <w:basedOn w:val="1"/>
    <w:next w:val="1"/>
    <w:qFormat/>
    <w:uiPriority w:val="39"/>
    <w:pPr>
      <w:spacing w:before="120" w:after="120"/>
      <w:jc w:val="left"/>
    </w:pPr>
    <w:rPr>
      <w:caps/>
      <w:szCs w:val="24"/>
    </w:rPr>
  </w:style>
  <w:style w:type="paragraph" w:styleId="41">
    <w:name w:val="List Continue 4"/>
    <w:basedOn w:val="1"/>
    <w:qFormat/>
    <w:uiPriority w:val="0"/>
    <w:pPr>
      <w:spacing w:after="120"/>
      <w:ind w:left="1680" w:leftChars="800"/>
    </w:pPr>
    <w:rPr>
      <w:rFonts w:ascii="Calibri" w:hAnsi="Calibri"/>
      <w:kern w:val="2"/>
      <w:sz w:val="21"/>
      <w:szCs w:val="22"/>
    </w:rPr>
  </w:style>
  <w:style w:type="paragraph" w:styleId="42">
    <w:name w:val="toc 4"/>
    <w:basedOn w:val="1"/>
    <w:next w:val="1"/>
    <w:qFormat/>
    <w:uiPriority w:val="39"/>
    <w:pPr>
      <w:ind w:left="630"/>
      <w:jc w:val="left"/>
    </w:pPr>
    <w:rPr>
      <w:szCs w:val="21"/>
    </w:rPr>
  </w:style>
  <w:style w:type="paragraph" w:styleId="43">
    <w:name w:val="index heading"/>
    <w:basedOn w:val="1"/>
    <w:next w:val="44"/>
    <w:qFormat/>
    <w:uiPriority w:val="0"/>
  </w:style>
  <w:style w:type="paragraph" w:styleId="44">
    <w:name w:val="index 1"/>
    <w:basedOn w:val="1"/>
    <w:next w:val="1"/>
    <w:qFormat/>
    <w:uiPriority w:val="0"/>
    <w:pPr>
      <w:spacing w:line="300" w:lineRule="exact"/>
    </w:pPr>
    <w:rPr>
      <w:rFonts w:hAnsi="宋体"/>
      <w:b/>
      <w:bCs/>
      <w:szCs w:val="21"/>
    </w:rPr>
  </w:style>
  <w:style w:type="paragraph" w:styleId="45">
    <w:name w:val="Subtitle"/>
    <w:basedOn w:val="1"/>
    <w:link w:val="76"/>
    <w:qFormat/>
    <w:uiPriority w:val="0"/>
    <w:pPr>
      <w:spacing w:before="240" w:after="60" w:line="312" w:lineRule="auto"/>
      <w:jc w:val="center"/>
      <w:outlineLvl w:val="1"/>
    </w:pPr>
    <w:rPr>
      <w:rFonts w:ascii="Arial" w:hAnsi="Arial" w:cs="Arial"/>
      <w:b/>
      <w:bCs/>
      <w:kern w:val="28"/>
      <w:sz w:val="32"/>
      <w:szCs w:val="32"/>
    </w:rPr>
  </w:style>
  <w:style w:type="paragraph" w:styleId="46">
    <w:name w:val="List"/>
    <w:basedOn w:val="1"/>
    <w:qFormat/>
    <w:uiPriority w:val="0"/>
    <w:pPr>
      <w:ind w:left="200" w:hanging="200" w:hangingChars="200"/>
    </w:pPr>
    <w:rPr>
      <w:szCs w:val="24"/>
    </w:rPr>
  </w:style>
  <w:style w:type="paragraph" w:styleId="47">
    <w:name w:val="footnote text"/>
    <w:basedOn w:val="1"/>
    <w:link w:val="168"/>
    <w:qFormat/>
    <w:uiPriority w:val="0"/>
    <w:pPr>
      <w:adjustRightInd w:val="0"/>
      <w:snapToGrid w:val="0"/>
      <w:spacing w:line="420" w:lineRule="atLeast"/>
      <w:ind w:firstLine="454"/>
      <w:jc w:val="left"/>
      <w:textAlignment w:val="baseline"/>
    </w:pPr>
    <w:rPr>
      <w:rFonts w:ascii="Calibri" w:hAnsi="Calibri"/>
      <w:bCs/>
      <w:sz w:val="18"/>
    </w:rPr>
  </w:style>
  <w:style w:type="paragraph" w:styleId="48">
    <w:name w:val="toc 6"/>
    <w:basedOn w:val="1"/>
    <w:next w:val="1"/>
    <w:qFormat/>
    <w:uiPriority w:val="39"/>
    <w:pPr>
      <w:ind w:left="1050"/>
      <w:jc w:val="left"/>
    </w:pPr>
    <w:rPr>
      <w:szCs w:val="21"/>
    </w:rPr>
  </w:style>
  <w:style w:type="paragraph" w:styleId="49">
    <w:name w:val="Body Text Indent 3"/>
    <w:basedOn w:val="1"/>
    <w:link w:val="157"/>
    <w:qFormat/>
    <w:uiPriority w:val="0"/>
    <w:pPr>
      <w:ind w:firstLine="645"/>
    </w:pPr>
    <w:rPr>
      <w:rFonts w:ascii="仿宋_GB2312" w:hAnsi="Arial" w:eastAsia="仿宋_GB2312"/>
      <w:color w:val="000000"/>
      <w:sz w:val="30"/>
    </w:rPr>
  </w:style>
  <w:style w:type="paragraph" w:styleId="50">
    <w:name w:val="index 7"/>
    <w:basedOn w:val="1"/>
    <w:next w:val="1"/>
    <w:qFormat/>
    <w:uiPriority w:val="0"/>
    <w:pPr>
      <w:ind w:left="1200" w:leftChars="1200"/>
    </w:pPr>
  </w:style>
  <w:style w:type="paragraph" w:styleId="51">
    <w:name w:val="index 9"/>
    <w:basedOn w:val="1"/>
    <w:next w:val="1"/>
    <w:qFormat/>
    <w:uiPriority w:val="0"/>
    <w:pPr>
      <w:ind w:left="1600" w:leftChars="1600"/>
    </w:pPr>
  </w:style>
  <w:style w:type="paragraph" w:styleId="52">
    <w:name w:val="toc 2"/>
    <w:basedOn w:val="1"/>
    <w:next w:val="1"/>
    <w:qFormat/>
    <w:uiPriority w:val="39"/>
    <w:pPr>
      <w:ind w:left="210"/>
      <w:jc w:val="left"/>
    </w:pPr>
    <w:rPr>
      <w:smallCaps/>
      <w:sz w:val="28"/>
      <w:szCs w:val="24"/>
    </w:rPr>
  </w:style>
  <w:style w:type="paragraph" w:styleId="53">
    <w:name w:val="toc 9"/>
    <w:basedOn w:val="1"/>
    <w:next w:val="1"/>
    <w:uiPriority w:val="39"/>
    <w:pPr>
      <w:ind w:left="1680"/>
      <w:jc w:val="left"/>
    </w:pPr>
    <w:rPr>
      <w:szCs w:val="21"/>
    </w:rPr>
  </w:style>
  <w:style w:type="paragraph" w:styleId="54">
    <w:name w:val="Body Text 2"/>
    <w:basedOn w:val="1"/>
    <w:link w:val="139"/>
    <w:qFormat/>
    <w:uiPriority w:val="0"/>
    <w:rPr>
      <w:rFonts w:ascii="仿宋_GB2312" w:eastAsia="仿宋_GB2312"/>
      <w:b/>
    </w:rPr>
  </w:style>
  <w:style w:type="paragraph" w:styleId="55">
    <w:name w:val="List 4"/>
    <w:basedOn w:val="1"/>
    <w:qFormat/>
    <w:uiPriority w:val="0"/>
    <w:pPr>
      <w:ind w:left="100" w:leftChars="600" w:hanging="200" w:hangingChars="200"/>
    </w:pPr>
    <w:rPr>
      <w:rFonts w:ascii="Calibri" w:hAnsi="Calibri"/>
      <w:kern w:val="2"/>
      <w:sz w:val="21"/>
      <w:szCs w:val="22"/>
    </w:rPr>
  </w:style>
  <w:style w:type="paragraph" w:styleId="56">
    <w:name w:val="List Continue 2"/>
    <w:basedOn w:val="1"/>
    <w:qFormat/>
    <w:uiPriority w:val="0"/>
    <w:pPr>
      <w:spacing w:after="120"/>
      <w:ind w:left="840" w:leftChars="400"/>
    </w:pPr>
    <w:rPr>
      <w:rFonts w:ascii="Calibri" w:hAnsi="Calibri"/>
      <w:kern w:val="2"/>
      <w:sz w:val="21"/>
      <w:szCs w:val="22"/>
    </w:rPr>
  </w:style>
  <w:style w:type="paragraph" w:styleId="57">
    <w:name w:val="Normal (Web)"/>
    <w:basedOn w:val="1"/>
    <w:qFormat/>
    <w:uiPriority w:val="0"/>
    <w:pPr>
      <w:widowControl/>
      <w:spacing w:before="100" w:beforeAutospacing="1" w:after="100" w:afterAutospacing="1"/>
      <w:jc w:val="left"/>
    </w:pPr>
    <w:rPr>
      <w:rFonts w:hAnsi="宋体"/>
      <w:szCs w:val="24"/>
    </w:rPr>
  </w:style>
  <w:style w:type="paragraph" w:styleId="58">
    <w:name w:val="index 2"/>
    <w:basedOn w:val="1"/>
    <w:next w:val="1"/>
    <w:qFormat/>
    <w:uiPriority w:val="0"/>
    <w:pPr>
      <w:ind w:left="200" w:leftChars="200"/>
    </w:pPr>
  </w:style>
  <w:style w:type="paragraph" w:styleId="59">
    <w:name w:val="Title"/>
    <w:basedOn w:val="1"/>
    <w:next w:val="1"/>
    <w:link w:val="167"/>
    <w:qFormat/>
    <w:uiPriority w:val="0"/>
    <w:pPr>
      <w:spacing w:before="240" w:after="60"/>
      <w:jc w:val="center"/>
      <w:outlineLvl w:val="0"/>
    </w:pPr>
    <w:rPr>
      <w:rFonts w:ascii="Cambria" w:hAnsi="Cambria"/>
      <w:b/>
      <w:bCs/>
      <w:kern w:val="2"/>
      <w:sz w:val="32"/>
      <w:szCs w:val="32"/>
    </w:rPr>
  </w:style>
  <w:style w:type="paragraph" w:styleId="60">
    <w:name w:val="annotation subject"/>
    <w:basedOn w:val="20"/>
    <w:next w:val="20"/>
    <w:link w:val="181"/>
    <w:qFormat/>
    <w:uiPriority w:val="0"/>
    <w:rPr>
      <w:rFonts w:ascii="宋体"/>
      <w:b/>
      <w:bCs/>
      <w:kern w:val="0"/>
      <w:sz w:val="28"/>
    </w:rPr>
  </w:style>
  <w:style w:type="paragraph" w:styleId="61">
    <w:name w:val="Body Text First Indent"/>
    <w:basedOn w:val="1"/>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0"/>
    <w:rPr>
      <w:b/>
      <w:bCs/>
    </w:rPr>
  </w:style>
  <w:style w:type="character" w:styleId="66">
    <w:name w:val="page number"/>
    <w:basedOn w:val="64"/>
    <w:qFormat/>
    <w:uiPriority w:val="0"/>
  </w:style>
  <w:style w:type="character" w:styleId="67">
    <w:name w:val="FollowedHyperlink"/>
    <w:basedOn w:val="64"/>
    <w:qFormat/>
    <w:uiPriority w:val="99"/>
    <w:rPr>
      <w:color w:val="2490F8"/>
      <w:u w:val="none"/>
    </w:rPr>
  </w:style>
  <w:style w:type="character" w:styleId="68">
    <w:name w:val="Emphasis"/>
    <w:qFormat/>
    <w:uiPriority w:val="0"/>
    <w:rPr>
      <w:color w:val="CC0033"/>
    </w:rPr>
  </w:style>
  <w:style w:type="character" w:styleId="69">
    <w:name w:val="HTML Definition"/>
    <w:basedOn w:val="64"/>
    <w:semiHidden/>
    <w:unhideWhenUsed/>
    <w:qFormat/>
    <w:uiPriority w:val="99"/>
  </w:style>
  <w:style w:type="character" w:styleId="70">
    <w:name w:val="HTML Variable"/>
    <w:basedOn w:val="64"/>
    <w:semiHidden/>
    <w:unhideWhenUsed/>
    <w:uiPriority w:val="99"/>
  </w:style>
  <w:style w:type="character" w:styleId="71">
    <w:name w:val="Hyperlink"/>
    <w:basedOn w:val="64"/>
    <w:qFormat/>
    <w:uiPriority w:val="99"/>
    <w:rPr>
      <w:color w:val="2490F8"/>
      <w:u w:val="none"/>
    </w:rPr>
  </w:style>
  <w:style w:type="character" w:styleId="72">
    <w:name w:val="HTML Code"/>
    <w:basedOn w:val="64"/>
    <w:semiHidden/>
    <w:unhideWhenUsed/>
    <w:qFormat/>
    <w:uiPriority w:val="99"/>
    <w:rPr>
      <w:rFonts w:ascii="微软雅黑" w:hAnsi="微软雅黑" w:eastAsia="微软雅黑" w:cs="微软雅黑"/>
      <w:sz w:val="20"/>
    </w:rPr>
  </w:style>
  <w:style w:type="character" w:styleId="73">
    <w:name w:val="annotation reference"/>
    <w:unhideWhenUsed/>
    <w:qFormat/>
    <w:uiPriority w:val="99"/>
    <w:rPr>
      <w:sz w:val="21"/>
      <w:szCs w:val="21"/>
    </w:rPr>
  </w:style>
  <w:style w:type="character" w:styleId="74">
    <w:name w:val="HTML Cite"/>
    <w:basedOn w:val="64"/>
    <w:semiHidden/>
    <w:unhideWhenUsed/>
    <w:qFormat/>
    <w:uiPriority w:val="99"/>
  </w:style>
  <w:style w:type="character" w:customStyle="1" w:styleId="75">
    <w:name w:val="正文文本缩进 Char"/>
    <w:link w:val="25"/>
    <w:qFormat/>
    <w:uiPriority w:val="0"/>
    <w:rPr>
      <w:rFonts w:ascii="楷体_GB2312" w:eastAsia="楷体_GB2312"/>
      <w:kern w:val="2"/>
      <w:sz w:val="32"/>
    </w:rPr>
  </w:style>
  <w:style w:type="character" w:customStyle="1" w:styleId="76">
    <w:name w:val="副标题 Char"/>
    <w:link w:val="45"/>
    <w:qFormat/>
    <w:uiPriority w:val="0"/>
    <w:rPr>
      <w:rFonts w:ascii="Arial" w:hAnsi="Arial" w:eastAsia="宋体" w:cs="Arial"/>
      <w:b/>
      <w:bCs/>
      <w:kern w:val="28"/>
      <w:sz w:val="32"/>
      <w:szCs w:val="32"/>
      <w:lang w:val="en-US" w:eastAsia="zh-CN" w:bidi="ar-SA"/>
    </w:rPr>
  </w:style>
  <w:style w:type="character" w:customStyle="1" w:styleId="77">
    <w:name w:val="标题 6 Char1"/>
    <w:semiHidden/>
    <w:qFormat/>
    <w:uiPriority w:val="0"/>
    <w:rPr>
      <w:rFonts w:ascii="Cambria" w:hAnsi="Cambria" w:eastAsia="宋体"/>
      <w:b/>
      <w:kern w:val="2"/>
      <w:sz w:val="24"/>
      <w:szCs w:val="24"/>
    </w:rPr>
  </w:style>
  <w:style w:type="character" w:customStyle="1" w:styleId="78">
    <w:name w:val="脚注文本 Char_0"/>
    <w:link w:val="79"/>
    <w:qFormat/>
    <w:uiPriority w:val="0"/>
    <w:rPr>
      <w:sz w:val="18"/>
    </w:rPr>
  </w:style>
  <w:style w:type="paragraph" w:customStyle="1" w:styleId="79">
    <w:name w:val="脚注文本_0"/>
    <w:basedOn w:val="80"/>
    <w:link w:val="78"/>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0">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Char1"/>
    <w:qFormat/>
    <w:uiPriority w:val="10"/>
    <w:rPr>
      <w:rFonts w:ascii="Calibri Light" w:hAnsi="Calibri Light" w:cs="Times New Roman"/>
      <w:b/>
      <w:bCs/>
      <w:kern w:val="2"/>
      <w:sz w:val="32"/>
      <w:szCs w:val="32"/>
    </w:rPr>
  </w:style>
  <w:style w:type="character" w:customStyle="1" w:styleId="82">
    <w:name w:val="Blockquote Char"/>
    <w:link w:val="83"/>
    <w:qFormat/>
    <w:uiPriority w:val="0"/>
    <w:rPr>
      <w:rFonts w:ascii="宋体"/>
      <w:sz w:val="24"/>
    </w:rPr>
  </w:style>
  <w:style w:type="paragraph" w:customStyle="1" w:styleId="83">
    <w:name w:val="Blockquote"/>
    <w:basedOn w:val="1"/>
    <w:link w:val="82"/>
    <w:qFormat/>
    <w:uiPriority w:val="0"/>
    <w:pPr>
      <w:autoSpaceDE w:val="0"/>
      <w:autoSpaceDN w:val="0"/>
      <w:adjustRightInd w:val="0"/>
      <w:spacing w:before="100" w:after="100"/>
      <w:ind w:left="360" w:right="360"/>
      <w:jc w:val="left"/>
    </w:pPr>
  </w:style>
  <w:style w:type="character" w:customStyle="1" w:styleId="84">
    <w:name w:val="脚注文本 Char1"/>
    <w:qFormat/>
    <w:uiPriority w:val="0"/>
    <w:rPr>
      <w:kern w:val="2"/>
      <w:sz w:val="18"/>
      <w:szCs w:val="18"/>
    </w:rPr>
  </w:style>
  <w:style w:type="character" w:customStyle="1" w:styleId="85">
    <w:name w:val="标题 3 Char2"/>
    <w:qFormat/>
    <w:uiPriority w:val="0"/>
    <w:rPr>
      <w:rFonts w:ascii="Calibri" w:hAnsi="Calibri" w:eastAsia="黑体"/>
      <w:b/>
      <w:bCs/>
      <w:kern w:val="2"/>
      <w:sz w:val="32"/>
      <w:szCs w:val="32"/>
    </w:rPr>
  </w:style>
  <w:style w:type="character" w:customStyle="1" w:styleId="86">
    <w:name w:val="批注框文本 Char"/>
    <w:link w:val="37"/>
    <w:qFormat/>
    <w:uiPriority w:val="99"/>
    <w:rPr>
      <w:rFonts w:ascii="宋体"/>
      <w:sz w:val="18"/>
      <w:szCs w:val="18"/>
    </w:rPr>
  </w:style>
  <w:style w:type="character" w:customStyle="1" w:styleId="87">
    <w:name w:val="标题5 Char Char"/>
    <w:link w:val="88"/>
    <w:qFormat/>
    <w:uiPriority w:val="0"/>
    <w:rPr>
      <w:rFonts w:ascii="Arial" w:hAnsi="Arial"/>
      <w:b/>
      <w:bCs/>
      <w:sz w:val="24"/>
      <w:szCs w:val="32"/>
      <w:lang w:bidi="ar-SA"/>
    </w:rPr>
  </w:style>
  <w:style w:type="paragraph" w:customStyle="1" w:styleId="88">
    <w:name w:val="标题5"/>
    <w:basedOn w:val="4"/>
    <w:link w:val="87"/>
    <w:qFormat/>
    <w:uiPriority w:val="0"/>
    <w:pPr>
      <w:spacing w:line="413" w:lineRule="auto"/>
      <w:jc w:val="both"/>
    </w:pPr>
    <w:rPr>
      <w:rFonts w:ascii="Arial" w:hAnsi="Arial"/>
      <w:kern w:val="0"/>
      <w:sz w:val="24"/>
    </w:rPr>
  </w:style>
  <w:style w:type="character" w:customStyle="1" w:styleId="89">
    <w:name w:val="页脚 字符"/>
    <w:qFormat/>
    <w:uiPriority w:val="99"/>
    <w:rPr>
      <w:kern w:val="2"/>
      <w:sz w:val="18"/>
    </w:rPr>
  </w:style>
  <w:style w:type="character" w:customStyle="1" w:styleId="90">
    <w:name w:val="纯文本 Char1_1"/>
    <w:link w:val="91"/>
    <w:qFormat/>
    <w:uiPriority w:val="0"/>
    <w:rPr>
      <w:rFonts w:ascii="宋体" w:hAnsi="Courier New"/>
      <w:kern w:val="2"/>
      <w:sz w:val="21"/>
      <w:szCs w:val="21"/>
    </w:rPr>
  </w:style>
  <w:style w:type="paragraph" w:customStyle="1" w:styleId="91">
    <w:name w:val="纯文本_2"/>
    <w:basedOn w:val="92"/>
    <w:link w:val="90"/>
    <w:qFormat/>
    <w:uiPriority w:val="0"/>
    <w:rPr>
      <w:rFonts w:ascii="宋体" w:hAnsi="Courier New"/>
      <w:szCs w:val="21"/>
    </w:rPr>
  </w:style>
  <w:style w:type="paragraph" w:customStyle="1" w:styleId="9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日期 Char"/>
    <w:link w:val="35"/>
    <w:qFormat/>
    <w:uiPriority w:val="0"/>
    <w:rPr>
      <w:rFonts w:eastAsia="宋体"/>
      <w:b/>
      <w:kern w:val="2"/>
      <w:sz w:val="28"/>
      <w:lang w:val="en-US" w:eastAsia="zh-CN" w:bidi="ar-SA"/>
    </w:rPr>
  </w:style>
  <w:style w:type="character" w:customStyle="1" w:styleId="94">
    <w:name w:val="标题 6 Char_0"/>
    <w:link w:val="95"/>
    <w:qFormat/>
    <w:uiPriority w:val="0"/>
    <w:rPr>
      <w:rFonts w:ascii="Arial" w:hAnsi="Arial" w:eastAsia="黑体"/>
      <w:b/>
      <w:bCs/>
      <w:sz w:val="24"/>
      <w:szCs w:val="24"/>
    </w:rPr>
  </w:style>
  <w:style w:type="paragraph" w:customStyle="1" w:styleId="95">
    <w:name w:val="标题 6_0"/>
    <w:basedOn w:val="92"/>
    <w:next w:val="92"/>
    <w:link w:val="94"/>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6">
    <w:name w:val="Blockquote Char_0_1"/>
    <w:link w:val="97"/>
    <w:qFormat/>
    <w:locked/>
    <w:uiPriority w:val="0"/>
    <w:rPr>
      <w:sz w:val="24"/>
    </w:rPr>
  </w:style>
  <w:style w:type="paragraph" w:customStyle="1" w:styleId="97">
    <w:name w:val="Blockquote_0_1"/>
    <w:basedOn w:val="98"/>
    <w:link w:val="96"/>
    <w:qFormat/>
    <w:uiPriority w:val="0"/>
    <w:pPr>
      <w:autoSpaceDE w:val="0"/>
      <w:autoSpaceDN w:val="0"/>
      <w:adjustRightInd w:val="0"/>
      <w:spacing w:before="100" w:after="100"/>
      <w:ind w:left="360" w:right="360"/>
      <w:jc w:val="left"/>
    </w:pPr>
    <w:rPr>
      <w:kern w:val="0"/>
      <w:sz w:val="24"/>
      <w:szCs w:val="20"/>
    </w:rPr>
  </w:style>
  <w:style w:type="paragraph" w:customStyle="1" w:styleId="9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标题 7 Char_0"/>
    <w:link w:val="100"/>
    <w:qFormat/>
    <w:uiPriority w:val="0"/>
    <w:rPr>
      <w:b/>
      <w:bCs/>
      <w:sz w:val="24"/>
      <w:szCs w:val="24"/>
    </w:rPr>
  </w:style>
  <w:style w:type="paragraph" w:customStyle="1" w:styleId="100">
    <w:name w:val="标题 7_0"/>
    <w:basedOn w:val="92"/>
    <w:next w:val="92"/>
    <w:link w:val="99"/>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1">
    <w:name w:val="tdrownotice1"/>
    <w:qFormat/>
    <w:uiPriority w:val="0"/>
    <w:rPr>
      <w:sz w:val="22"/>
    </w:rPr>
  </w:style>
  <w:style w:type="character" w:customStyle="1" w:styleId="102">
    <w:name w:val="font01"/>
    <w:qFormat/>
    <w:uiPriority w:val="0"/>
    <w:rPr>
      <w:rFonts w:ascii="font-weight : 400" w:hAnsi="font-weight : 400" w:eastAsia="font-weight : 400" w:cs="font-weight : 400"/>
      <w:color w:val="000000"/>
      <w:sz w:val="22"/>
      <w:szCs w:val="22"/>
      <w:u w:val="none"/>
    </w:rPr>
  </w:style>
  <w:style w:type="character" w:customStyle="1" w:styleId="103">
    <w:name w:val="页眉 Char"/>
    <w:link w:val="39"/>
    <w:qFormat/>
    <w:uiPriority w:val="99"/>
    <w:rPr>
      <w:rFonts w:eastAsia="宋体"/>
      <w:kern w:val="2"/>
      <w:sz w:val="18"/>
      <w:lang w:val="en-US" w:eastAsia="zh-CN" w:bidi="ar-SA"/>
    </w:rPr>
  </w:style>
  <w:style w:type="character" w:customStyle="1" w:styleId="104">
    <w:name w:val="引用 Char"/>
    <w:link w:val="105"/>
    <w:qFormat/>
    <w:uiPriority w:val="0"/>
    <w:rPr>
      <w:i/>
      <w:iCs/>
      <w:color w:val="000000"/>
      <w:kern w:val="2"/>
      <w:sz w:val="21"/>
      <w:szCs w:val="22"/>
      <w:lang w:bidi="ar-SA"/>
    </w:rPr>
  </w:style>
  <w:style w:type="paragraph" w:styleId="105">
    <w:name w:val="Quote"/>
    <w:basedOn w:val="1"/>
    <w:next w:val="1"/>
    <w:link w:val="104"/>
    <w:qFormat/>
    <w:uiPriority w:val="0"/>
    <w:rPr>
      <w:rFonts w:ascii="Times New Roman"/>
      <w:i/>
      <w:iCs/>
      <w:color w:val="000000"/>
      <w:kern w:val="2"/>
      <w:sz w:val="21"/>
      <w:szCs w:val="22"/>
    </w:rPr>
  </w:style>
  <w:style w:type="character" w:customStyle="1" w:styleId="106">
    <w:name w:val="Texte Char1"/>
    <w:link w:val="107"/>
    <w:qFormat/>
    <w:uiPriority w:val="99"/>
    <w:rPr>
      <w:rFonts w:ascii="宋体" w:hAnsi="Courier New"/>
      <w:kern w:val="2"/>
      <w:sz w:val="21"/>
      <w:szCs w:val="21"/>
      <w:lang w:val="en-US" w:eastAsia="zh-CN"/>
    </w:rPr>
  </w:style>
  <w:style w:type="paragraph" w:customStyle="1" w:styleId="107">
    <w:name w:val="纯文本_0"/>
    <w:basedOn w:val="108"/>
    <w:link w:val="106"/>
    <w:qFormat/>
    <w:uiPriority w:val="99"/>
    <w:rPr>
      <w:rFonts w:ascii="宋体" w:hAnsi="Courier New" w:cs="Times New Roman"/>
      <w:szCs w:val="21"/>
    </w:rPr>
  </w:style>
  <w:style w:type="paragraph" w:customStyle="1" w:styleId="108">
    <w:name w:val="正文_0"/>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9">
    <w:name w:val="标题 3 Char_0"/>
    <w:link w:val="110"/>
    <w:qFormat/>
    <w:uiPriority w:val="0"/>
    <w:rPr>
      <w:b/>
      <w:sz w:val="32"/>
    </w:rPr>
  </w:style>
  <w:style w:type="paragraph" w:customStyle="1" w:styleId="110">
    <w:name w:val="标题 3_0"/>
    <w:basedOn w:val="92"/>
    <w:next w:val="111"/>
    <w:link w:val="109"/>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1">
    <w:name w:val="正文缩进_0"/>
    <w:basedOn w:val="92"/>
    <w:unhideWhenUsed/>
    <w:qFormat/>
    <w:uiPriority w:val="0"/>
    <w:pPr>
      <w:ind w:firstLine="420" w:firstLineChars="200"/>
    </w:pPr>
    <w:rPr>
      <w:rFonts w:ascii="Calibri" w:hAnsi="Calibri"/>
      <w:bCs/>
      <w:szCs w:val="32"/>
    </w:rPr>
  </w:style>
  <w:style w:type="character" w:customStyle="1" w:styleId="112">
    <w:name w:val="标题 2 Char"/>
    <w:link w:val="3"/>
    <w:qFormat/>
    <w:uiPriority w:val="9"/>
    <w:rPr>
      <w:rFonts w:ascii="Arial" w:hAnsi="Arial" w:eastAsia="黑体"/>
      <w:b/>
      <w:bCs/>
      <w:kern w:val="2"/>
      <w:sz w:val="32"/>
      <w:szCs w:val="32"/>
      <w:lang w:val="en-US" w:eastAsia="zh-CN" w:bidi="ar-SA"/>
    </w:rPr>
  </w:style>
  <w:style w:type="character" w:customStyle="1" w:styleId="113">
    <w:name w:val="标题 1 Char1"/>
    <w:qFormat/>
    <w:uiPriority w:val="0"/>
    <w:rPr>
      <w:rFonts w:ascii="Calibri" w:hAnsi="Calibri" w:eastAsia="宋体"/>
      <w:b/>
      <w:kern w:val="44"/>
      <w:sz w:val="44"/>
      <w:szCs w:val="44"/>
    </w:rPr>
  </w:style>
  <w:style w:type="character" w:customStyle="1" w:styleId="114">
    <w:name w:val="标题 7 Char1"/>
    <w:semiHidden/>
    <w:qFormat/>
    <w:uiPriority w:val="0"/>
    <w:rPr>
      <w:rFonts w:ascii="Calibri" w:hAnsi="Calibri" w:eastAsia="宋体"/>
      <w:b/>
      <w:kern w:val="2"/>
      <w:sz w:val="24"/>
      <w:szCs w:val="24"/>
    </w:rPr>
  </w:style>
  <w:style w:type="character" w:customStyle="1" w:styleId="115">
    <w:name w:val="Blockquote Char_0"/>
    <w:link w:val="116"/>
    <w:qFormat/>
    <w:locked/>
    <w:uiPriority w:val="0"/>
    <w:rPr>
      <w:sz w:val="24"/>
    </w:rPr>
  </w:style>
  <w:style w:type="paragraph" w:customStyle="1" w:styleId="116">
    <w:name w:val="Blockquote_0"/>
    <w:basedOn w:val="92"/>
    <w:link w:val="115"/>
    <w:qFormat/>
    <w:uiPriority w:val="0"/>
    <w:pPr>
      <w:autoSpaceDE w:val="0"/>
      <w:autoSpaceDN w:val="0"/>
      <w:adjustRightInd w:val="0"/>
      <w:spacing w:before="100" w:after="100"/>
      <w:ind w:left="360" w:right="360"/>
      <w:jc w:val="left"/>
    </w:pPr>
    <w:rPr>
      <w:kern w:val="0"/>
      <w:sz w:val="24"/>
      <w:szCs w:val="20"/>
    </w:rPr>
  </w:style>
  <w:style w:type="character" w:customStyle="1" w:styleId="117">
    <w:name w:val="封面日期 Char Char"/>
    <w:qFormat/>
    <w:uiPriority w:val="0"/>
    <w:rPr>
      <w:rFonts w:ascii="Times New Roman" w:hAnsi="Times New Roman" w:eastAsia="宋体" w:cs="Times New Roman"/>
      <w:b/>
      <w:sz w:val="28"/>
      <w:szCs w:val="20"/>
    </w:rPr>
  </w:style>
  <w:style w:type="character" w:customStyle="1" w:styleId="118">
    <w:name w:val="称呼 Char1"/>
    <w:qFormat/>
    <w:uiPriority w:val="0"/>
    <w:rPr>
      <w:kern w:val="2"/>
      <w:sz w:val="21"/>
      <w:szCs w:val="24"/>
    </w:rPr>
  </w:style>
  <w:style w:type="character" w:customStyle="1" w:styleId="119">
    <w:name w:val="纯文本 Char1_0"/>
    <w:link w:val="120"/>
    <w:qFormat/>
    <w:uiPriority w:val="0"/>
    <w:rPr>
      <w:rFonts w:ascii="宋体" w:hAnsi="Courier New"/>
      <w:kern w:val="2"/>
      <w:sz w:val="21"/>
      <w:szCs w:val="21"/>
    </w:rPr>
  </w:style>
  <w:style w:type="paragraph" w:customStyle="1" w:styleId="120">
    <w:name w:val="纯文本_1"/>
    <w:basedOn w:val="121"/>
    <w:link w:val="119"/>
    <w:qFormat/>
    <w:uiPriority w:val="0"/>
    <w:rPr>
      <w:rFonts w:ascii="宋体" w:hAnsi="Courier New"/>
      <w:szCs w:val="21"/>
    </w:rPr>
  </w:style>
  <w:style w:type="paragraph" w:customStyle="1" w:styleId="12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2">
    <w:name w:val="文档结构图 Char"/>
    <w:link w:val="18"/>
    <w:qFormat/>
    <w:uiPriority w:val="0"/>
    <w:rPr>
      <w:rFonts w:eastAsia="宋体"/>
      <w:kern w:val="2"/>
      <w:sz w:val="21"/>
      <w:lang w:val="en-US" w:eastAsia="zh-CN" w:bidi="ar-SA"/>
    </w:rPr>
  </w:style>
  <w:style w:type="character" w:customStyle="1" w:styleId="123">
    <w:name w:val="纯文本 Char1"/>
    <w:qFormat/>
    <w:uiPriority w:val="99"/>
    <w:rPr>
      <w:rFonts w:ascii="宋体" w:hAnsi="Courier New" w:eastAsia="宋体" w:cs="Courier New"/>
      <w:kern w:val="2"/>
      <w:sz w:val="21"/>
      <w:szCs w:val="21"/>
      <w:lang w:val="en-US" w:eastAsia="zh-CN" w:bidi="ar-SA"/>
    </w:rPr>
  </w:style>
  <w:style w:type="character" w:customStyle="1" w:styleId="124">
    <w:name w:val="称呼 Char"/>
    <w:link w:val="22"/>
    <w:qFormat/>
    <w:uiPriority w:val="0"/>
    <w:rPr>
      <w:rFonts w:ascii="仿宋_GB2312" w:eastAsia="仿宋_GB2312"/>
      <w:sz w:val="28"/>
    </w:rPr>
  </w:style>
  <w:style w:type="character" w:customStyle="1" w:styleId="125">
    <w:name w:val="t_tag"/>
    <w:qFormat/>
    <w:uiPriority w:val="0"/>
  </w:style>
  <w:style w:type="character" w:customStyle="1" w:styleId="126">
    <w:name w:val="标题 6 Char"/>
    <w:link w:val="7"/>
    <w:qFormat/>
    <w:uiPriority w:val="0"/>
    <w:rPr>
      <w:rFonts w:ascii="宋体" w:hAnsi="宋体" w:eastAsia="宋体"/>
      <w:sz w:val="28"/>
      <w:lang w:val="en-US" w:eastAsia="zh-CN" w:bidi="ar-SA"/>
    </w:rPr>
  </w:style>
  <w:style w:type="character" w:customStyle="1" w:styleId="127">
    <w:name w:val="Char Char3"/>
    <w:qFormat/>
    <w:uiPriority w:val="0"/>
    <w:rPr>
      <w:rFonts w:eastAsia="宋体"/>
      <w:kern w:val="2"/>
      <w:sz w:val="21"/>
      <w:lang w:val="en-US" w:eastAsia="zh-CN" w:bidi="ar-SA"/>
    </w:rPr>
  </w:style>
  <w:style w:type="character" w:customStyle="1" w:styleId="128">
    <w:name w:val="标题 8 Char"/>
    <w:link w:val="9"/>
    <w:qFormat/>
    <w:uiPriority w:val="0"/>
    <w:rPr>
      <w:rFonts w:ascii="Arial" w:hAnsi="Arial" w:eastAsia="黑体"/>
      <w:sz w:val="24"/>
      <w:szCs w:val="24"/>
      <w:lang w:val="en-US" w:eastAsia="zh-CN" w:bidi="ar-SA"/>
    </w:rPr>
  </w:style>
  <w:style w:type="character" w:customStyle="1" w:styleId="129">
    <w:name w:val="正文文本 3 Char"/>
    <w:link w:val="23"/>
    <w:qFormat/>
    <w:uiPriority w:val="0"/>
    <w:rPr>
      <w:rFonts w:ascii="黑体" w:hAnsi="Arial" w:eastAsia="黑体"/>
      <w:b/>
      <w:sz w:val="28"/>
    </w:rPr>
  </w:style>
  <w:style w:type="character" w:customStyle="1" w:styleId="130">
    <w:name w:val="批注文字 Char"/>
    <w:link w:val="20"/>
    <w:qFormat/>
    <w:uiPriority w:val="99"/>
    <w:rPr>
      <w:rFonts w:eastAsia="宋体"/>
      <w:kern w:val="2"/>
      <w:sz w:val="21"/>
      <w:lang w:val="en-US" w:eastAsia="zh-CN" w:bidi="ar-SA"/>
    </w:rPr>
  </w:style>
  <w:style w:type="character" w:customStyle="1" w:styleId="131">
    <w:name w:val="引用 Char2"/>
    <w:qFormat/>
    <w:uiPriority w:val="29"/>
    <w:rPr>
      <w:i/>
      <w:iCs/>
      <w:color w:val="000000"/>
      <w:kern w:val="2"/>
      <w:sz w:val="21"/>
      <w:szCs w:val="24"/>
    </w:rPr>
  </w:style>
  <w:style w:type="character" w:customStyle="1" w:styleId="132">
    <w:name w:val="标题 4 Char_0"/>
    <w:link w:val="133"/>
    <w:qFormat/>
    <w:uiPriority w:val="0"/>
    <w:rPr>
      <w:rFonts w:ascii="Arial" w:hAnsi="Arial" w:eastAsia="黑体"/>
      <w:sz w:val="28"/>
    </w:rPr>
  </w:style>
  <w:style w:type="paragraph" w:customStyle="1" w:styleId="133">
    <w:name w:val="标题 4_0"/>
    <w:basedOn w:val="92"/>
    <w:next w:val="92"/>
    <w:link w:val="132"/>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4">
    <w:name w:val="标题 9 Char_0"/>
    <w:link w:val="135"/>
    <w:qFormat/>
    <w:uiPriority w:val="0"/>
    <w:rPr>
      <w:rFonts w:ascii="Arial" w:hAnsi="Arial" w:eastAsia="黑体"/>
      <w:sz w:val="21"/>
      <w:szCs w:val="21"/>
    </w:rPr>
  </w:style>
  <w:style w:type="paragraph" w:customStyle="1" w:styleId="135">
    <w:name w:val="标题 9_0"/>
    <w:basedOn w:val="92"/>
    <w:next w:val="92"/>
    <w:link w:val="134"/>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6">
    <w:name w:val="标题 2 Char_0"/>
    <w:link w:val="137"/>
    <w:qFormat/>
    <w:uiPriority w:val="0"/>
    <w:rPr>
      <w:rFonts w:ascii="黑体" w:hAnsi="宋体" w:eastAsia="黑体"/>
      <w:b/>
      <w:smallCaps/>
      <w:sz w:val="36"/>
      <w:szCs w:val="24"/>
    </w:rPr>
  </w:style>
  <w:style w:type="paragraph" w:customStyle="1" w:styleId="137">
    <w:name w:val="标题 2_0"/>
    <w:basedOn w:val="138"/>
    <w:next w:val="108"/>
    <w:link w:val="136"/>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9">
    <w:name w:val="正文文本 2 Char"/>
    <w:link w:val="54"/>
    <w:qFormat/>
    <w:uiPriority w:val="0"/>
    <w:rPr>
      <w:rFonts w:ascii="仿宋_GB2312" w:eastAsia="仿宋_GB2312"/>
      <w:b/>
      <w:sz w:val="24"/>
    </w:rPr>
  </w:style>
  <w:style w:type="character" w:customStyle="1" w:styleId="140">
    <w:name w:val="批注文字 Char1"/>
    <w:semiHidden/>
    <w:qFormat/>
    <w:uiPriority w:val="99"/>
  </w:style>
  <w:style w:type="character" w:customStyle="1" w:styleId="141">
    <w:name w:val="明显引用 Char1"/>
    <w:qFormat/>
    <w:uiPriority w:val="30"/>
    <w:rPr>
      <w:b/>
      <w:bCs/>
      <w:i/>
      <w:iCs/>
      <w:color w:val="4F81BD"/>
      <w:kern w:val="2"/>
      <w:sz w:val="21"/>
      <w:szCs w:val="24"/>
    </w:rPr>
  </w:style>
  <w:style w:type="character" w:customStyle="1" w:styleId="142">
    <w:name w:val="标题 8 Char1"/>
    <w:semiHidden/>
    <w:qFormat/>
    <w:uiPriority w:val="0"/>
    <w:rPr>
      <w:rFonts w:ascii="Cambria" w:hAnsi="Cambria" w:eastAsia="宋体"/>
      <w:kern w:val="2"/>
      <w:sz w:val="24"/>
      <w:szCs w:val="24"/>
    </w:rPr>
  </w:style>
  <w:style w:type="character" w:customStyle="1" w:styleId="143">
    <w:name w:val="font31"/>
    <w:qFormat/>
    <w:uiPriority w:val="0"/>
    <w:rPr>
      <w:rFonts w:hint="eastAsia" w:ascii="宋体" w:hAnsi="宋体" w:eastAsia="宋体" w:cs="宋体"/>
      <w:color w:val="FF0000"/>
      <w:sz w:val="24"/>
      <w:szCs w:val="24"/>
      <w:u w:val="none"/>
    </w:rPr>
  </w:style>
  <w:style w:type="character" w:customStyle="1" w:styleId="144">
    <w:name w:val="标题 3 Char"/>
    <w:link w:val="4"/>
    <w:qFormat/>
    <w:uiPriority w:val="0"/>
    <w:rPr>
      <w:rFonts w:ascii="宋体" w:eastAsia="宋体"/>
      <w:b/>
      <w:bCs/>
      <w:kern w:val="2"/>
      <w:sz w:val="32"/>
      <w:szCs w:val="32"/>
      <w:lang w:val="en-US" w:eastAsia="zh-CN" w:bidi="ar-SA"/>
    </w:rPr>
  </w:style>
  <w:style w:type="character" w:customStyle="1" w:styleId="145">
    <w:name w:val="标题 9 Char"/>
    <w:link w:val="10"/>
    <w:qFormat/>
    <w:uiPriority w:val="0"/>
    <w:rPr>
      <w:rFonts w:ascii="Arial" w:hAnsi="Arial" w:eastAsia="黑体"/>
      <w:sz w:val="21"/>
      <w:szCs w:val="21"/>
      <w:lang w:val="en-US" w:eastAsia="zh-CN" w:bidi="ar-SA"/>
    </w:rPr>
  </w:style>
  <w:style w:type="character" w:customStyle="1" w:styleId="146">
    <w:name w:val="批注框文本 Char1"/>
    <w:semiHidden/>
    <w:qFormat/>
    <w:uiPriority w:val="99"/>
    <w:rPr>
      <w:sz w:val="18"/>
      <w:szCs w:val="18"/>
    </w:rPr>
  </w:style>
  <w:style w:type="character" w:customStyle="1" w:styleId="147">
    <w:name w:val="批注主题 Char1"/>
    <w:qFormat/>
    <w:uiPriority w:val="99"/>
    <w:rPr>
      <w:rFonts w:eastAsia="宋体"/>
      <w:b/>
      <w:bCs/>
      <w:kern w:val="2"/>
      <w:sz w:val="21"/>
      <w:szCs w:val="24"/>
      <w:lang w:val="en-US" w:eastAsia="zh-CN" w:bidi="ar-SA"/>
    </w:rPr>
  </w:style>
  <w:style w:type="character" w:customStyle="1" w:styleId="148">
    <w:name w:val="标题 8 Char_0"/>
    <w:link w:val="149"/>
    <w:qFormat/>
    <w:uiPriority w:val="0"/>
    <w:rPr>
      <w:rFonts w:ascii="Arial" w:hAnsi="Arial" w:eastAsia="黑体"/>
      <w:sz w:val="24"/>
      <w:szCs w:val="24"/>
    </w:rPr>
  </w:style>
  <w:style w:type="paragraph" w:customStyle="1" w:styleId="149">
    <w:name w:val="标题 8_0"/>
    <w:basedOn w:val="92"/>
    <w:next w:val="92"/>
    <w:link w:val="148"/>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0">
    <w:name w:val="标题 9 Char1"/>
    <w:semiHidden/>
    <w:qFormat/>
    <w:uiPriority w:val="0"/>
    <w:rPr>
      <w:rFonts w:ascii="Cambria" w:hAnsi="Cambria" w:eastAsia="宋体"/>
      <w:kern w:val="2"/>
      <w:sz w:val="21"/>
      <w:szCs w:val="21"/>
    </w:rPr>
  </w:style>
  <w:style w:type="character" w:customStyle="1" w:styleId="151">
    <w:name w:val="标题 1 Char_0"/>
    <w:link w:val="152"/>
    <w:qFormat/>
    <w:uiPriority w:val="0"/>
    <w:rPr>
      <w:rFonts w:ascii="黑体" w:eastAsia="黑体"/>
      <w:sz w:val="52"/>
    </w:rPr>
  </w:style>
  <w:style w:type="paragraph" w:customStyle="1" w:styleId="152">
    <w:name w:val="标题 1_0"/>
    <w:basedOn w:val="92"/>
    <w:next w:val="92"/>
    <w:link w:val="151"/>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3">
    <w:name w:val="标题 4 Char"/>
    <w:link w:val="5"/>
    <w:qFormat/>
    <w:uiPriority w:val="0"/>
    <w:rPr>
      <w:rFonts w:ascii="Arial" w:hAnsi="Arial" w:eastAsia="黑体"/>
      <w:b/>
      <w:bCs/>
      <w:kern w:val="2"/>
      <w:sz w:val="28"/>
      <w:szCs w:val="28"/>
      <w:lang w:val="en-US" w:eastAsia="zh-CN" w:bidi="ar-SA"/>
    </w:rPr>
  </w:style>
  <w:style w:type="character" w:customStyle="1" w:styleId="154">
    <w:name w:val="引用 Char1"/>
    <w:qFormat/>
    <w:uiPriority w:val="29"/>
    <w:rPr>
      <w:i/>
      <w:iCs/>
      <w:color w:val="000000"/>
      <w:kern w:val="2"/>
      <w:sz w:val="21"/>
      <w:szCs w:val="24"/>
    </w:rPr>
  </w:style>
  <w:style w:type="character" w:customStyle="1" w:styleId="155">
    <w:name w:val="apple-converted-space"/>
    <w:qFormat/>
    <w:uiPriority w:val="0"/>
  </w:style>
  <w:style w:type="character" w:customStyle="1" w:styleId="156">
    <w:name w:val="ask-title2"/>
    <w:qFormat/>
    <w:uiPriority w:val="0"/>
  </w:style>
  <w:style w:type="character" w:customStyle="1" w:styleId="157">
    <w:name w:val="正文文本缩进 3 Char"/>
    <w:link w:val="49"/>
    <w:qFormat/>
    <w:uiPriority w:val="0"/>
    <w:rPr>
      <w:rFonts w:ascii="仿宋_GB2312" w:hAnsi="Arial" w:eastAsia="仿宋_GB2312"/>
      <w:color w:val="000000"/>
      <w:sz w:val="30"/>
    </w:rPr>
  </w:style>
  <w:style w:type="character" w:customStyle="1" w:styleId="158">
    <w:name w:val="标题4 Char Char"/>
    <w:link w:val="159"/>
    <w:qFormat/>
    <w:uiPriority w:val="0"/>
    <w:rPr>
      <w:rFonts w:ascii="Arial" w:hAnsi="Arial"/>
      <w:b/>
      <w:bCs/>
      <w:sz w:val="24"/>
      <w:szCs w:val="32"/>
      <w:lang w:bidi="ar-SA"/>
    </w:rPr>
  </w:style>
  <w:style w:type="paragraph" w:customStyle="1" w:styleId="159">
    <w:name w:val="标题4"/>
    <w:basedOn w:val="3"/>
    <w:next w:val="29"/>
    <w:link w:val="158"/>
    <w:qFormat/>
    <w:uiPriority w:val="0"/>
    <w:pPr>
      <w:spacing w:line="413" w:lineRule="auto"/>
      <w:ind w:firstLine="0"/>
      <w:jc w:val="both"/>
    </w:pPr>
    <w:rPr>
      <w:rFonts w:eastAsia="宋体"/>
      <w:kern w:val="0"/>
      <w:sz w:val="24"/>
    </w:rPr>
  </w:style>
  <w:style w:type="character" w:customStyle="1" w:styleId="160">
    <w:name w:val="标题 4 Char1"/>
    <w:semiHidden/>
    <w:qFormat/>
    <w:uiPriority w:val="0"/>
    <w:rPr>
      <w:rFonts w:ascii="Cambria" w:hAnsi="Cambria" w:eastAsia="宋体"/>
      <w:b/>
      <w:kern w:val="2"/>
      <w:sz w:val="28"/>
      <w:szCs w:val="28"/>
    </w:rPr>
  </w:style>
  <w:style w:type="character" w:customStyle="1" w:styleId="161">
    <w:name w:val="纯文本 Char"/>
    <w:link w:val="32"/>
    <w:qFormat/>
    <w:uiPriority w:val="0"/>
    <w:rPr>
      <w:rFonts w:ascii="宋体" w:hAnsi="Courier New" w:eastAsia="宋体"/>
      <w:kern w:val="2"/>
      <w:sz w:val="21"/>
      <w:lang w:val="en-US" w:eastAsia="zh-CN" w:bidi="ar-SA"/>
    </w:rPr>
  </w:style>
  <w:style w:type="character" w:customStyle="1" w:styleId="162">
    <w:name w:val="明显引用 Char"/>
    <w:link w:val="163"/>
    <w:qFormat/>
    <w:uiPriority w:val="0"/>
    <w:rPr>
      <w:b/>
      <w:bCs/>
      <w:i/>
      <w:iCs/>
      <w:color w:val="4F81BD"/>
      <w:kern w:val="2"/>
      <w:sz w:val="21"/>
      <w:szCs w:val="22"/>
      <w:lang w:bidi="ar-SA"/>
    </w:rPr>
  </w:style>
  <w:style w:type="paragraph" w:styleId="163">
    <w:name w:val="Intense Quote"/>
    <w:basedOn w:val="1"/>
    <w:next w:val="1"/>
    <w:link w:val="162"/>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4">
    <w:name w:val="批注主题 Char2"/>
    <w:qFormat/>
    <w:uiPriority w:val="0"/>
    <w:rPr>
      <w:rFonts w:eastAsia="宋体"/>
      <w:b/>
      <w:bCs/>
      <w:kern w:val="2"/>
      <w:sz w:val="21"/>
      <w:szCs w:val="24"/>
      <w:lang w:val="en-US" w:eastAsia="zh-CN" w:bidi="ar-SA"/>
    </w:rPr>
  </w:style>
  <w:style w:type="character" w:customStyle="1" w:styleId="165">
    <w:name w:val="标题 5 Char1"/>
    <w:semiHidden/>
    <w:qFormat/>
    <w:uiPriority w:val="0"/>
    <w:rPr>
      <w:rFonts w:ascii="Calibri" w:hAnsi="Calibri" w:eastAsia="宋体"/>
      <w:b/>
      <w:kern w:val="2"/>
      <w:sz w:val="28"/>
      <w:szCs w:val="28"/>
    </w:rPr>
  </w:style>
  <w:style w:type="character" w:customStyle="1" w:styleId="166">
    <w:name w:val="日期 Char1"/>
    <w:qFormat/>
    <w:uiPriority w:val="0"/>
    <w:rPr>
      <w:rFonts w:eastAsia="宋体"/>
      <w:kern w:val="2"/>
      <w:sz w:val="21"/>
      <w:szCs w:val="24"/>
      <w:lang w:val="en-US" w:eastAsia="zh-CN" w:bidi="ar-SA"/>
    </w:rPr>
  </w:style>
  <w:style w:type="character" w:customStyle="1" w:styleId="167">
    <w:name w:val="标题 Char"/>
    <w:link w:val="59"/>
    <w:qFormat/>
    <w:uiPriority w:val="0"/>
    <w:rPr>
      <w:rFonts w:ascii="Cambria" w:hAnsi="Cambria"/>
      <w:b/>
      <w:bCs/>
      <w:kern w:val="2"/>
      <w:sz w:val="32"/>
      <w:szCs w:val="32"/>
      <w:lang w:bidi="ar-SA"/>
    </w:rPr>
  </w:style>
  <w:style w:type="character" w:customStyle="1" w:styleId="168">
    <w:name w:val="脚注文本 Char"/>
    <w:link w:val="47"/>
    <w:qFormat/>
    <w:uiPriority w:val="0"/>
    <w:rPr>
      <w:rFonts w:ascii="Calibri" w:hAnsi="Calibri"/>
      <w:bCs/>
      <w:sz w:val="18"/>
    </w:rPr>
  </w:style>
  <w:style w:type="character" w:customStyle="1" w:styleId="169">
    <w:name w:val="标题 1 Char"/>
    <w:link w:val="2"/>
    <w:qFormat/>
    <w:uiPriority w:val="0"/>
    <w:rPr>
      <w:rFonts w:eastAsia="宋体"/>
      <w:b/>
      <w:bCs/>
      <w:kern w:val="44"/>
      <w:sz w:val="30"/>
      <w:szCs w:val="44"/>
      <w:lang w:val="en-US" w:eastAsia="zh-CN" w:bidi="ar-SA"/>
    </w:rPr>
  </w:style>
  <w:style w:type="character" w:customStyle="1" w:styleId="170">
    <w:name w:val="font11"/>
    <w:basedOn w:val="64"/>
    <w:qFormat/>
    <w:uiPriority w:val="0"/>
    <w:rPr>
      <w:rFonts w:hint="eastAsia" w:ascii="宋体" w:hAnsi="宋体" w:eastAsia="宋体" w:cs="宋体"/>
      <w:color w:val="000000"/>
      <w:sz w:val="24"/>
      <w:szCs w:val="24"/>
      <w:u w:val="none"/>
    </w:rPr>
  </w:style>
  <w:style w:type="character" w:customStyle="1" w:styleId="171">
    <w:name w:val="标题 5 Char"/>
    <w:link w:val="6"/>
    <w:qFormat/>
    <w:uiPriority w:val="0"/>
    <w:rPr>
      <w:rFonts w:ascii="宋体" w:hAnsi="Arial" w:eastAsia="宋体"/>
      <w:bCs/>
      <w:kern w:val="2"/>
      <w:sz w:val="28"/>
      <w:lang w:val="en-US" w:eastAsia="zh-CN" w:bidi="ar-SA"/>
    </w:rPr>
  </w:style>
  <w:style w:type="character" w:customStyle="1" w:styleId="172">
    <w:name w:val="font21"/>
    <w:qFormat/>
    <w:uiPriority w:val="0"/>
    <w:rPr>
      <w:rFonts w:hint="eastAsia" w:ascii="仿宋" w:hAnsi="仿宋" w:eastAsia="仿宋" w:cs="仿宋"/>
      <w:color w:val="000000"/>
      <w:sz w:val="24"/>
      <w:szCs w:val="24"/>
      <w:u w:val="none"/>
    </w:rPr>
  </w:style>
  <w:style w:type="character" w:customStyle="1" w:styleId="173">
    <w:name w:val="标题 7 Char"/>
    <w:link w:val="8"/>
    <w:qFormat/>
    <w:uiPriority w:val="0"/>
    <w:rPr>
      <w:rFonts w:ascii="Arial" w:hAnsi="Arial" w:eastAsia="仿宋_GB2312" w:cs="Arial"/>
      <w:b/>
      <w:bCs/>
      <w:spacing w:val="-4"/>
      <w:kern w:val="2"/>
      <w:sz w:val="24"/>
      <w:szCs w:val="24"/>
      <w:lang w:val="en-US" w:eastAsia="zh-CN" w:bidi="ar-SA"/>
    </w:rPr>
  </w:style>
  <w:style w:type="character" w:customStyle="1" w:styleId="174">
    <w:name w:val="正文文本 Char"/>
    <w:link w:val="24"/>
    <w:qFormat/>
    <w:uiPriority w:val="0"/>
    <w:rPr>
      <w:rFonts w:ascii="宋体" w:hAnsi="Arial" w:eastAsia="宋体"/>
      <w:kern w:val="2"/>
      <w:sz w:val="28"/>
      <w:lang w:val="en-US" w:eastAsia="zh-CN" w:bidi="ar-SA"/>
    </w:rPr>
  </w:style>
  <w:style w:type="character" w:customStyle="1" w:styleId="175">
    <w:name w:val="Char Char"/>
    <w:qFormat/>
    <w:uiPriority w:val="0"/>
    <w:rPr>
      <w:rFonts w:ascii="宋体" w:hAnsi="Courier New" w:eastAsia="宋体" w:cs="Courier New"/>
      <w:kern w:val="2"/>
      <w:sz w:val="21"/>
      <w:szCs w:val="21"/>
      <w:lang w:val="en-US" w:eastAsia="zh-CN" w:bidi="ar-SA"/>
    </w:rPr>
  </w:style>
  <w:style w:type="character" w:customStyle="1" w:styleId="176">
    <w:name w:val="副标题 Char1"/>
    <w:qFormat/>
    <w:uiPriority w:val="0"/>
    <w:rPr>
      <w:rFonts w:ascii="Cambria" w:hAnsi="Cambria" w:cs="Times New Roman"/>
      <w:b/>
      <w:bCs/>
      <w:kern w:val="28"/>
      <w:sz w:val="32"/>
      <w:szCs w:val="32"/>
    </w:rPr>
  </w:style>
  <w:style w:type="character" w:customStyle="1" w:styleId="177">
    <w:name w:val="正文文本缩进 2 Char"/>
    <w:link w:val="36"/>
    <w:qFormat/>
    <w:uiPriority w:val="0"/>
    <w:rPr>
      <w:rFonts w:ascii="Arial" w:hAnsi="Arial" w:eastAsia="仿宋_GB2312"/>
      <w:sz w:val="32"/>
    </w:rPr>
  </w:style>
  <w:style w:type="character" w:customStyle="1" w:styleId="178">
    <w:name w:val="标题 3 Char1"/>
    <w:semiHidden/>
    <w:qFormat/>
    <w:uiPriority w:val="0"/>
    <w:rPr>
      <w:rFonts w:ascii="Calibri" w:hAnsi="Calibri" w:eastAsia="宋体"/>
      <w:b/>
      <w:kern w:val="2"/>
      <w:sz w:val="32"/>
    </w:rPr>
  </w:style>
  <w:style w:type="character" w:customStyle="1" w:styleId="179">
    <w:name w:val="正文文本 Char_0"/>
    <w:link w:val="180"/>
    <w:qFormat/>
    <w:uiPriority w:val="0"/>
    <w:rPr>
      <w:kern w:val="2"/>
      <w:sz w:val="21"/>
      <w:szCs w:val="24"/>
    </w:rPr>
  </w:style>
  <w:style w:type="paragraph" w:customStyle="1" w:styleId="180">
    <w:name w:val="正文文本_0"/>
    <w:basedOn w:val="92"/>
    <w:link w:val="179"/>
    <w:qFormat/>
    <w:uiPriority w:val="0"/>
    <w:pPr>
      <w:spacing w:after="120"/>
    </w:pPr>
  </w:style>
  <w:style w:type="character" w:customStyle="1" w:styleId="181">
    <w:name w:val="批注主题 Char"/>
    <w:link w:val="60"/>
    <w:qFormat/>
    <w:uiPriority w:val="0"/>
    <w:rPr>
      <w:rFonts w:ascii="宋体"/>
      <w:b/>
      <w:bCs/>
      <w:sz w:val="28"/>
      <w:lang w:bidi="ar-SA"/>
    </w:rPr>
  </w:style>
  <w:style w:type="character" w:customStyle="1" w:styleId="182">
    <w:name w:val="明显引用 Char2"/>
    <w:qFormat/>
    <w:uiPriority w:val="30"/>
    <w:rPr>
      <w:b/>
      <w:bCs/>
      <w:i/>
      <w:iCs/>
      <w:color w:val="4F81BD"/>
      <w:kern w:val="2"/>
      <w:sz w:val="21"/>
      <w:szCs w:val="24"/>
    </w:rPr>
  </w:style>
  <w:style w:type="character" w:customStyle="1" w:styleId="183">
    <w:name w:val="页脚 Char"/>
    <w:link w:val="38"/>
    <w:qFormat/>
    <w:uiPriority w:val="99"/>
    <w:rPr>
      <w:rFonts w:eastAsia="宋体"/>
      <w:kern w:val="2"/>
      <w:sz w:val="18"/>
      <w:lang w:val="en-US" w:eastAsia="zh-CN" w:bidi="ar-SA"/>
    </w:rPr>
  </w:style>
  <w:style w:type="character" w:customStyle="1" w:styleId="184">
    <w:name w:val="脚注文本 Char2"/>
    <w:semiHidden/>
    <w:qFormat/>
    <w:uiPriority w:val="99"/>
    <w:rPr>
      <w:rFonts w:ascii="宋体"/>
      <w:sz w:val="18"/>
      <w:szCs w:val="18"/>
    </w:rPr>
  </w:style>
  <w:style w:type="paragraph" w:customStyle="1" w:styleId="185">
    <w:name w:val="Normal_0"/>
    <w:qFormat/>
    <w:uiPriority w:val="0"/>
    <w:rPr>
      <w:rFonts w:ascii="Times New Roman" w:hAnsi="Times New Roman" w:eastAsia="宋体" w:cs="Times New Roman"/>
      <w:sz w:val="24"/>
      <w:szCs w:val="24"/>
      <w:lang w:val="en-US" w:eastAsia="zh-CN" w:bidi="ar-SA"/>
    </w:rPr>
  </w:style>
  <w:style w:type="paragraph" w:customStyle="1" w:styleId="186">
    <w:name w:val="列出段落1"/>
    <w:basedOn w:val="1"/>
    <w:unhideWhenUsed/>
    <w:qFormat/>
    <w:uiPriority w:val="99"/>
    <w:pPr>
      <w:ind w:firstLine="420" w:firstLineChars="200"/>
    </w:pPr>
    <w:rPr>
      <w:rFonts w:ascii="Calibri" w:hAnsi="Calibri"/>
      <w:kern w:val="2"/>
      <w:sz w:val="21"/>
      <w:szCs w:val="22"/>
    </w:rPr>
  </w:style>
  <w:style w:type="paragraph" w:customStyle="1" w:styleId="187">
    <w:name w:val="Char"/>
    <w:basedOn w:val="1"/>
    <w:qFormat/>
    <w:uiPriority w:val="0"/>
    <w:rPr>
      <w:rFonts w:ascii="Tahoma" w:hAnsi="Tahoma"/>
    </w:rPr>
  </w:style>
  <w:style w:type="paragraph" w:customStyle="1" w:styleId="188">
    <w:name w:val="font9"/>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9">
    <w:name w:val="样式 宋体 五号 行距: 单倍行距"/>
    <w:basedOn w:val="1"/>
    <w:qFormat/>
    <w:uiPriority w:val="0"/>
    <w:pPr>
      <w:adjustRightInd w:val="0"/>
      <w:jc w:val="left"/>
      <w:textAlignment w:val="baseline"/>
    </w:pPr>
    <w:rPr>
      <w:rFonts w:hAnsi="宋体"/>
      <w:sz w:val="21"/>
    </w:rPr>
  </w:style>
  <w:style w:type="paragraph" w:customStyle="1" w:styleId="190">
    <w:name w:val="xl43"/>
    <w:basedOn w:val="1"/>
    <w:qFormat/>
    <w:uiPriority w:val="0"/>
    <w:pPr>
      <w:widowControl/>
      <w:spacing w:before="100" w:beforeAutospacing="1" w:after="100" w:afterAutospacing="1"/>
      <w:jc w:val="left"/>
      <w:textAlignment w:val="top"/>
    </w:pPr>
    <w:rPr>
      <w:rFonts w:hAnsi="宋体"/>
      <w:szCs w:val="24"/>
    </w:rPr>
  </w:style>
  <w:style w:type="paragraph" w:customStyle="1" w:styleId="191">
    <w:name w:val="列出段落2"/>
    <w:basedOn w:val="1"/>
    <w:qFormat/>
    <w:uiPriority w:val="0"/>
    <w:pPr>
      <w:ind w:firstLine="420" w:firstLineChars="200"/>
    </w:pPr>
    <w:rPr>
      <w:rFonts w:ascii="Calibri" w:hAnsi="Calibri"/>
      <w:kern w:val="2"/>
      <w:sz w:val="21"/>
      <w:szCs w:val="22"/>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3">
    <w:name w:val="Char Char2 Char"/>
    <w:basedOn w:val="1"/>
    <w:qFormat/>
    <w:uiPriority w:val="0"/>
    <w:rPr>
      <w:rFonts w:ascii="Tahoma" w:hAnsi="Tahoma"/>
      <w:kern w:val="2"/>
      <w:szCs w:val="24"/>
    </w:rPr>
  </w:style>
  <w:style w:type="paragraph" w:customStyle="1" w:styleId="194">
    <w:name w:val="正文（缩进）"/>
    <w:basedOn w:val="1"/>
    <w:qFormat/>
    <w:uiPriority w:val="0"/>
    <w:pPr>
      <w:widowControl/>
      <w:spacing w:before="156" w:after="156"/>
      <w:ind w:firstLine="480" w:firstLineChars="200"/>
      <w:jc w:val="left"/>
    </w:pPr>
    <w:rPr>
      <w:rFonts w:ascii="仿宋_GB2312" w:eastAsia="仿宋_GB2312"/>
      <w:szCs w:val="24"/>
    </w:rPr>
  </w:style>
  <w:style w:type="paragraph" w:styleId="195">
    <w:name w:val="List Paragraph"/>
    <w:basedOn w:val="1"/>
    <w:qFormat/>
    <w:uiPriority w:val="0"/>
    <w:pPr>
      <w:ind w:firstLine="420" w:firstLineChars="200"/>
    </w:pPr>
    <w:rPr>
      <w:rFonts w:ascii="Calibri" w:hAnsi="Calibri"/>
      <w:szCs w:val="22"/>
    </w:rPr>
  </w:style>
  <w:style w:type="paragraph" w:customStyle="1" w:styleId="196">
    <w:name w:val="_Style 4"/>
    <w:basedOn w:val="1"/>
    <w:qFormat/>
    <w:uiPriority w:val="0"/>
    <w:rPr>
      <w:rFonts w:ascii="Times New Roman"/>
      <w:kern w:val="2"/>
      <w:sz w:val="21"/>
      <w:szCs w:val="24"/>
    </w:rPr>
  </w:style>
  <w:style w:type="paragraph" w:customStyle="1" w:styleId="19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9">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0">
    <w:name w:val="_Style 8"/>
    <w:basedOn w:val="1"/>
    <w:qFormat/>
    <w:uiPriority w:val="0"/>
  </w:style>
  <w:style w:type="paragraph" w:customStyle="1" w:styleId="201">
    <w:name w:val="样式 标题 2 + Times New Roman 四号 非加粗 段前: 5 磅 段后: 0 磅 行距: 固定值 20..."/>
    <w:basedOn w:val="3"/>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2">
    <w:name w:val="cjk"/>
    <w:basedOn w:val="1"/>
    <w:qFormat/>
    <w:uiPriority w:val="0"/>
    <w:pPr>
      <w:widowControl/>
      <w:spacing w:before="100" w:beforeAutospacing="1"/>
      <w:jc w:val="left"/>
    </w:pPr>
    <w:rPr>
      <w:rFonts w:hAnsi="宋体" w:cs="宋体"/>
      <w:color w:val="000000"/>
      <w:sz w:val="28"/>
      <w:szCs w:val="28"/>
    </w:rPr>
  </w:style>
  <w:style w:type="paragraph" w:customStyle="1" w:styleId="20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6">
    <w:name w:val="p0"/>
    <w:basedOn w:val="1"/>
    <w:qFormat/>
    <w:uiPriority w:val="0"/>
    <w:pPr>
      <w:widowControl/>
    </w:pPr>
    <w:rPr>
      <w:rFonts w:ascii="Times New Roman"/>
      <w:sz w:val="21"/>
      <w:szCs w:val="21"/>
    </w:rPr>
  </w:style>
  <w:style w:type="paragraph" w:customStyle="1" w:styleId="20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8">
    <w:name w:val="font8"/>
    <w:basedOn w:val="1"/>
    <w:qFormat/>
    <w:uiPriority w:val="0"/>
    <w:pPr>
      <w:widowControl/>
      <w:spacing w:before="100" w:beforeAutospacing="1" w:after="100" w:afterAutospacing="1"/>
      <w:jc w:val="left"/>
    </w:pPr>
    <w:rPr>
      <w:rFonts w:hint="eastAsia" w:hAnsi="宋体"/>
      <w:color w:val="000000"/>
      <w:sz w:val="32"/>
      <w:szCs w:val="32"/>
    </w:rPr>
  </w:style>
  <w:style w:type="paragraph" w:customStyle="1" w:styleId="209">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0">
    <w:name w:val="Char10 Char Char Char Char Char Char Char Char Char"/>
    <w:basedOn w:val="1"/>
    <w:next w:val="1"/>
    <w:qFormat/>
    <w:uiPriority w:val="0"/>
    <w:rPr>
      <w:rFonts w:ascii="Calibri" w:hAnsi="Calibri"/>
      <w:kern w:val="2"/>
      <w:sz w:val="21"/>
      <w:szCs w:val="22"/>
    </w:rPr>
  </w:style>
  <w:style w:type="paragraph" w:customStyle="1" w:styleId="211">
    <w:name w:val="Normal_2"/>
    <w:qFormat/>
    <w:uiPriority w:val="0"/>
    <w:rPr>
      <w:rFonts w:ascii="Times New Roman" w:hAnsi="Times New Roman" w:eastAsia="Times New Roman" w:cs="Times New Roman"/>
      <w:sz w:val="24"/>
      <w:szCs w:val="24"/>
      <w:lang w:val="en-US" w:eastAsia="zh-CN" w:bidi="ar-SA"/>
    </w:rPr>
  </w:style>
  <w:style w:type="paragraph" w:customStyle="1" w:styleId="212">
    <w:name w:val="列出段落3"/>
    <w:basedOn w:val="1"/>
    <w:unhideWhenUsed/>
    <w:qFormat/>
    <w:uiPriority w:val="99"/>
    <w:pPr>
      <w:ind w:firstLine="420" w:firstLineChars="200"/>
    </w:pPr>
    <w:rPr>
      <w:rFonts w:ascii="Calibri" w:hAnsi="Calibri"/>
      <w:kern w:val="2"/>
      <w:sz w:val="21"/>
      <w:szCs w:val="22"/>
    </w:rPr>
  </w:style>
  <w:style w:type="paragraph" w:customStyle="1" w:styleId="213">
    <w:name w:val="font5"/>
    <w:basedOn w:val="1"/>
    <w:qFormat/>
    <w:uiPriority w:val="0"/>
    <w:pPr>
      <w:widowControl/>
      <w:spacing w:before="100" w:beforeAutospacing="1" w:after="100" w:afterAutospacing="1"/>
      <w:jc w:val="left"/>
    </w:pPr>
    <w:rPr>
      <w:rFonts w:hint="eastAsia" w:hAnsi="宋体"/>
      <w:sz w:val="18"/>
      <w:szCs w:val="18"/>
    </w:rPr>
  </w:style>
  <w:style w:type="paragraph" w:customStyle="1" w:styleId="2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5">
    <w:name w:val="普通(网站)_0"/>
    <w:basedOn w:val="92"/>
    <w:qFormat/>
    <w:uiPriority w:val="0"/>
    <w:pPr>
      <w:widowControl/>
      <w:spacing w:before="100" w:beforeAutospacing="1" w:after="100" w:afterAutospacing="1"/>
      <w:jc w:val="left"/>
    </w:pPr>
    <w:rPr>
      <w:rFonts w:ascii="宋体" w:hAnsi="宋体"/>
      <w:kern w:val="0"/>
      <w:sz w:val="24"/>
    </w:rPr>
  </w:style>
  <w:style w:type="paragraph" w:customStyle="1" w:styleId="216">
    <w:name w:val="图1"/>
    <w:basedOn w:val="1"/>
    <w:next w:val="1"/>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8">
    <w:name w:val="D&amp;L"/>
    <w:basedOn w:val="39"/>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0">
    <w:name w:val="font7"/>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1">
    <w:name w:val="简单回函地址"/>
    <w:basedOn w:val="1"/>
    <w:qFormat/>
    <w:uiPriority w:val="0"/>
    <w:rPr>
      <w:rFonts w:ascii="Calibri" w:hAnsi="Calibri"/>
      <w:kern w:val="2"/>
      <w:sz w:val="21"/>
      <w:szCs w:val="22"/>
    </w:rPr>
  </w:style>
  <w:style w:type="paragraph" w:customStyle="1" w:styleId="22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3">
    <w:name w:val="Char Char Char Char Char Char Char1 Char"/>
    <w:basedOn w:val="1"/>
    <w:qFormat/>
    <w:uiPriority w:val="0"/>
    <w:rPr>
      <w:rFonts w:ascii="Tahoma" w:hAnsi="Tahoma"/>
    </w:rPr>
  </w:style>
  <w:style w:type="paragraph" w:customStyle="1" w:styleId="2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5">
    <w:name w:val="font6"/>
    <w:basedOn w:val="1"/>
    <w:qFormat/>
    <w:uiPriority w:val="0"/>
    <w:pPr>
      <w:widowControl/>
      <w:spacing w:before="100" w:beforeAutospacing="1" w:after="100" w:afterAutospacing="1"/>
      <w:jc w:val="left"/>
    </w:pPr>
    <w:rPr>
      <w:rFonts w:hint="eastAsia" w:hAnsi="宋体"/>
      <w:sz w:val="18"/>
      <w:szCs w:val="18"/>
    </w:rPr>
  </w:style>
  <w:style w:type="paragraph" w:customStyle="1" w:styleId="226">
    <w:name w:val="Default Paragraph Char Char Char Char"/>
    <w:basedOn w:val="1"/>
    <w:next w:val="1"/>
    <w:qFormat/>
    <w:uiPriority w:val="0"/>
    <w:pPr>
      <w:widowControl/>
      <w:spacing w:line="360" w:lineRule="auto"/>
      <w:jc w:val="left"/>
    </w:pPr>
    <w:rPr>
      <w:lang w:eastAsia="en-US"/>
    </w:rPr>
  </w:style>
  <w:style w:type="paragraph" w:customStyle="1" w:styleId="227">
    <w:name w:val="Char Char Char Char Char Char"/>
    <w:basedOn w:val="1"/>
    <w:qFormat/>
    <w:uiPriority w:val="0"/>
    <w:rPr>
      <w:rFonts w:ascii="Tahoma" w:hAnsi="Tahoma"/>
      <w:kern w:val="2"/>
    </w:rPr>
  </w:style>
  <w:style w:type="paragraph" w:customStyle="1" w:styleId="22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0">
    <w:name w:val="Normal_1"/>
    <w:qFormat/>
    <w:uiPriority w:val="0"/>
    <w:rPr>
      <w:rFonts w:ascii="Times New Roman" w:hAnsi="Times New Roman" w:eastAsia="Times New Roman" w:cs="Times New Roman"/>
      <w:sz w:val="24"/>
      <w:szCs w:val="24"/>
      <w:lang w:val="en-US" w:eastAsia="zh-CN" w:bidi="ar-SA"/>
    </w:rPr>
  </w:style>
  <w:style w:type="paragraph" w:customStyle="1" w:styleId="231">
    <w:name w:val="Char Char Char Char Char Char1 Char"/>
    <w:basedOn w:val="1"/>
    <w:qFormat/>
    <w:uiPriority w:val="0"/>
    <w:pPr>
      <w:widowControl/>
      <w:spacing w:after="160" w:line="240" w:lineRule="exact"/>
      <w:jc w:val="left"/>
    </w:pPr>
    <w:rPr>
      <w:rFonts w:ascii="Calibri" w:hAnsi="Calibri"/>
      <w:kern w:val="2"/>
      <w:sz w:val="21"/>
      <w:szCs w:val="24"/>
    </w:rPr>
  </w:style>
  <w:style w:type="paragraph" w:customStyle="1" w:styleId="232">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23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34">
    <w:name w:val="TOC 标题1"/>
    <w:basedOn w:val="2"/>
    <w:next w:val="1"/>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5">
    <w:name w:val="xl31"/>
    <w:basedOn w:val="1"/>
    <w:qFormat/>
    <w:uiPriority w:val="0"/>
    <w:pPr>
      <w:widowControl/>
      <w:spacing w:before="100" w:beforeAutospacing="1" w:after="100" w:afterAutospacing="1"/>
      <w:jc w:val="center"/>
    </w:pPr>
    <w:rPr>
      <w:rFonts w:hAnsi="宋体"/>
      <w:b/>
      <w:bCs/>
      <w:sz w:val="28"/>
      <w:szCs w:val="28"/>
    </w:rPr>
  </w:style>
  <w:style w:type="paragraph" w:customStyle="1" w:styleId="236">
    <w:name w:val="Char Char Char Char Char"/>
    <w:basedOn w:val="1"/>
    <w:qFormat/>
    <w:uiPriority w:val="0"/>
    <w:rPr>
      <w:rFonts w:ascii="Tahoma" w:hAnsi="Tahoma"/>
      <w:kern w:val="2"/>
    </w:rPr>
  </w:style>
  <w:style w:type="paragraph" w:customStyle="1" w:styleId="237">
    <w:name w:val="二级标题"/>
    <w:basedOn w:val="1"/>
    <w:next w:val="238"/>
    <w:qFormat/>
    <w:uiPriority w:val="0"/>
    <w:pPr>
      <w:tabs>
        <w:tab w:val="left" w:pos="992"/>
      </w:tabs>
      <w:ind w:left="992" w:hanging="567"/>
      <w:outlineLvl w:val="1"/>
    </w:pPr>
    <w:rPr>
      <w:rFonts w:ascii="黑体" w:eastAsia="黑体"/>
      <w:sz w:val="28"/>
      <w:szCs w:val="24"/>
    </w:rPr>
  </w:style>
  <w:style w:type="paragraph" w:customStyle="1" w:styleId="238">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9">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xl42"/>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42">
    <w:name w:val="Char Char Char Char Char Char Char Char Char1 Char Char Char1 Char Char Char Char Char Char"/>
    <w:basedOn w:val="1"/>
    <w:qFormat/>
    <w:uiPriority w:val="0"/>
    <w:pPr>
      <w:spacing w:line="360" w:lineRule="auto"/>
      <w:ind w:firstLine="200" w:firstLineChars="200"/>
    </w:pPr>
    <w:rPr>
      <w:rFonts w:ascii="Times New Roman"/>
      <w:kern w:val="2"/>
      <w:sz w:val="21"/>
      <w:szCs w:val="24"/>
    </w:rPr>
  </w:style>
  <w:style w:type="paragraph" w:customStyle="1" w:styleId="243">
    <w:name w:val="Char Char Char Char"/>
    <w:basedOn w:val="1"/>
    <w:qFormat/>
    <w:uiPriority w:val="0"/>
    <w:pPr>
      <w:widowControl/>
      <w:spacing w:after="160" w:line="240" w:lineRule="exact"/>
      <w:jc w:val="left"/>
    </w:pPr>
    <w:rPr>
      <w:rFonts w:ascii="Verdana" w:hAnsi="Verdana" w:eastAsia="Times New Roman"/>
      <w:sz w:val="20"/>
      <w:lang w:eastAsia="en-US"/>
    </w:rPr>
  </w:style>
  <w:style w:type="paragraph" w:customStyle="1" w:styleId="2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5">
    <w:name w:val="样式3"/>
    <w:basedOn w:val="1"/>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6">
    <w:name w:val="内文正文"/>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7">
    <w:name w:val="xl45"/>
    <w:basedOn w:val="1"/>
    <w:qFormat/>
    <w:uiPriority w:val="0"/>
    <w:pPr>
      <w:widowControl/>
      <w:spacing w:before="100" w:beforeAutospacing="1" w:after="100" w:afterAutospacing="1"/>
      <w:jc w:val="left"/>
      <w:textAlignment w:val="top"/>
    </w:pPr>
    <w:rPr>
      <w:rFonts w:hAnsi="宋体"/>
      <w:szCs w:val="24"/>
    </w:rPr>
  </w:style>
  <w:style w:type="paragraph" w:customStyle="1" w:styleId="248">
    <w:name w:val="正文无缩进"/>
    <w:basedOn w:val="1"/>
    <w:qFormat/>
    <w:uiPriority w:val="0"/>
    <w:pPr>
      <w:spacing w:line="600" w:lineRule="exact"/>
    </w:pPr>
    <w:rPr>
      <w:rFonts w:ascii="仿宋_GB2312" w:hAnsi="宋体" w:eastAsia="仿宋_GB2312"/>
      <w:kern w:val="2"/>
      <w:sz w:val="31"/>
      <w:szCs w:val="28"/>
    </w:rPr>
  </w:style>
  <w:style w:type="paragraph" w:customStyle="1" w:styleId="249">
    <w:name w:val="Char Char Char Char Char Char1"/>
    <w:basedOn w:val="1"/>
    <w:qFormat/>
    <w:uiPriority w:val="0"/>
    <w:rPr>
      <w:rFonts w:ascii="Tahoma" w:hAnsi="Tahoma"/>
      <w:kern w:val="2"/>
    </w:rPr>
  </w:style>
  <w:style w:type="paragraph" w:customStyle="1" w:styleId="250">
    <w:name w:val="样式 标题 3 + (中文) 黑体 小四 非加粗 段前: 7.8 磅 段后: 0 磅 行距: 固定值 20 磅"/>
    <w:basedOn w:val="4"/>
    <w:qFormat/>
    <w:uiPriority w:val="0"/>
    <w:pPr>
      <w:spacing w:line="400" w:lineRule="exact"/>
      <w:jc w:val="both"/>
    </w:pPr>
    <w:rPr>
      <w:rFonts w:ascii="Calibri" w:hAnsi="Calibri" w:eastAsia="黑体" w:cs="宋体"/>
      <w:b w:val="0"/>
      <w:bCs w:val="0"/>
      <w:szCs w:val="20"/>
    </w:rPr>
  </w:style>
  <w:style w:type="paragraph" w:customStyle="1" w:styleId="251">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2">
    <w:name w:val="Char Char Char Char1"/>
    <w:basedOn w:val="1"/>
    <w:qFormat/>
    <w:uiPriority w:val="0"/>
    <w:pPr>
      <w:snapToGrid w:val="0"/>
      <w:spacing w:line="360" w:lineRule="auto"/>
      <w:ind w:firstLine="200" w:firstLineChars="200"/>
    </w:pPr>
    <w:rPr>
      <w:rFonts w:ascii="Calibri" w:hAnsi="Calibri" w:eastAsia="仿宋_GB2312"/>
      <w:kern w:val="2"/>
      <w:szCs w:val="22"/>
    </w:rPr>
  </w:style>
  <w:style w:type="paragraph" w:customStyle="1" w:styleId="253">
    <w:name w:val="段落1 Char"/>
    <w:basedOn w:val="32"/>
    <w:qFormat/>
    <w:uiPriority w:val="0"/>
    <w:pPr>
      <w:spacing w:line="360" w:lineRule="auto"/>
    </w:pPr>
    <w:rPr>
      <w:rFonts w:ascii="Times New Roman" w:hAnsi="Times New Roman" w:cs="Courier New"/>
      <w:sz w:val="24"/>
      <w:szCs w:val="21"/>
    </w:rPr>
  </w:style>
  <w:style w:type="paragraph" w:customStyle="1" w:styleId="2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5">
    <w:name w:val="Char1"/>
    <w:basedOn w:val="1"/>
    <w:next w:val="1"/>
    <w:qFormat/>
    <w:uiPriority w:val="0"/>
    <w:pPr>
      <w:widowControl/>
      <w:spacing w:line="360" w:lineRule="auto"/>
      <w:jc w:val="left"/>
    </w:pPr>
    <w:rPr>
      <w:lang w:eastAsia="en-US"/>
    </w:rPr>
  </w:style>
  <w:style w:type="paragraph" w:customStyle="1" w:styleId="256">
    <w:name w:val="MsoNormal"/>
    <w:basedOn w:val="185"/>
    <w:qFormat/>
    <w:uiPriority w:val="0"/>
    <w:rPr>
      <w:rFonts w:ascii="Calibri" w:hAnsi="Calibri" w:eastAsia="Calibri"/>
      <w:sz w:val="21"/>
    </w:rPr>
  </w:style>
  <w:style w:type="paragraph" w:customStyle="1" w:styleId="257">
    <w:name w:val="Table Paragraph"/>
    <w:basedOn w:val="1"/>
    <w:qFormat/>
    <w:uiPriority w:val="1"/>
    <w:pPr>
      <w:jc w:val="left"/>
    </w:pPr>
    <w:rPr>
      <w:rFonts w:ascii="Calibri" w:hAnsi="Calibri"/>
      <w:sz w:val="22"/>
      <w:lang w:eastAsia="en-US"/>
    </w:rPr>
  </w:style>
  <w:style w:type="paragraph" w:customStyle="1" w:styleId="258">
    <w:name w:val="xl44"/>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59">
    <w:name w:val="首行缩进"/>
    <w:basedOn w:val="1"/>
    <w:qFormat/>
    <w:uiPriority w:val="99"/>
    <w:pPr>
      <w:ind w:firstLine="480" w:firstLineChars="200"/>
    </w:pPr>
    <w:rPr>
      <w:rFonts w:ascii="Calibri" w:hAnsi="Calibri" w:cs="Calibri"/>
      <w:kern w:val="2"/>
      <w:sz w:val="21"/>
      <w:szCs w:val="21"/>
      <w:lang w:val="zh-CN"/>
    </w:rPr>
  </w:style>
  <w:style w:type="paragraph" w:customStyle="1" w:styleId="26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基本文字 Char"/>
    <w:basedOn w:val="1"/>
    <w:qFormat/>
    <w:uiPriority w:val="0"/>
    <w:pPr>
      <w:spacing w:before="156" w:line="400" w:lineRule="atLeast"/>
      <w:ind w:firstLine="540" w:firstLineChars="225"/>
    </w:pPr>
  </w:style>
  <w:style w:type="paragraph" w:customStyle="1" w:styleId="26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4">
    <w:name w:val="目录文字"/>
    <w:basedOn w:val="1"/>
    <w:qFormat/>
    <w:uiPriority w:val="0"/>
    <w:pPr>
      <w:widowControl/>
      <w:spacing w:line="480" w:lineRule="auto"/>
      <w:jc w:val="left"/>
    </w:pPr>
    <w:rPr>
      <w:rFonts w:hAnsi="宋体"/>
    </w:rPr>
  </w:style>
  <w:style w:type="paragraph" w:customStyle="1" w:styleId="265">
    <w:name w:val="普通 (Web)"/>
    <w:basedOn w:val="1"/>
    <w:qFormat/>
    <w:uiPriority w:val="0"/>
    <w:pPr>
      <w:widowControl/>
      <w:spacing w:before="100" w:beforeAutospacing="1" w:after="100" w:afterAutospacing="1"/>
      <w:jc w:val="left"/>
    </w:pPr>
    <w:rPr>
      <w:rFonts w:hAnsi="宋体"/>
      <w:szCs w:val="24"/>
    </w:rPr>
  </w:style>
  <w:style w:type="paragraph" w:customStyle="1" w:styleId="266">
    <w:name w:val="一级标题"/>
    <w:basedOn w:val="1"/>
    <w:next w:val="237"/>
    <w:qFormat/>
    <w:uiPriority w:val="0"/>
    <w:pPr>
      <w:tabs>
        <w:tab w:val="left" w:pos="425"/>
      </w:tabs>
      <w:spacing w:afterLines="100"/>
      <w:ind w:left="850" w:hanging="425"/>
      <w:outlineLvl w:val="0"/>
    </w:pPr>
    <w:rPr>
      <w:rFonts w:ascii="黑体" w:eastAsia="黑体"/>
      <w:sz w:val="30"/>
      <w:szCs w:val="28"/>
    </w:rPr>
  </w:style>
  <w:style w:type="paragraph" w:customStyle="1" w:styleId="26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8">
    <w:name w:val="Char Char Char Char Char1"/>
    <w:basedOn w:val="1"/>
    <w:qFormat/>
    <w:uiPriority w:val="0"/>
    <w:rPr>
      <w:rFonts w:ascii="Tahoma" w:hAnsi="Tahoma"/>
    </w:rPr>
  </w:style>
  <w:style w:type="paragraph" w:customStyle="1" w:styleId="26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0">
    <w:name w:val="段落2"/>
    <w:basedOn w:val="1"/>
    <w:qFormat/>
    <w:uiPriority w:val="0"/>
    <w:pPr>
      <w:spacing w:line="360" w:lineRule="auto"/>
      <w:ind w:firstLine="480" w:firstLineChars="200"/>
    </w:pPr>
    <w:rPr>
      <w:rFonts w:ascii="Calibri" w:hAnsi="Calibri" w:cs="Courier New"/>
      <w:kern w:val="2"/>
      <w:szCs w:val="21"/>
    </w:rPr>
  </w:style>
  <w:style w:type="paragraph" w:customStyle="1" w:styleId="271">
    <w:name w:val="Normal_3"/>
    <w:qFormat/>
    <w:uiPriority w:val="0"/>
    <w:rPr>
      <w:rFonts w:ascii="Times New Roman" w:hAnsi="Times New Roman" w:eastAsia="Times New Roman" w:cs="Times New Roman"/>
      <w:sz w:val="24"/>
      <w:szCs w:val="24"/>
      <w:lang w:val="en-US" w:eastAsia="zh-CN" w:bidi="ar-SA"/>
    </w:rPr>
  </w:style>
  <w:style w:type="paragraph" w:customStyle="1" w:styleId="272">
    <w:name w:val="样式1"/>
    <w:basedOn w:val="1"/>
    <w:qFormat/>
    <w:uiPriority w:val="0"/>
    <w:pPr>
      <w:tabs>
        <w:tab w:val="left" w:pos="709"/>
      </w:tabs>
      <w:adjustRightInd w:val="0"/>
      <w:ind w:left="709" w:hanging="709"/>
      <w:textAlignment w:val="baseline"/>
    </w:pPr>
    <w:rPr>
      <w:rFonts w:hAnsi="宋体"/>
    </w:rPr>
  </w:style>
  <w:style w:type="paragraph" w:customStyle="1" w:styleId="27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5">
    <w:name w:val="Char10 Char Char Char Char Char Char Char Char Char1"/>
    <w:basedOn w:val="1"/>
    <w:next w:val="1"/>
    <w:qFormat/>
    <w:uiPriority w:val="0"/>
    <w:rPr>
      <w:rFonts w:ascii="Calibri" w:hAnsi="Calibri"/>
      <w:kern w:val="2"/>
      <w:sz w:val="21"/>
      <w:szCs w:val="22"/>
    </w:rPr>
  </w:style>
  <w:style w:type="paragraph" w:customStyle="1" w:styleId="2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7">
    <w:name w:val="目录"/>
    <w:basedOn w:val="1"/>
    <w:qFormat/>
    <w:uiPriority w:val="0"/>
    <w:pPr>
      <w:widowControl/>
      <w:jc w:val="center"/>
    </w:pPr>
    <w:rPr>
      <w:b/>
      <w:sz w:val="36"/>
    </w:rPr>
  </w:style>
  <w:style w:type="paragraph" w:customStyle="1" w:styleId="278">
    <w:name w:val="SUR-需求定义-第4级"/>
    <w:basedOn w:val="5"/>
    <w:next w:val="1"/>
    <w:qFormat/>
    <w:uiPriority w:val="0"/>
    <w:pPr>
      <w:tabs>
        <w:tab w:val="left" w:pos="1080"/>
      </w:tabs>
      <w:spacing w:before="0" w:after="0"/>
      <w:ind w:left="-283" w:firstLine="283"/>
      <w:jc w:val="left"/>
    </w:pPr>
    <w:rPr>
      <w:rFonts w:cs="Arial"/>
      <w:b w:val="0"/>
      <w:color w:val="0000FF"/>
      <w:sz w:val="24"/>
      <w:szCs w:val="24"/>
    </w:rPr>
  </w:style>
  <w:style w:type="character" w:customStyle="1" w:styleId="279">
    <w:name w:val="日期 字符"/>
    <w:qFormat/>
    <w:locked/>
    <w:uiPriority w:val="0"/>
    <w:rPr>
      <w:rFonts w:eastAsia="宋体"/>
      <w:b/>
      <w:kern w:val="2"/>
      <w:sz w:val="28"/>
      <w:lang w:val="en-US" w:eastAsia="zh-CN" w:bidi="ar-SA"/>
    </w:rPr>
  </w:style>
  <w:style w:type="character" w:customStyle="1" w:styleId="280">
    <w:name w:val="页眉 字符"/>
    <w:qFormat/>
    <w:uiPriority w:val="0"/>
    <w:rPr>
      <w:kern w:val="2"/>
      <w:sz w:val="18"/>
      <w:szCs w:val="18"/>
    </w:rPr>
  </w:style>
  <w:style w:type="character" w:customStyle="1" w:styleId="281">
    <w:name w:val="正文文本 (2) + 粗体"/>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2">
    <w:name w:val="样式 标题 2 + 宋体 五号 行距: 单倍行距"/>
    <w:basedOn w:val="3"/>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4">
    <w:name w:val="xl65"/>
    <w:basedOn w:val="1"/>
    <w:qFormat/>
    <w:uiPriority w:val="0"/>
    <w:pPr>
      <w:widowControl/>
      <w:spacing w:before="100" w:beforeAutospacing="1" w:after="100" w:afterAutospacing="1"/>
      <w:jc w:val="center"/>
    </w:pPr>
    <w:rPr>
      <w:rFonts w:hAnsi="宋体" w:cs="宋体"/>
      <w:szCs w:val="24"/>
    </w:rPr>
  </w:style>
  <w:style w:type="paragraph" w:customStyle="1" w:styleId="28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6">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1">
    <w:name w:val="font51"/>
    <w:basedOn w:val="64"/>
    <w:qFormat/>
    <w:uiPriority w:val="0"/>
    <w:rPr>
      <w:rFonts w:hint="eastAsia" w:ascii="宋体" w:hAnsi="宋体" w:eastAsia="宋体" w:cs="宋体"/>
      <w:color w:val="000000"/>
      <w:sz w:val="20"/>
      <w:szCs w:val="20"/>
      <w:u w:val="none"/>
    </w:rPr>
  </w:style>
  <w:style w:type="character" w:customStyle="1" w:styleId="292">
    <w:name w:val="cy"/>
    <w:basedOn w:val="64"/>
    <w:qFormat/>
    <w:uiPriority w:val="0"/>
  </w:style>
  <w:style w:type="character" w:customStyle="1" w:styleId="293">
    <w:name w:val="icontext1"/>
    <w:basedOn w:val="64"/>
    <w:qFormat/>
    <w:uiPriority w:val="0"/>
  </w:style>
  <w:style w:type="character" w:customStyle="1" w:styleId="294">
    <w:name w:val="icontext11"/>
    <w:basedOn w:val="64"/>
    <w:qFormat/>
    <w:uiPriority w:val="0"/>
  </w:style>
  <w:style w:type="character" w:customStyle="1" w:styleId="295">
    <w:name w:val="icontext12"/>
    <w:basedOn w:val="64"/>
    <w:qFormat/>
    <w:uiPriority w:val="0"/>
  </w:style>
  <w:style w:type="character" w:customStyle="1" w:styleId="296">
    <w:name w:val="icontext2"/>
    <w:basedOn w:val="64"/>
    <w:qFormat/>
    <w:uiPriority w:val="0"/>
  </w:style>
  <w:style w:type="character" w:customStyle="1" w:styleId="297">
    <w:name w:val="icontext3"/>
    <w:basedOn w:val="64"/>
    <w:qFormat/>
    <w:uiPriority w:val="0"/>
  </w:style>
  <w:style w:type="character" w:customStyle="1" w:styleId="298">
    <w:name w:val="iconline2"/>
    <w:basedOn w:val="64"/>
    <w:qFormat/>
    <w:uiPriority w:val="0"/>
  </w:style>
  <w:style w:type="character" w:customStyle="1" w:styleId="299">
    <w:name w:val="iconline21"/>
    <w:basedOn w:val="64"/>
    <w:qFormat/>
    <w:uiPriority w:val="0"/>
  </w:style>
  <w:style w:type="character" w:customStyle="1" w:styleId="300">
    <w:name w:val="pagechatarealistclose_box"/>
    <w:basedOn w:val="64"/>
    <w:qFormat/>
    <w:uiPriority w:val="0"/>
  </w:style>
  <w:style w:type="character" w:customStyle="1" w:styleId="301">
    <w:name w:val="pagechatarealistclose_box1"/>
    <w:basedOn w:val="64"/>
    <w:qFormat/>
    <w:uiPriority w:val="0"/>
  </w:style>
  <w:style w:type="character" w:customStyle="1" w:styleId="302">
    <w:name w:val="hover41"/>
    <w:basedOn w:val="64"/>
    <w:qFormat/>
    <w:uiPriority w:val="0"/>
    <w:rPr>
      <w:color w:val="FFFFFF"/>
    </w:rPr>
  </w:style>
  <w:style w:type="character" w:customStyle="1" w:styleId="303">
    <w:name w:val="cdropleft"/>
    <w:basedOn w:val="64"/>
    <w:qFormat/>
    <w:uiPriority w:val="0"/>
  </w:style>
  <w:style w:type="character" w:customStyle="1" w:styleId="304">
    <w:name w:val="tmpztreemove_arrow"/>
    <w:basedOn w:val="64"/>
    <w:qFormat/>
    <w:uiPriority w:val="0"/>
  </w:style>
  <w:style w:type="character" w:customStyle="1" w:styleId="305">
    <w:name w:val="ico1654"/>
    <w:basedOn w:val="64"/>
    <w:uiPriority w:val="0"/>
  </w:style>
  <w:style w:type="character" w:customStyle="1" w:styleId="306">
    <w:name w:val="ico1655"/>
    <w:basedOn w:val="64"/>
    <w:qFormat/>
    <w:uiPriority w:val="0"/>
  </w:style>
  <w:style w:type="character" w:customStyle="1" w:styleId="307">
    <w:name w:val="edit_class"/>
    <w:basedOn w:val="64"/>
    <w:qFormat/>
    <w:uiPriority w:val="0"/>
  </w:style>
  <w:style w:type="character" w:customStyle="1" w:styleId="308">
    <w:name w:val="browse_class&gt;span"/>
    <w:basedOn w:val="64"/>
    <w:uiPriority w:val="0"/>
  </w:style>
  <w:style w:type="character" w:customStyle="1" w:styleId="309">
    <w:name w:val="active5"/>
    <w:basedOn w:val="64"/>
    <w:uiPriority w:val="0"/>
    <w:rPr>
      <w:color w:val="00FF00"/>
      <w:shd w:val="clear" w:color="auto" w:fill="111111"/>
    </w:rPr>
  </w:style>
  <w:style w:type="character" w:customStyle="1" w:styleId="310">
    <w:name w:val="choosename"/>
    <w:basedOn w:val="64"/>
    <w:qFormat/>
    <w:uiPriority w:val="0"/>
  </w:style>
  <w:style w:type="character" w:customStyle="1" w:styleId="311">
    <w:name w:val="first-child"/>
    <w:basedOn w:val="64"/>
    <w:qFormat/>
    <w:uiPriority w:val="0"/>
  </w:style>
  <w:style w:type="character" w:customStyle="1" w:styleId="312">
    <w:name w:val="biggerthanmax"/>
    <w:basedOn w:val="64"/>
    <w:qFormat/>
    <w:uiPriority w:val="0"/>
    <w:rPr>
      <w:shd w:val="clear" w:color="auto" w:fill="FFFF00"/>
    </w:rPr>
  </w:style>
  <w:style w:type="character" w:customStyle="1" w:styleId="313">
    <w:name w:val="hilite6"/>
    <w:basedOn w:val="64"/>
    <w:qFormat/>
    <w:uiPriority w:val="0"/>
    <w:rPr>
      <w:color w:val="FFFFFF"/>
      <w:shd w:val="clear" w:color="auto" w:fill="666666"/>
    </w:rPr>
  </w:style>
  <w:style w:type="character" w:customStyle="1" w:styleId="314">
    <w:name w:val="design_class"/>
    <w:basedOn w:val="64"/>
    <w:qFormat/>
    <w:uiPriority w:val="0"/>
  </w:style>
  <w:style w:type="character" w:customStyle="1" w:styleId="315">
    <w:name w:val="after"/>
    <w:basedOn w:val="64"/>
    <w:qFormat/>
    <w:uiPriority w:val="0"/>
    <w:rPr>
      <w:sz w:val="0"/>
      <w:szCs w:val="0"/>
    </w:rPr>
  </w:style>
  <w:style w:type="character" w:customStyle="1" w:styleId="316">
    <w:name w:val="associateddata"/>
    <w:basedOn w:val="64"/>
    <w:uiPriority w:val="0"/>
    <w:rPr>
      <w:shd w:val="clear" w:color="auto" w:fill="50A6F9"/>
    </w:rPr>
  </w:style>
  <w:style w:type="character" w:customStyle="1" w:styleId="317">
    <w:name w:val="cdropright"/>
    <w:basedOn w:val="64"/>
    <w:qFormat/>
    <w:uiPriority w:val="0"/>
  </w:style>
  <w:style w:type="character" w:customStyle="1" w:styleId="318">
    <w:name w:val="drapbtn"/>
    <w:basedOn w:val="64"/>
    <w:qFormat/>
    <w:uiPriority w:val="0"/>
  </w:style>
  <w:style w:type="character" w:customStyle="1" w:styleId="319">
    <w:name w:val="w32"/>
    <w:basedOn w:val="64"/>
    <w:qFormat/>
    <w:uiPriority w:val="0"/>
  </w:style>
  <w:style w:type="character" w:customStyle="1" w:styleId="320">
    <w:name w:val="button4"/>
    <w:basedOn w:val="64"/>
    <w:qFormat/>
    <w:uiPriority w:val="0"/>
  </w:style>
  <w:style w:type="character" w:customStyle="1" w:styleId="321">
    <w:name w:val="layui-layer-tabnow"/>
    <w:basedOn w:val="64"/>
    <w:qFormat/>
    <w:uiPriority w:val="0"/>
    <w:rPr>
      <w:bdr w:val="single" w:color="CCCCCC" w:sz="6" w:space="0"/>
      <w:shd w:val="clear" w:color="auto" w:fill="FFFFFF"/>
    </w:rPr>
  </w:style>
  <w:style w:type="character" w:customStyle="1" w:styleId="322">
    <w:name w:val="xdrichtextbox2"/>
    <w:basedOn w:val="64"/>
    <w:qFormat/>
    <w:uiPriority w:val="0"/>
  </w:style>
  <w:style w:type="character" w:customStyle="1" w:styleId="323">
    <w:name w:val="active2"/>
    <w:basedOn w:val="64"/>
    <w:qFormat/>
    <w:uiPriority w:val="0"/>
    <w:rPr>
      <w:color w:val="00FF00"/>
      <w:shd w:val="clear" w:color="auto" w:fill="111111"/>
    </w:rPr>
  </w:style>
  <w:style w:type="character" w:customStyle="1" w:styleId="324">
    <w:name w:val="hover40"/>
    <w:basedOn w:val="64"/>
    <w:qFormat/>
    <w:uiPriority w:val="0"/>
    <w:rPr>
      <w:color w:val="FFFFFF"/>
    </w:rPr>
  </w:style>
  <w:style w:type="paragraph" w:customStyle="1" w:styleId="325">
    <w:name w:val="_Style 3"/>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8F5FA8-8162-4F90-90D0-D1BB909E3C1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21624</Words>
  <Characters>22738</Characters>
  <Lines>193</Lines>
  <Paragraphs>54</Paragraphs>
  <TotalTime>8</TotalTime>
  <ScaleCrop>false</ScaleCrop>
  <LinksUpToDate>false</LinksUpToDate>
  <CharactersWithSpaces>23429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2021-12-14T01:15:00Z</dcterms:created>
  <dc:creator>省直科</dc:creator>
  <cp:lastModifiedBy>Administrator</cp:lastModifiedBy>
  <cp:lastPrinted>2021-12-09T01:14:00Z</cp:lastPrinted>
  <dcterms:modified xsi:type="dcterms:W3CDTF">2023-03-02T06:43:57Z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70CDFEC41D1A4032B63AD14AE1F7168A</vt:lpwstr>
  </property>
</Properties>
</file>