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项目名称：公用公司协同办公平台</w:t>
      </w:r>
      <w:r>
        <w:rPr>
          <w:rFonts w:hint="eastAsia" w:hAnsi="DotumChe" w:cs="宋体"/>
          <w:b/>
          <w:color w:val="000000"/>
          <w:spacing w:val="20"/>
          <w:sz w:val="32"/>
          <w:szCs w:val="32"/>
          <w:highlight w:val="none"/>
          <w:lang w:val="en-US" w:eastAsia="zh-CN"/>
        </w:rPr>
        <w:t>升级</w:t>
      </w:r>
    </w:p>
    <w:p>
      <w:pPr>
        <w:autoSpaceDE w:val="0"/>
        <w:autoSpaceDN w:val="0"/>
        <w:adjustRightInd w:val="0"/>
        <w:ind w:firstLine="1166" w:firstLineChars="344"/>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项目编号：GYGSZB-20230</w:t>
      </w:r>
      <w:r>
        <w:rPr>
          <w:rFonts w:hint="eastAsia" w:hAnsi="DotumChe" w:cs="宋体"/>
          <w:b/>
          <w:color w:val="000000"/>
          <w:spacing w:val="20"/>
          <w:sz w:val="32"/>
          <w:szCs w:val="32"/>
          <w:highlight w:val="none"/>
          <w:lang w:val="en-US" w:eastAsia="zh-CN"/>
        </w:rPr>
        <w:t>20</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w:t>
      </w:r>
      <w:r>
        <w:rPr>
          <w:rFonts w:hint="eastAsia" w:hAnsi="DotumChe" w:cs="宋体"/>
          <w:b/>
          <w:color w:val="000000"/>
          <w:spacing w:val="20"/>
          <w:sz w:val="32"/>
          <w:szCs w:val="32"/>
          <w:highlight w:val="none"/>
          <w:lang w:val="en-US" w:eastAsia="zh-CN"/>
        </w:rPr>
        <w:t>5</w:t>
      </w:r>
      <w:r>
        <w:rPr>
          <w:rFonts w:hint="eastAsia" w:hAnsi="DotumChe" w:cs="宋体"/>
          <w:b/>
          <w:color w:val="000000"/>
          <w:spacing w:val="20"/>
          <w:sz w:val="32"/>
          <w:szCs w:val="32"/>
          <w:highlight w:val="none"/>
        </w:rPr>
        <w:t>月</w:t>
      </w:r>
    </w:p>
    <w:p>
      <w:pPr>
        <w:pStyle w:val="24"/>
        <w:jc w:val="center"/>
        <w:rPr>
          <w:rFonts w:hAnsi="宋体" w:cs="宋体"/>
          <w:b w:val="0"/>
          <w:color w:val="000000"/>
          <w:sz w:val="36"/>
          <w:szCs w:val="36"/>
          <w:highlight w:val="none"/>
        </w:rPr>
      </w:pPr>
      <w:bookmarkStart w:id="210" w:name="_GoBack"/>
      <w:bookmarkEnd w:id="210"/>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2"/>
          <w:color w:val="000000"/>
          <w:sz w:val="28"/>
          <w:szCs w:val="28"/>
          <w:highlight w:val="none"/>
          <w:u w:val="none"/>
        </w:rPr>
      </w:pPr>
      <w:bookmarkStart w:id="0" w:name="_Hlt519045295"/>
      <w:bookmarkEnd w:id="0"/>
      <w:bookmarkStart w:id="1" w:name="_Hlt533241375"/>
      <w:bookmarkEnd w:id="1"/>
      <w:bookmarkStart w:id="2" w:name="_Hlt526418134"/>
      <w:bookmarkEnd w:id="2"/>
      <w:r>
        <w:rPr>
          <w:rStyle w:val="72"/>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2"/>
      <w:bookmarkStart w:id="4" w:name="_Hlt527617983"/>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“协同办公平台</w:t>
      </w:r>
      <w:r>
        <w:rPr>
          <w:rFonts w:hint="eastAsia" w:hAnsi="宋体" w:cs="宋体"/>
          <w:color w:val="000000"/>
          <w:highlight w:val="none"/>
          <w:lang w:val="en-US" w:eastAsia="zh-CN"/>
        </w:rPr>
        <w:t>升级</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1、项目编号： GYGSZB-20230</w:t>
      </w:r>
      <w:r>
        <w:rPr>
          <w:rFonts w:hint="eastAsia" w:hAnsi="宋体"/>
          <w:color w:val="000000"/>
          <w:szCs w:val="18"/>
          <w:highlight w:val="none"/>
          <w:lang w:val="en-US" w:eastAsia="zh-CN"/>
        </w:rPr>
        <w:t>20</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w:t>
      </w:r>
      <w:r>
        <w:rPr>
          <w:rFonts w:hint="eastAsia" w:hAnsi="宋体" w:cs="宋体"/>
          <w:color w:val="000000"/>
          <w:highlight w:val="none"/>
        </w:rPr>
        <w:t>公用公司协同办公平台</w:t>
      </w:r>
      <w:r>
        <w:rPr>
          <w:rFonts w:hint="eastAsia" w:hAnsi="宋体" w:cs="宋体"/>
          <w:color w:val="000000"/>
          <w:highlight w:val="none"/>
          <w:lang w:val="en-US" w:eastAsia="zh-CN"/>
        </w:rPr>
        <w:t>升级</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438" w:firstLineChars="200"/>
        <w:jc w:val="left"/>
        <w:rPr>
          <w:rFonts w:asciiTheme="minorEastAsia" w:hAnsiTheme="minorEastAsia" w:eastAsiaTheme="minorEastAsia"/>
          <w:szCs w:val="24"/>
        </w:rPr>
      </w:pPr>
      <w:r>
        <w:rPr>
          <w:rFonts w:hint="eastAsia" w:hAnsi="宋体"/>
          <w:color w:val="000000"/>
          <w:szCs w:val="18"/>
          <w:highlight w:val="none"/>
        </w:rPr>
        <w:t>5、项目概况：</w:t>
      </w:r>
      <w:r>
        <w:rPr>
          <w:rFonts w:asciiTheme="minorEastAsia" w:hAnsiTheme="minorEastAsia" w:eastAsiaTheme="minorEastAsia"/>
          <w:szCs w:val="24"/>
        </w:rPr>
        <w:t>公司协同办公平台</w:t>
      </w:r>
      <w:r>
        <w:rPr>
          <w:rFonts w:hint="eastAsia" w:asciiTheme="minorEastAsia" w:hAnsiTheme="minorEastAsia" w:eastAsiaTheme="minorEastAsia"/>
          <w:szCs w:val="24"/>
        </w:rPr>
        <w:t>自2018</w:t>
      </w:r>
      <w:r>
        <w:rPr>
          <w:rFonts w:asciiTheme="minorEastAsia" w:hAnsiTheme="minorEastAsia" w:eastAsiaTheme="minorEastAsia"/>
          <w:szCs w:val="24"/>
        </w:rPr>
        <w:t>年</w:t>
      </w:r>
      <w:r>
        <w:rPr>
          <w:rFonts w:hint="eastAsia" w:asciiTheme="minorEastAsia" w:hAnsiTheme="minorEastAsia" w:eastAsiaTheme="minorEastAsia"/>
          <w:szCs w:val="24"/>
        </w:rPr>
        <w:t>10</w:t>
      </w:r>
      <w:r>
        <w:rPr>
          <w:rFonts w:asciiTheme="minorEastAsia" w:hAnsiTheme="minorEastAsia" w:eastAsiaTheme="minorEastAsia"/>
          <w:szCs w:val="24"/>
        </w:rPr>
        <w:t>月上线</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原</w:t>
      </w:r>
      <w:r>
        <w:rPr>
          <w:rFonts w:asciiTheme="minorEastAsia" w:hAnsiTheme="minorEastAsia" w:eastAsiaTheme="minorEastAsia"/>
          <w:szCs w:val="24"/>
        </w:rPr>
        <w:t>使用北京致远互联软</w:t>
      </w:r>
      <w:r>
        <w:rPr>
          <w:rFonts w:hint="eastAsia" w:asciiTheme="minorEastAsia" w:hAnsiTheme="minorEastAsia" w:eastAsiaTheme="minorEastAsia"/>
          <w:szCs w:val="24"/>
        </w:rPr>
        <w:t>件股份有限公司出品的</w:t>
      </w:r>
      <w:r>
        <w:rPr>
          <w:rFonts w:asciiTheme="minorEastAsia" w:hAnsiTheme="minorEastAsia" w:eastAsiaTheme="minorEastAsia"/>
          <w:szCs w:val="24"/>
        </w:rPr>
        <w:t>A8 V7.0sp3企业版，鉴于</w:t>
      </w:r>
      <w:r>
        <w:rPr>
          <w:rFonts w:hint="eastAsia" w:asciiTheme="minorEastAsia" w:hAnsiTheme="minorEastAsia" w:eastAsiaTheme="minorEastAsia"/>
          <w:szCs w:val="24"/>
        </w:rPr>
        <w:t>公司</w:t>
      </w:r>
      <w:r>
        <w:rPr>
          <w:rFonts w:asciiTheme="minorEastAsia" w:hAnsiTheme="minorEastAsia" w:eastAsiaTheme="minorEastAsia"/>
          <w:szCs w:val="24"/>
        </w:rPr>
        <w:t>协同办公系统目前的应用现状与使用问题，</w:t>
      </w:r>
      <w:r>
        <w:rPr>
          <w:rFonts w:hint="eastAsia" w:asciiTheme="minorEastAsia" w:hAnsiTheme="minorEastAsia" w:eastAsiaTheme="minorEastAsia"/>
          <w:szCs w:val="24"/>
          <w:lang w:val="en-US" w:eastAsia="zh-CN"/>
        </w:rPr>
        <w:t>现需</w:t>
      </w:r>
      <w:r>
        <w:rPr>
          <w:rFonts w:asciiTheme="minorEastAsia" w:hAnsiTheme="minorEastAsia" w:eastAsiaTheme="minorEastAsia"/>
          <w:szCs w:val="24"/>
        </w:rPr>
        <w:t>将协同办公平台升级到致远互联A8+8.2企业版。</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90000.00元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jc w:val="left"/>
        <w:rPr>
          <w:rFonts w:hint="eastAsia"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rFonts w:hint="default" w:hAnsi="宋体" w:eastAsia="宋体"/>
          <w:color w:val="000000"/>
          <w:szCs w:val="18"/>
          <w:highlight w:val="none"/>
          <w:lang w:val="en-US" w:eastAsia="zh-CN"/>
        </w:rPr>
      </w:pPr>
      <w:r>
        <w:rPr>
          <w:rFonts w:hint="eastAsia" w:hAnsi="宋体"/>
          <w:color w:val="000000"/>
          <w:szCs w:val="18"/>
          <w:highlight w:val="none"/>
          <w:lang w:val="en-US" w:eastAsia="zh-CN"/>
        </w:rPr>
        <w:t>2、具有本地化服务能力。</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int="eastAsia" w:hAnsi="宋体"/>
          <w:color w:val="000000"/>
          <w:szCs w:val="18"/>
          <w:highlight w:val="none"/>
          <w:lang w:val="en-US" w:eastAsia="zh-CN"/>
        </w:rPr>
      </w:pPr>
      <w:r>
        <w:rPr>
          <w:rFonts w:hint="eastAsia" w:hAnsi="宋体"/>
          <w:color w:val="000000"/>
          <w:szCs w:val="18"/>
          <w:highlight w:val="none"/>
        </w:rPr>
        <w:t xml:space="preserve">1、开标时间：2023年 </w:t>
      </w:r>
      <w:r>
        <w:rPr>
          <w:rFonts w:hint="eastAsia" w:hAnsi="宋体"/>
          <w:color w:val="000000"/>
          <w:szCs w:val="18"/>
          <w:highlight w:val="none"/>
          <w:lang w:val="en-US" w:eastAsia="zh-CN"/>
        </w:rPr>
        <w:t>5</w:t>
      </w:r>
      <w:r>
        <w:rPr>
          <w:rFonts w:hint="eastAsia" w:hAnsi="宋体"/>
          <w:color w:val="000000"/>
          <w:szCs w:val="18"/>
          <w:highlight w:val="none"/>
        </w:rPr>
        <w:t xml:space="preserve"> 月</w:t>
      </w:r>
      <w:r>
        <w:rPr>
          <w:rFonts w:hint="eastAsia" w:hAnsi="宋体"/>
          <w:color w:val="000000"/>
          <w:szCs w:val="18"/>
          <w:highlight w:val="none"/>
          <w:lang w:val="en-US" w:eastAsia="zh-CN"/>
        </w:rPr>
        <w:t>24</w:t>
      </w:r>
      <w:r>
        <w:rPr>
          <w:rFonts w:hint="eastAsia" w:hAnsi="宋体"/>
          <w:color w:val="000000"/>
          <w:szCs w:val="18"/>
          <w:highlight w:val="none"/>
        </w:rPr>
        <w:t xml:space="preserve"> 日10：</w:t>
      </w:r>
      <w:r>
        <w:rPr>
          <w:rFonts w:hint="eastAsia" w:hAnsi="宋体"/>
          <w:color w:val="000000"/>
          <w:szCs w:val="18"/>
          <w:highlight w:val="none"/>
          <w:lang w:val="en-US" w:eastAsia="zh-CN"/>
        </w:rPr>
        <w:t>00</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贾春燕</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w:t>
      </w:r>
      <w:r>
        <w:rPr>
          <w:rFonts w:hint="eastAsia" w:hAnsi="宋体" w:cs="宋体"/>
          <w:highlight w:val="none"/>
        </w:rPr>
        <w:t>048</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4"/>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eastAsia"/>
                <w:b w:val="0"/>
                <w:bCs w:val="0"/>
                <w:color w:val="000000"/>
                <w:sz w:val="24"/>
                <w:szCs w:val="18"/>
                <w:highlight w:val="none"/>
              </w:rPr>
              <w:t>公用公司协同办公平台</w:t>
            </w:r>
            <w:r>
              <w:rPr>
                <w:rFonts w:hint="eastAsia"/>
                <w:b w:val="0"/>
                <w:bCs w:val="0"/>
                <w:color w:val="000000"/>
                <w:sz w:val="24"/>
                <w:szCs w:val="18"/>
                <w:highlight w:val="none"/>
                <w:lang w:val="en-US" w:eastAsia="zh-CN"/>
              </w:rPr>
              <w:t>升级</w:t>
            </w:r>
            <w:r>
              <w:rPr>
                <w:rFonts w:hint="eastAsia"/>
                <w:b w:val="0"/>
                <w:bCs w:val="0"/>
                <w:color w:val="000000"/>
                <w:sz w:val="24"/>
                <w:szCs w:val="18"/>
                <w:highlight w:val="none"/>
              </w:rPr>
              <w:t>GYGSZB-20230</w:t>
            </w:r>
            <w:r>
              <w:rPr>
                <w:rFonts w:hint="eastAsia"/>
                <w:b w:val="0"/>
                <w:bCs w:val="0"/>
                <w:color w:val="000000"/>
                <w:sz w:val="24"/>
                <w:szCs w:val="18"/>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ascii="Tahoma" w:hAnsi="宋体" w:cs="宋体"/>
                <w:color w:val="000000"/>
                <w:szCs w:val="21"/>
                <w:highlight w:val="none"/>
              </w:rPr>
            </w:pPr>
            <w:r>
              <w:rPr>
                <w:rFonts w:hint="eastAsia" w:ascii="Tahoma" w:hAnsi="宋体" w:cs="宋体"/>
                <w:color w:val="000000"/>
                <w:szCs w:val="21"/>
                <w:highlight w:val="none"/>
              </w:rPr>
              <w:t>付款方式：本项目无预付款，合同签订后，</w:t>
            </w:r>
            <w:r>
              <w:rPr>
                <w:rFonts w:hint="eastAsia" w:ascii="Tahoma" w:hAnsi="宋体" w:cs="宋体"/>
                <w:bCs/>
                <w:color w:val="000000"/>
                <w:szCs w:val="21"/>
                <w:highlight w:val="none"/>
                <w:lang w:val="en-US" w:eastAsia="zh-CN"/>
              </w:rPr>
              <w:t>分批次</w:t>
            </w:r>
            <w:r>
              <w:rPr>
                <w:rFonts w:ascii="Tahoma" w:hAnsi="宋体" w:cs="宋体"/>
                <w:bCs/>
                <w:color w:val="000000"/>
                <w:szCs w:val="21"/>
                <w:highlight w:val="none"/>
              </w:rPr>
              <w:t>支付</w:t>
            </w:r>
            <w:r>
              <w:rPr>
                <w:rFonts w:hint="eastAsia" w:ascii="Tahoma" w:hAnsi="宋体" w:cs="宋体"/>
                <w:bCs/>
                <w:color w:val="000000"/>
                <w:szCs w:val="21"/>
                <w:highlight w:val="none"/>
              </w:rPr>
              <w:t>，</w:t>
            </w:r>
            <w:r>
              <w:rPr>
                <w:rFonts w:hint="eastAsia" w:ascii="Tahoma" w:hAnsi="宋体" w:cs="宋体"/>
                <w:color w:val="000000"/>
                <w:szCs w:val="21"/>
                <w:highlight w:val="none"/>
              </w:rPr>
              <w:t>费用结算一律采用转账方式办理，不使用现金。乙方提供增值税专用发票。</w:t>
            </w:r>
          </w:p>
          <w:p>
            <w:pPr>
              <w:pStyle w:val="222"/>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5"/>
              <w:spacing w:line="360" w:lineRule="auto"/>
              <w:ind w:firstLine="0" w:firstLineChars="0"/>
              <w:rPr>
                <w:rFonts w:hint="eastAsia" w:cs="宋体" w:asciiTheme="minorEastAsia" w:hAnsiTheme="minorEastAsia" w:eastAsiaTheme="minorEastAsia"/>
                <w:color w:val="000000"/>
                <w:sz w:val="24"/>
                <w:szCs w:val="24"/>
                <w:highlight w:val="none"/>
                <w:lang w:eastAsia="zh-CN"/>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期限：1年</w:t>
            </w:r>
            <w:r>
              <w:rPr>
                <w:rFonts w:hint="eastAsia" w:cs="仿宋_GB2312" w:asciiTheme="minorEastAsia" w:hAnsiTheme="minorEastAsia" w:eastAsiaTheme="minorEastAsia"/>
                <w:sz w:val="24"/>
                <w:szCs w:val="24"/>
                <w:highlight w:val="none"/>
                <w:lang w:eastAsia="zh-CN"/>
              </w:rPr>
              <w:t>。</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 </w:t>
            </w:r>
            <w:r>
              <w:rPr>
                <w:rFonts w:hint="eastAsia" w:hAnsi="宋体"/>
                <w:b/>
                <w:bCs/>
                <w:color w:val="000000"/>
                <w:highlight w:val="none"/>
                <w:lang w:val="en-US" w:eastAsia="zh-CN"/>
              </w:rPr>
              <w:t>5</w:t>
            </w:r>
            <w:r>
              <w:rPr>
                <w:rFonts w:hint="eastAsia" w:hAnsi="宋体"/>
                <w:b/>
                <w:bCs/>
                <w:color w:val="000000"/>
                <w:highlight w:val="none"/>
              </w:rPr>
              <w:t xml:space="preserve"> 月 </w:t>
            </w:r>
            <w:r>
              <w:rPr>
                <w:rFonts w:hint="eastAsia" w:hAnsi="宋体"/>
                <w:b/>
                <w:bCs/>
                <w:color w:val="000000"/>
                <w:highlight w:val="none"/>
                <w:lang w:val="en-US" w:eastAsia="zh-CN"/>
              </w:rPr>
              <w:t>24</w:t>
            </w:r>
            <w:r>
              <w:rPr>
                <w:rFonts w:hint="eastAsia" w:hAnsi="宋体"/>
                <w:b/>
                <w:bCs/>
                <w:color w:val="000000"/>
                <w:highlight w:val="none"/>
              </w:rPr>
              <w:t xml:space="preserve"> 日</w:t>
            </w:r>
            <w:r>
              <w:rPr>
                <w:rFonts w:hint="eastAsia" w:hAnsi="宋体"/>
                <w:b/>
                <w:bCs/>
                <w:color w:val="000000"/>
                <w:highlight w:val="none"/>
                <w:lang w:val="en-US" w:eastAsia="zh-CN"/>
              </w:rPr>
              <w:t>10</w:t>
            </w:r>
            <w:r>
              <w:rPr>
                <w:rFonts w:hint="eastAsia" w:hAnsi="宋体"/>
                <w:b/>
                <w:bCs/>
                <w:color w:val="000000"/>
                <w:highlight w:val="none"/>
              </w:rPr>
              <w:t>:</w:t>
            </w:r>
            <w:r>
              <w:rPr>
                <w:rFonts w:hint="eastAsia" w:hAnsi="宋体"/>
                <w:b/>
                <w:bCs/>
                <w:color w:val="000000"/>
                <w:highlight w:val="none"/>
                <w:lang w:val="en-US" w:eastAsia="zh-CN"/>
              </w:rPr>
              <w:t>0</w:t>
            </w:r>
            <w:r>
              <w:rPr>
                <w:rFonts w:hint="eastAsia" w:hAnsi="宋体"/>
                <w:b/>
                <w:bCs/>
                <w:color w:val="000000"/>
                <w:highlight w:val="none"/>
              </w:rPr>
              <w:t>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color w:val="000000"/>
                <w:highlight w:val="none"/>
              </w:rPr>
            </w:pPr>
            <w:r>
              <w:rPr>
                <w:rFonts w:hAnsi="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rPr>
              <w:t>开标前未按规定办理本项目交纳投标保证金的，报价无效。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bookmarkEnd w:id="8"/>
      <w:bookmarkEnd w:id="9"/>
    </w:tbl>
    <w:p>
      <w:pPr>
        <w:pStyle w:val="2"/>
        <w:spacing w:before="260" w:after="260" w:line="500" w:lineRule="exact"/>
        <w:jc w:val="both"/>
        <w:rPr>
          <w:rFonts w:hAnsi="宋体"/>
          <w:color w:val="000000"/>
          <w:highlight w:val="none"/>
        </w:rPr>
      </w:pPr>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50955"/>
      <w:bookmarkEnd w:id="12"/>
      <w:bookmarkStart w:id="13" w:name="_Hlt509650686"/>
      <w:bookmarkEnd w:id="13"/>
      <w:bookmarkStart w:id="14" w:name="_Hlt509650126"/>
      <w:bookmarkEnd w:id="14"/>
      <w:bookmarkStart w:id="15" w:name="_Hlt509649998"/>
      <w:bookmarkEnd w:id="15"/>
      <w:bookmarkStart w:id="16" w:name="_Hlt509649722"/>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49795"/>
      <w:bookmarkEnd w:id="18"/>
      <w:bookmarkStart w:id="19" w:name="_Hlt509649669"/>
      <w:bookmarkEnd w:id="19"/>
      <w:bookmarkStart w:id="20" w:name="_Hlt526418153"/>
      <w:bookmarkEnd w:id="20"/>
      <w:bookmarkStart w:id="21" w:name="_Hlt509650961"/>
      <w:bookmarkEnd w:id="21"/>
      <w:bookmarkStart w:id="22" w:name="_Hlt509649330"/>
      <w:bookmarkEnd w:id="22"/>
      <w:bookmarkStart w:id="23" w:name="_Hlt509650333"/>
      <w:bookmarkEnd w:id="23"/>
      <w:bookmarkStart w:id="24" w:name="_Hlt509650932"/>
      <w:bookmarkEnd w:id="24"/>
      <w:bookmarkStart w:id="25" w:name="_Hlt509650103"/>
      <w:bookmarkEnd w:id="25"/>
      <w:bookmarkStart w:id="26" w:name="_Hlt509650690"/>
      <w:bookmarkEnd w:id="26"/>
      <w:bookmarkStart w:id="27" w:name="_Hlt509649645"/>
      <w:bookmarkEnd w:id="27"/>
      <w:bookmarkStart w:id="28" w:name="_Hlt509649678"/>
      <w:bookmarkEnd w:id="28"/>
      <w:bookmarkStart w:id="29" w:name="_Hlt509650929"/>
      <w:bookmarkEnd w:id="29"/>
      <w:bookmarkStart w:id="30" w:name="_Hlt509650116"/>
      <w:bookmarkEnd w:id="30"/>
      <w:bookmarkStart w:id="31" w:name="_Hlt509650936"/>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2"/>
          <w:rFonts w:hAnsi="宋体"/>
          <w:szCs w:val="24"/>
          <w:highlight w:val="none"/>
        </w:rPr>
        <w:t>http://www.hfpudc.com/</w:t>
      </w:r>
      <w:r>
        <w:rPr>
          <w:rStyle w:val="72"/>
          <w:rFonts w:hAnsi="宋体"/>
          <w:szCs w:val="24"/>
          <w:highlight w:val="none"/>
        </w:rPr>
        <w:fldChar w:fldCharType="end"/>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7"/>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both"/>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38" w:firstLineChars="200"/>
        <w:outlineLvl w:val="0"/>
        <w:rPr>
          <w:rFonts w:hint="eastAsia"/>
          <w:b/>
          <w:bCs/>
          <w:sz w:val="24"/>
          <w:szCs w:val="24"/>
        </w:rPr>
      </w:pPr>
      <w:r>
        <w:rPr>
          <w:rFonts w:hint="eastAsia"/>
          <w:b/>
          <w:bCs/>
          <w:sz w:val="24"/>
          <w:szCs w:val="24"/>
        </w:rPr>
        <w:t>项目评分标准</w:t>
      </w:r>
    </w:p>
    <w:p>
      <w:pPr>
        <w:spacing w:line="360" w:lineRule="auto"/>
        <w:ind w:firstLine="438" w:firstLineChars="200"/>
        <w:outlineLvl w:val="0"/>
        <w:rPr>
          <w:rFonts w:hint="eastAsia"/>
          <w:b/>
          <w:bCs/>
          <w:sz w:val="24"/>
          <w:szCs w:val="24"/>
        </w:rPr>
      </w:pPr>
    </w:p>
    <w:tbl>
      <w:tblPr>
        <w:tblStyle w:val="65"/>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637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bookmarkStart w:id="49" w:name="_Hlk113615015"/>
            <w:r>
              <w:rPr>
                <w:rFonts w:hint="eastAsia" w:ascii="宋体" w:hAnsi="宋体" w:cs="宋体"/>
                <w:b/>
                <w:bCs/>
                <w:sz w:val="24"/>
                <w:szCs w:val="24"/>
              </w:rPr>
              <w:t>评分内容</w:t>
            </w:r>
          </w:p>
        </w:tc>
        <w:tc>
          <w:tcPr>
            <w:tcW w:w="63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r>
              <w:rPr>
                <w:rFonts w:hint="eastAsia" w:ascii="宋体" w:hAnsi="宋体" w:cs="宋体"/>
                <w:b/>
                <w:bCs/>
                <w:sz w:val="24"/>
                <w:szCs w:val="24"/>
              </w:rPr>
              <w:t>评分标准</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r>
              <w:rPr>
                <w:rFonts w:hint="eastAsia" w:ascii="宋体" w:hAnsi="宋体" w:cs="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05" w:leftChars="48" w:firstLine="14" w:firstLineChars="7"/>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报价</w:t>
            </w:r>
          </w:p>
        </w:tc>
        <w:tc>
          <w:tcPr>
            <w:tcW w:w="6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评标委员会对各投标人的投标报价有效性核查后，有效投标报价中最低的为评标基准价，得30分。其他投标人的投标报价得分统一按下列公式计算：投标报价得分=（评标基准价/投标报价）*30。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98" w:firstLineChars="200"/>
              <w:jc w:val="both"/>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企业荣誉</w:t>
            </w:r>
          </w:p>
        </w:tc>
        <w:tc>
          <w:tcPr>
            <w:tcW w:w="63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1、投标人提供相关文件证明自身有项目承建和合同履约能力，包括：高新技术企业、双软认证企业、致远互联专营伙伴授权书、大数据企业等</w:t>
            </w:r>
          </w:p>
          <w:p>
            <w:pPr>
              <w:snapToGrid w:val="0"/>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以上证书每提供一个得3分，最高得</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分；</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kern w:val="0"/>
                <w:sz w:val="22"/>
                <w:szCs w:val="22"/>
                <w:highlight w:val="none"/>
              </w:rPr>
              <w:t>注：投标文件中提供表彰证书、批复、颁奖单位颁奖文件、网上公示截图（具有其中之一即可）等证明材料。以上材料提供扫描件或影印件，须能体现投标人名称，如无法体现，须另附颁奖单位的相关证明材料。</w:t>
            </w:r>
            <w:r>
              <w:rPr>
                <w:rFonts w:hint="eastAsia" w:ascii="宋体" w:hAnsi="宋体" w:eastAsia="宋体" w:cs="宋体"/>
                <w:b w:val="0"/>
                <w:bCs w:val="0"/>
                <w:kern w:val="0"/>
                <w:sz w:val="22"/>
                <w:szCs w:val="22"/>
                <w:highlight w:val="none"/>
                <w:lang w:eastAsia="zh-CN"/>
              </w:rPr>
              <w:t>）</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w:t>
            </w:r>
            <w:r>
              <w:rPr>
                <w:rFonts w:hint="eastAsia" w:ascii="宋体" w:hAnsi="宋体" w:eastAsia="宋体" w:cs="宋体"/>
                <w:bCs/>
                <w:sz w:val="22"/>
                <w:szCs w:val="22"/>
                <w:highlight w:val="none"/>
                <w:lang w:val="en-US" w:eastAsia="zh-CN"/>
              </w:rPr>
              <w:t>9</w:t>
            </w:r>
            <w:r>
              <w:rPr>
                <w:rFonts w:hint="eastAsia" w:ascii="宋体" w:hAnsi="宋体" w:eastAsia="宋体" w:cs="宋体"/>
                <w:bCs/>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9"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05" w:leftChars="48" w:firstLine="14" w:firstLineChars="7"/>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投标供应商项目业绩</w:t>
            </w:r>
          </w:p>
        </w:tc>
        <w:tc>
          <w:tcPr>
            <w:tcW w:w="6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自2019年1月1日以来，具有20万以上的协同办公系统相关项目业绩，每个业绩得3分，</w:t>
            </w:r>
            <w:r>
              <w:rPr>
                <w:rFonts w:hint="eastAsia" w:ascii="宋体" w:hAnsi="宋体" w:eastAsia="宋体" w:cs="宋体"/>
                <w:sz w:val="22"/>
                <w:szCs w:val="22"/>
                <w:highlight w:val="none"/>
                <w:lang w:val="en-US" w:eastAsia="zh-CN"/>
              </w:rPr>
              <w:t>最高得9</w:t>
            </w:r>
            <w:r>
              <w:rPr>
                <w:rFonts w:hint="eastAsia" w:ascii="宋体" w:hAnsi="宋体" w:eastAsia="宋体" w:cs="宋体"/>
                <w:sz w:val="22"/>
                <w:szCs w:val="22"/>
                <w:highlight w:val="none"/>
              </w:rPr>
              <w:t>分。（</w:t>
            </w:r>
            <w:r>
              <w:rPr>
                <w:rFonts w:hint="eastAsia" w:ascii="宋体" w:hAnsi="宋体" w:eastAsia="宋体" w:cs="宋体"/>
                <w:bCs/>
                <w:kern w:val="0"/>
                <w:sz w:val="22"/>
                <w:szCs w:val="22"/>
                <w:highlight w:val="none"/>
              </w:rPr>
              <w:t>注：提供加盖委托单位（合同甲方）公章的协议书影印件或扫描件。如不能体现签订时间和服务内容等关键评审内容的，须另附委托单位（合同甲方）证明影印件或扫描件，否则不得分。</w:t>
            </w:r>
            <w:r>
              <w:rPr>
                <w:rFonts w:hint="eastAsia" w:ascii="宋体" w:hAnsi="宋体" w:eastAsia="宋体" w:cs="宋体"/>
                <w:sz w:val="22"/>
                <w:szCs w:val="22"/>
                <w:highlight w:val="none"/>
              </w:rPr>
              <w:t>）</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w:t>
            </w:r>
            <w:r>
              <w:rPr>
                <w:rFonts w:hint="eastAsia" w:ascii="宋体" w:hAnsi="宋体" w:eastAsia="宋体" w:cs="宋体"/>
                <w:bCs/>
                <w:sz w:val="22"/>
                <w:szCs w:val="22"/>
                <w:highlight w:val="none"/>
                <w:lang w:val="en-US" w:eastAsia="zh-CN"/>
              </w:rPr>
              <w:t>9</w:t>
            </w:r>
            <w:r>
              <w:rPr>
                <w:rFonts w:hint="eastAsia" w:ascii="宋体" w:hAnsi="宋体" w:eastAsia="宋体" w:cs="宋体"/>
                <w:bCs/>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rPr>
              <w:t>整体技术方案描述、系统及模块需求理解描述</w:t>
            </w:r>
          </w:p>
        </w:tc>
        <w:tc>
          <w:tcPr>
            <w:tcW w:w="6375" w:type="dxa"/>
            <w:tcBorders>
              <w:top w:val="single" w:color="auto" w:sz="4" w:space="0"/>
              <w:left w:val="single" w:color="auto" w:sz="4" w:space="0"/>
              <w:bottom w:val="single" w:color="auto" w:sz="4" w:space="0"/>
              <w:right w:val="single" w:color="auto" w:sz="4" w:space="0"/>
            </w:tcBorders>
            <w:vAlign w:val="center"/>
          </w:tcPr>
          <w:p>
            <w:pPr>
              <w:pStyle w:val="59"/>
              <w:spacing w:before="0" w:beforeAutospacing="0" w:after="0" w:afterAutospacing="0"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bCs/>
                <w:kern w:val="0"/>
                <w:sz w:val="22"/>
                <w:szCs w:val="22"/>
                <w:highlight w:val="none"/>
              </w:rPr>
              <w:t>投标人编制服务方案应至少包括</w:t>
            </w:r>
            <w:r>
              <w:rPr>
                <w:rFonts w:hint="eastAsia" w:ascii="宋体" w:hAnsi="宋体" w:eastAsia="宋体" w:cs="宋体"/>
                <w:bCs/>
                <w:kern w:val="0"/>
                <w:sz w:val="22"/>
                <w:szCs w:val="22"/>
                <w:highlight w:val="none"/>
                <w:lang w:eastAsia="zh-CN"/>
              </w:rPr>
              <w:t>项目招标文件中技术及功能需求的要点及相应的解决方法阐述。</w:t>
            </w:r>
            <w:r>
              <w:rPr>
                <w:rFonts w:hint="eastAsia" w:ascii="宋体" w:hAnsi="宋体" w:eastAsia="宋体" w:cs="宋体"/>
                <w:sz w:val="22"/>
                <w:szCs w:val="22"/>
                <w:highlight w:val="none"/>
              </w:rPr>
              <w:t>投标人需提供所投OA产品平滑升级、无缝对接兼容性方案：包含描述平滑升级的相关方案。方案合理清晰，切合实际，技术响应无偏差，证明材料充分</w:t>
            </w:r>
            <w:r>
              <w:rPr>
                <w:rFonts w:hint="eastAsia" w:ascii="宋体" w:hAnsi="宋体" w:eastAsia="宋体" w:cs="宋体"/>
                <w:sz w:val="22"/>
                <w:szCs w:val="22"/>
                <w:highlight w:val="none"/>
                <w:lang w:eastAsia="zh-CN"/>
              </w:rPr>
              <w:t>，</w:t>
            </w:r>
            <w:r>
              <w:rPr>
                <w:rFonts w:hint="eastAsia" w:ascii="宋体" w:hAnsi="宋体" w:eastAsia="宋体" w:cs="宋体"/>
                <w:bCs/>
                <w:kern w:val="0"/>
                <w:sz w:val="22"/>
                <w:szCs w:val="22"/>
                <w:highlight w:val="none"/>
              </w:rPr>
              <w:t>评委根据上述服务方案内容的全面性等方面横向比较后进行综合评价。</w:t>
            </w:r>
            <w:r>
              <w:rPr>
                <w:rFonts w:hint="eastAsia" w:ascii="宋体" w:hAnsi="宋体" w:eastAsia="宋体" w:cs="宋体"/>
                <w:bCs/>
                <w:kern w:val="0"/>
                <w:sz w:val="22"/>
                <w:szCs w:val="22"/>
                <w:highlight w:val="none"/>
                <w:lang w:eastAsia="zh-CN"/>
              </w:rPr>
              <w:t>总分</w:t>
            </w:r>
            <w:r>
              <w:rPr>
                <w:rFonts w:hint="eastAsia" w:ascii="宋体" w:hAnsi="宋体" w:eastAsia="宋体" w:cs="宋体"/>
                <w:bCs/>
                <w:kern w:val="0"/>
                <w:sz w:val="22"/>
                <w:szCs w:val="22"/>
                <w:highlight w:val="none"/>
                <w:lang w:val="en-US" w:eastAsia="zh-CN"/>
              </w:rPr>
              <w:t>20分。</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2"/>
                <w:szCs w:val="22"/>
                <w:highlight w:val="none"/>
                <w:lang w:val="en-US" w:eastAsia="zh-CN" w:bidi="ar-SA"/>
              </w:rPr>
            </w:pPr>
            <w:r>
              <w:rPr>
                <w:rFonts w:hint="eastAsia" w:ascii="宋体" w:hAnsi="宋体" w:eastAsia="宋体" w:cs="宋体"/>
                <w:bCs/>
                <w:sz w:val="22"/>
                <w:szCs w:val="22"/>
                <w:highlight w:val="none"/>
              </w:rPr>
              <w:t>0-</w:t>
            </w:r>
            <w:r>
              <w:rPr>
                <w:rFonts w:hint="eastAsia" w:ascii="宋体" w:hAnsi="宋体" w:eastAsia="宋体" w:cs="宋体"/>
                <w:bCs/>
                <w:sz w:val="22"/>
                <w:szCs w:val="22"/>
                <w:highlight w:val="none"/>
                <w:lang w:val="en-US" w:eastAsia="zh-CN"/>
              </w:rPr>
              <w:t>20</w:t>
            </w:r>
            <w:r>
              <w:rPr>
                <w:rFonts w:hint="eastAsia" w:ascii="宋体" w:hAnsi="宋体" w:eastAsia="宋体" w:cs="宋体"/>
                <w:bCs/>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vertAlign w:val="baseline"/>
                <w:lang w:eastAsia="zh-CN"/>
              </w:rPr>
              <w:t>工期承诺</w:t>
            </w:r>
          </w:p>
        </w:tc>
        <w:tc>
          <w:tcPr>
            <w:tcW w:w="6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398" w:firstLineChars="200"/>
              <w:jc w:val="left"/>
              <w:textAlignment w:val="auto"/>
              <w:rPr>
                <w:rFonts w:hint="eastAsia" w:ascii="宋体" w:hAnsi="宋体" w:eastAsia="宋体" w:cs="宋体"/>
                <w:sz w:val="22"/>
                <w:szCs w:val="22"/>
                <w:highlight w:val="none"/>
                <w:lang w:val="en-US" w:eastAsia="zh-CN" w:bidi="ar-SA"/>
              </w:rPr>
            </w:pPr>
            <w:r>
              <w:rPr>
                <w:rFonts w:hint="eastAsia" w:ascii="宋体" w:hAnsi="宋体" w:eastAsia="宋体" w:cs="宋体"/>
                <w:bCs/>
                <w:kern w:val="0"/>
                <w:sz w:val="22"/>
                <w:szCs w:val="22"/>
                <w:highlight w:val="none"/>
                <w:lang w:eastAsia="zh-CN"/>
              </w:rPr>
              <w:t>投标人按照要求完成</w:t>
            </w:r>
            <w:r>
              <w:rPr>
                <w:rFonts w:hint="eastAsia" w:hAnsi="宋体" w:cs="宋体"/>
                <w:bCs/>
                <w:kern w:val="0"/>
                <w:sz w:val="22"/>
                <w:szCs w:val="22"/>
                <w:highlight w:val="none"/>
                <w:lang w:val="en-US" w:eastAsia="zh-CN"/>
              </w:rPr>
              <w:t>项目</w:t>
            </w:r>
            <w:r>
              <w:rPr>
                <w:rFonts w:hint="eastAsia" w:ascii="宋体" w:hAnsi="宋体" w:eastAsia="宋体" w:cs="宋体"/>
                <w:bCs/>
                <w:kern w:val="0"/>
                <w:sz w:val="22"/>
                <w:szCs w:val="22"/>
                <w:highlight w:val="none"/>
                <w:lang w:eastAsia="zh-CN"/>
              </w:rPr>
              <w:t>施工，承诺在</w:t>
            </w:r>
            <w:r>
              <w:rPr>
                <w:rFonts w:hint="eastAsia" w:ascii="宋体" w:hAnsi="宋体" w:eastAsia="宋体" w:cs="宋体"/>
                <w:bCs/>
                <w:kern w:val="0"/>
                <w:sz w:val="22"/>
                <w:szCs w:val="22"/>
                <w:highlight w:val="none"/>
                <w:lang w:val="en-US" w:eastAsia="zh-CN"/>
              </w:rPr>
              <w:t>20日内完成施工的得20分，在30日内完成施工的得10分。</w:t>
            </w:r>
          </w:p>
        </w:tc>
        <w:tc>
          <w:tcPr>
            <w:tcW w:w="1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2"/>
                <w:szCs w:val="22"/>
                <w:highlight w:val="none"/>
                <w:lang w:val="en-US" w:eastAsia="zh-CN" w:bidi="ar-SA"/>
              </w:rPr>
            </w:pPr>
            <w:r>
              <w:rPr>
                <w:rFonts w:hint="eastAsia" w:ascii="宋体" w:hAnsi="宋体" w:eastAsia="宋体" w:cs="宋体"/>
                <w:sz w:val="22"/>
                <w:szCs w:val="22"/>
                <w:highlight w:val="none"/>
                <w:vertAlign w:val="baseli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2"/>
                <w:szCs w:val="22"/>
                <w:highlight w:val="none"/>
              </w:rPr>
            </w:pPr>
          </w:p>
          <w:p>
            <w:pPr>
              <w:spacing w:line="36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服务及培训方案</w:t>
            </w:r>
          </w:p>
        </w:tc>
        <w:tc>
          <w:tcPr>
            <w:tcW w:w="63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提供成熟、详细的运维服务体系以及详细的培训实施方案，方案科学、合理、针对性强，有能力配合采购人对系统进行指导、安装、培训；故障处理响应速度快，能够充分满足招标人的需求；</w:t>
            </w:r>
          </w:p>
          <w:p>
            <w:pPr>
              <w:snapToGrid w:val="0"/>
              <w:spacing w:line="360" w:lineRule="auto"/>
              <w:rPr>
                <w:rFonts w:hint="eastAsia" w:ascii="宋体" w:hAnsi="宋体" w:eastAsia="宋体" w:cs="宋体"/>
                <w:sz w:val="22"/>
                <w:szCs w:val="22"/>
                <w:highlight w:val="none"/>
                <w:lang w:val="en-US" w:eastAsia="zh-CN" w:bidi="ar-SA"/>
              </w:rPr>
            </w:pPr>
            <w:r>
              <w:rPr>
                <w:rFonts w:hint="eastAsia" w:ascii="宋体" w:hAnsi="宋体" w:eastAsia="宋体" w:cs="宋体"/>
                <w:bCs/>
                <w:kern w:val="0"/>
                <w:sz w:val="22"/>
                <w:szCs w:val="22"/>
                <w:highlight w:val="none"/>
              </w:rPr>
              <w:t>评委根据上述</w:t>
            </w:r>
            <w:r>
              <w:rPr>
                <w:rFonts w:hint="eastAsia" w:hAnsi="宋体" w:cs="宋体"/>
                <w:bCs/>
                <w:kern w:val="0"/>
                <w:sz w:val="22"/>
                <w:szCs w:val="22"/>
                <w:highlight w:val="none"/>
                <w:lang w:val="en-US" w:eastAsia="zh-CN"/>
              </w:rPr>
              <w:t>服务培训</w:t>
            </w:r>
            <w:r>
              <w:rPr>
                <w:rFonts w:hint="eastAsia" w:ascii="宋体" w:hAnsi="宋体" w:eastAsia="宋体" w:cs="宋体"/>
                <w:bCs/>
                <w:kern w:val="0"/>
                <w:sz w:val="22"/>
                <w:szCs w:val="22"/>
                <w:highlight w:val="none"/>
              </w:rPr>
              <w:t>方案内容的全面性等方面横向比较后进行综合评价。</w:t>
            </w:r>
            <w:r>
              <w:rPr>
                <w:rFonts w:hint="eastAsia" w:ascii="宋体" w:hAnsi="宋体" w:eastAsia="宋体" w:cs="宋体"/>
                <w:bCs/>
                <w:kern w:val="0"/>
                <w:sz w:val="22"/>
                <w:szCs w:val="22"/>
                <w:highlight w:val="none"/>
                <w:lang w:eastAsia="zh-CN"/>
              </w:rPr>
              <w:t>总分</w:t>
            </w:r>
            <w:r>
              <w:rPr>
                <w:rFonts w:hint="eastAsia" w:hAnsi="宋体" w:cs="宋体"/>
                <w:bCs/>
                <w:kern w:val="0"/>
                <w:sz w:val="22"/>
                <w:szCs w:val="22"/>
                <w:highlight w:val="none"/>
                <w:lang w:val="en-US" w:eastAsia="zh-CN"/>
              </w:rPr>
              <w:t>12</w:t>
            </w:r>
            <w:r>
              <w:rPr>
                <w:rFonts w:hint="eastAsia" w:ascii="宋体" w:hAnsi="宋体" w:eastAsia="宋体" w:cs="宋体"/>
                <w:bCs/>
                <w:kern w:val="0"/>
                <w:sz w:val="22"/>
                <w:szCs w:val="22"/>
                <w:highlight w:val="none"/>
                <w:lang w:val="en-US" w:eastAsia="zh-CN"/>
              </w:rPr>
              <w:t>分。</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2"/>
                <w:szCs w:val="22"/>
                <w:highlight w:val="none"/>
                <w:lang w:val="en-US" w:eastAsia="zh-CN" w:bidi="ar-SA"/>
              </w:rPr>
            </w:pPr>
            <w:r>
              <w:rPr>
                <w:rFonts w:hint="eastAsia" w:ascii="宋体" w:hAnsi="宋体" w:eastAsia="宋体" w:cs="宋体"/>
                <w:bCs/>
                <w:sz w:val="22"/>
                <w:szCs w:val="22"/>
                <w:highlight w:val="none"/>
              </w:rPr>
              <w:t>0-1</w:t>
            </w:r>
            <w:r>
              <w:rPr>
                <w:rFonts w:hint="eastAsia" w:ascii="宋体" w:hAnsi="宋体" w:eastAsia="宋体" w:cs="宋体"/>
                <w:bCs/>
                <w:sz w:val="22"/>
                <w:szCs w:val="22"/>
                <w:highlight w:val="none"/>
                <w:lang w:val="en-US" w:eastAsia="zh-CN"/>
              </w:rPr>
              <w:t>2</w:t>
            </w:r>
          </w:p>
        </w:tc>
      </w:tr>
      <w:bookmarkEnd w:id="49"/>
    </w:tbl>
    <w:p>
      <w:pPr>
        <w:widowControl/>
        <w:spacing w:line="360" w:lineRule="auto"/>
        <w:jc w:val="left"/>
        <w:rPr>
          <w:rFonts w:hint="eastAsia" w:ascii="宋体" w:hAnsi="宋体" w:eastAsia="宋体" w:cs="宋体"/>
          <w:color w:val="000000"/>
          <w:sz w:val="22"/>
          <w:szCs w:val="22"/>
          <w:highlight w:val="none"/>
        </w:rPr>
      </w:pPr>
    </w:p>
    <w:p>
      <w:pPr>
        <w:spacing w:line="360" w:lineRule="auto"/>
        <w:outlineLvl w:val="0"/>
        <w:rPr>
          <w:rFonts w:hint="eastAsia" w:ascii="宋体" w:hAnsi="宋体" w:eastAsia="宋体" w:cs="宋体"/>
          <w:sz w:val="22"/>
          <w:szCs w:val="22"/>
        </w:rPr>
      </w:pP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lang w:val="en-US" w:eastAsia="zh-CN"/>
        </w:rPr>
        <w:t>30</w:t>
      </w:r>
      <w:r>
        <w:rPr>
          <w:rFonts w:hint="eastAsia" w:hAnsi="宋体"/>
          <w:color w:val="000000"/>
          <w:highlight w:val="yellow"/>
        </w:rPr>
        <w:t>%</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int="eastAsia" w:hAnsi="宋体" w:eastAsia="宋体" w:cs="宋体"/>
          <w:color w:val="000000"/>
          <w:highlight w:val="none"/>
          <w:lang w:eastAsia="zh-CN"/>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p>
    <w:p>
      <w:pPr>
        <w:spacing w:line="360" w:lineRule="auto"/>
        <w:ind w:firstLine="438" w:firstLineChars="200"/>
        <w:rPr>
          <w:rFonts w:hAnsi="宋体"/>
          <w:color w:val="000000"/>
          <w:szCs w:val="24"/>
          <w:highlight w:val="none"/>
        </w:rPr>
      </w:pP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50" w:name="_Toc527131320"/>
      <w:r>
        <w:rPr>
          <w:rFonts w:hint="eastAsia" w:ascii="宋体" w:hAnsi="宋体" w:eastAsia="宋体"/>
          <w:color w:val="000000"/>
          <w:sz w:val="24"/>
          <w:szCs w:val="24"/>
          <w:highlight w:val="none"/>
        </w:rPr>
        <w:t>（六）确定成交供应商与签订合同</w:t>
      </w:r>
      <w:bookmarkEnd w:id="50"/>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1" w:name="_Hlt509649724"/>
      <w:bookmarkEnd w:id="51"/>
      <w:bookmarkStart w:id="52" w:name="_Hlt509650697"/>
      <w:bookmarkEnd w:id="52"/>
      <w:bookmarkStart w:id="53" w:name="_Hlt510342861"/>
      <w:bookmarkEnd w:id="53"/>
      <w:bookmarkStart w:id="54" w:name="_Toc463041898"/>
      <w:bookmarkStart w:id="55" w:name="_Toc427016287"/>
      <w:bookmarkStart w:id="56" w:name="_Toc427106476"/>
      <w:bookmarkStart w:id="57" w:name="_Toc527131321"/>
      <w:r>
        <w:rPr>
          <w:rFonts w:hint="eastAsia" w:hAnsi="宋体"/>
          <w:b/>
          <w:color w:val="000000"/>
          <w:sz w:val="30"/>
          <w:szCs w:val="30"/>
          <w:highlight w:val="none"/>
        </w:rPr>
        <w:t>四、采购合同</w:t>
      </w:r>
      <w:bookmarkEnd w:id="54"/>
      <w:bookmarkEnd w:id="55"/>
      <w:bookmarkEnd w:id="56"/>
      <w:bookmarkEnd w:id="57"/>
    </w:p>
    <w:p>
      <w:pPr>
        <w:pStyle w:val="3"/>
        <w:spacing w:before="0" w:after="120" w:line="360" w:lineRule="auto"/>
        <w:ind w:firstLine="3588" w:firstLineChars="1200"/>
        <w:jc w:val="both"/>
        <w:rPr>
          <w:rFonts w:hint="eastAsia" w:ascii="宋体" w:hAnsi="宋体" w:eastAsia="宋体"/>
          <w:color w:val="000000"/>
        </w:rPr>
      </w:pPr>
      <w:bookmarkStart w:id="58" w:name="_Toc121411234"/>
      <w:bookmarkStart w:id="59" w:name="_Toc527117258"/>
      <w:bookmarkStart w:id="60" w:name="_Toc527131323"/>
      <w:r>
        <w:rPr>
          <w:rFonts w:hint="eastAsia" w:ascii="宋体" w:hAnsi="宋体" w:eastAsia="宋体"/>
          <w:color w:val="000000"/>
        </w:rPr>
        <w:t>第六章</w:t>
      </w:r>
      <w:bookmarkStart w:id="61" w:name="_Toc220232392"/>
      <w:r>
        <w:rPr>
          <w:rFonts w:hint="eastAsia" w:ascii="宋体" w:hAnsi="宋体" w:eastAsia="宋体"/>
          <w:color w:val="000000"/>
        </w:rPr>
        <w:t xml:space="preserve"> </w:t>
      </w:r>
      <w:r>
        <w:rPr>
          <w:rFonts w:ascii="宋体" w:hAnsi="宋体" w:eastAsia="宋体"/>
          <w:color w:val="000000"/>
        </w:rPr>
        <w:t>合同</w:t>
      </w:r>
      <w:bookmarkEnd w:id="58"/>
      <w:bookmarkEnd w:id="61"/>
    </w:p>
    <w:p>
      <w:pPr>
        <w:spacing w:line="480" w:lineRule="auto"/>
        <w:jc w:val="center"/>
        <w:rPr>
          <w:rFonts w:ascii="宋体" w:hAnsi="宋体" w:cs="@仿宋_GB2312"/>
          <w:b/>
          <w:color w:val="000000"/>
          <w:sz w:val="28"/>
          <w:szCs w:val="28"/>
        </w:rPr>
      </w:pPr>
      <w:r>
        <w:rPr>
          <w:rFonts w:hint="eastAsia" w:ascii="宋体" w:hAnsi="宋体" w:cs="@仿宋_GB2312"/>
          <w:b/>
          <w:color w:val="000000"/>
          <w:sz w:val="28"/>
          <w:szCs w:val="28"/>
        </w:rPr>
        <w:t>合同参考范本</w:t>
      </w:r>
    </w:p>
    <w:p>
      <w:pPr>
        <w:spacing w:line="480" w:lineRule="auto"/>
        <w:jc w:val="center"/>
        <w:rPr>
          <w:rFonts w:ascii="宋体" w:hAnsi="宋体" w:cs="@仿宋_GB2312"/>
          <w:b/>
          <w:color w:val="000000"/>
          <w:sz w:val="24"/>
          <w:szCs w:val="24"/>
        </w:rPr>
      </w:pPr>
      <w:r>
        <w:rPr>
          <w:rFonts w:hint="eastAsia" w:ascii="宋体" w:hAnsi="宋体" w:cs="@仿宋_GB2312"/>
          <w:b/>
          <w:color w:val="000000"/>
          <w:sz w:val="24"/>
          <w:szCs w:val="24"/>
        </w:rPr>
        <w:t>（服务类）</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default" w:ascii="宋体" w:hAnsi="宋体" w:eastAsia="宋体" w:cs="@仿宋_GB2312"/>
          <w:i/>
          <w:iCs/>
          <w:color w:val="000000"/>
          <w:sz w:val="24"/>
          <w:szCs w:val="24"/>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公用公司协同平台升级</w:t>
      </w:r>
    </w:p>
    <w:p>
      <w:pPr>
        <w:spacing w:before="120" w:line="480" w:lineRule="auto"/>
        <w:ind w:left="960"/>
        <w:rPr>
          <w:rFonts w:ascii="宋体" w:hAnsi="宋体" w:cs="@仿宋_GB2312"/>
          <w:color w:val="000000"/>
          <w:sz w:val="24"/>
          <w:szCs w:val="24"/>
        </w:rPr>
      </w:pPr>
      <w:r>
        <w:rPr>
          <w:rFonts w:hint="eastAsia" w:ascii="宋体" w:hAnsi="宋体" w:cs="@仿宋_GB2312"/>
          <w:color w:val="000000"/>
          <w:sz w:val="24"/>
          <w:szCs w:val="24"/>
        </w:rPr>
        <w:t>项目编号：</w:t>
      </w:r>
      <w:r>
        <w:rPr>
          <w:rFonts w:hint="eastAsia" w:ascii="宋体" w:hAnsi="宋体" w:cs="@仿宋_GB2312"/>
          <w:color w:val="000000"/>
          <w:sz w:val="24"/>
          <w:szCs w:val="24"/>
          <w:u w:val="single"/>
        </w:rPr>
        <w:t>某编号</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u w:val="single"/>
          <w:lang w:val="en-US" w:eastAsia="zh-CN"/>
        </w:rPr>
        <w:t>公用事业发展有限公司</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以下简称：甲方</w:t>
      </w:r>
      <w:r>
        <w:rPr>
          <w:rFonts w:hint="eastAsia" w:ascii="宋体" w:hAnsi="宋体" w:cs="@仿宋_GB2312"/>
          <w:color w:val="000000"/>
          <w:sz w:val="24"/>
          <w:szCs w:val="24"/>
        </w:rPr>
        <w:t>）通过招标活动，经</w:t>
      </w:r>
      <w:r>
        <w:rPr>
          <w:rFonts w:hint="eastAsia" w:ascii="宋体" w:hAnsi="宋体" w:cs="@仿宋_GB2312"/>
          <w:color w:val="000000"/>
          <w:sz w:val="24"/>
          <w:szCs w:val="24"/>
          <w:u w:val="single"/>
          <w:lang w:val="en-US" w:eastAsia="zh-CN"/>
        </w:rPr>
        <w:t>评审</w:t>
      </w:r>
      <w:r>
        <w:rPr>
          <w:rFonts w:hint="eastAsia" w:ascii="宋体" w:hAnsi="宋体" w:cs="@仿宋_GB2312"/>
          <w:color w:val="000000"/>
          <w:sz w:val="24"/>
          <w:szCs w:val="24"/>
          <w:u w:val="single"/>
        </w:rPr>
        <w:t>小组</w:t>
      </w:r>
      <w:r>
        <w:rPr>
          <w:rFonts w:hint="eastAsia" w:ascii="宋体" w:hAnsi="宋体" w:cs="@仿宋_GB2312"/>
          <w:color w:val="000000"/>
          <w:sz w:val="24"/>
          <w:szCs w:val="24"/>
        </w:rPr>
        <w:t>评定，</w:t>
      </w:r>
      <w:r>
        <w:rPr>
          <w:rFonts w:hint="eastAsia" w:ascii="宋体" w:hAnsi="宋体" w:cs="@仿宋_GB2312"/>
          <w:i/>
          <w:iCs/>
          <w:color w:val="000000"/>
          <w:sz w:val="24"/>
          <w:szCs w:val="24"/>
          <w:u w:val="single"/>
        </w:rPr>
        <w:t>（中标人名称）</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以下简称：乙方</w:t>
      </w:r>
      <w:r>
        <w:rPr>
          <w:rFonts w:hint="eastAsia" w:ascii="宋体" w:hAnsi="宋体" w:cs="@仿宋_GB2312"/>
          <w:color w:val="000000"/>
          <w:sz w:val="24"/>
          <w:szCs w:val="24"/>
        </w:rPr>
        <w:t>）为本项目中标人，现按照招标文件确定的事项签订本合同。</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62" w:name="_Toc3029"/>
      <w:bookmarkStart w:id="63" w:name="_Toc2232"/>
      <w:bookmarkStart w:id="64" w:name="_Toc24059"/>
      <w:r>
        <w:rPr>
          <w:rFonts w:hint="eastAsia" w:ascii="宋体" w:hAnsi="宋体" w:cs="@仿宋_GB2312"/>
          <w:b/>
          <w:bCs/>
          <w:color w:val="000000"/>
          <w:sz w:val="24"/>
          <w:szCs w:val="24"/>
          <w:lang w:val="zh-CN"/>
        </w:rPr>
        <w:t>1.1 合同组成部分</w:t>
      </w:r>
      <w:bookmarkEnd w:id="62"/>
      <w:bookmarkEnd w:id="63"/>
      <w:bookmarkEnd w:id="64"/>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5" w:name="_Toc6311"/>
      <w:bookmarkStart w:id="66" w:name="_Toc22185"/>
      <w:bookmarkStart w:id="67" w:name="_Toc2918"/>
      <w:bookmarkStart w:id="68" w:name="_Toc6773"/>
      <w:bookmarkStart w:id="69" w:name="_Toc18585"/>
      <w:r>
        <w:rPr>
          <w:rFonts w:hint="eastAsia" w:ascii="宋体" w:hAnsi="宋体" w:cs="@仿宋_GB2312"/>
          <w:b/>
          <w:bCs/>
          <w:color w:val="000000"/>
          <w:sz w:val="24"/>
          <w:szCs w:val="24"/>
          <w:lang w:val="zh-CN"/>
        </w:rPr>
        <w:t xml:space="preserve">1.2 </w:t>
      </w:r>
      <w:bookmarkEnd w:id="65"/>
      <w:bookmarkEnd w:id="66"/>
      <w:bookmarkEnd w:id="67"/>
      <w:bookmarkEnd w:id="68"/>
      <w:bookmarkEnd w:id="69"/>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0" w:name="_Toc21631"/>
      <w:bookmarkStart w:id="71" w:name="_Toc21551"/>
      <w:bookmarkStart w:id="72" w:name="_Toc23292"/>
      <w:r>
        <w:rPr>
          <w:rFonts w:hint="eastAsia" w:ascii="宋体" w:hAnsi="宋体" w:cs="@仿宋_GB2312"/>
          <w:b/>
          <w:bCs/>
          <w:color w:val="000000"/>
          <w:sz w:val="24"/>
          <w:szCs w:val="24"/>
          <w:lang w:val="zh-CN"/>
        </w:rPr>
        <w:t>1.3 价款</w:t>
      </w:r>
      <w:bookmarkEnd w:id="70"/>
      <w:bookmarkEnd w:id="71"/>
      <w:bookmarkEnd w:id="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73" w:name="_Toc10340"/>
      <w:bookmarkStart w:id="74" w:name="_Toc1814"/>
      <w:bookmarkStart w:id="75" w:name="_Toc22618"/>
      <w:r>
        <w:rPr>
          <w:rFonts w:hint="eastAsia" w:ascii="宋体" w:hAnsi="宋体" w:cs="@仿宋_GB2312"/>
          <w:b/>
          <w:bCs/>
          <w:color w:val="000000"/>
          <w:sz w:val="24"/>
          <w:szCs w:val="24"/>
          <w:lang w:val="zh-CN"/>
        </w:rPr>
        <w:t>1.4 付款方式和发票开具方式</w:t>
      </w:r>
      <w:bookmarkEnd w:id="73"/>
      <w:bookmarkEnd w:id="74"/>
      <w:bookmarkEnd w:id="7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6" w:name="_Toc32071"/>
      <w:bookmarkStart w:id="77" w:name="_Toc19304"/>
      <w:bookmarkStart w:id="78" w:name="_Toc2846"/>
      <w:r>
        <w:rPr>
          <w:rFonts w:hint="eastAsia" w:ascii="宋体" w:hAnsi="宋体" w:cs="@仿宋_GB2312"/>
          <w:b/>
          <w:bCs/>
          <w:color w:val="000000"/>
          <w:sz w:val="24"/>
          <w:szCs w:val="24"/>
          <w:lang w:val="zh-CN"/>
        </w:rPr>
        <w:t>1.5 服务期限、地点和方式</w:t>
      </w:r>
      <w:bookmarkEnd w:id="76"/>
      <w:bookmarkEnd w:id="77"/>
      <w:bookmarkEnd w:id="78"/>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9" w:name="_Toc27250"/>
      <w:bookmarkStart w:id="80" w:name="_Toc21423"/>
      <w:bookmarkStart w:id="81" w:name="_Toc19554"/>
      <w:r>
        <w:rPr>
          <w:rFonts w:hint="eastAsia" w:ascii="宋体" w:hAnsi="宋体" w:cs="@仿宋_GB2312"/>
          <w:b/>
          <w:bCs/>
          <w:color w:val="000000"/>
          <w:sz w:val="24"/>
          <w:szCs w:val="24"/>
          <w:lang w:val="zh-CN"/>
        </w:rPr>
        <w:t>1.6 违约责任</w:t>
      </w:r>
      <w:bookmarkEnd w:id="79"/>
      <w:bookmarkEnd w:id="80"/>
      <w:bookmarkEnd w:id="8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82" w:name="_Toc15583"/>
      <w:bookmarkStart w:id="83" w:name="_Toc28375"/>
      <w:bookmarkStart w:id="84" w:name="_Toc16021"/>
      <w:r>
        <w:rPr>
          <w:rFonts w:hint="eastAsia" w:ascii="宋体" w:hAnsi="宋体" w:cs="@仿宋_GB2312"/>
          <w:b/>
          <w:bCs/>
          <w:color w:val="000000"/>
          <w:sz w:val="24"/>
          <w:szCs w:val="24"/>
          <w:lang w:val="zh-CN"/>
        </w:rPr>
        <w:t>1.7 合同争议的解决</w:t>
      </w:r>
      <w:bookmarkEnd w:id="82"/>
      <w:bookmarkEnd w:id="83"/>
      <w:bookmarkEnd w:id="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5" w:name="_Toc11173"/>
      <w:bookmarkStart w:id="86" w:name="_Toc7245"/>
      <w:bookmarkStart w:id="87" w:name="_Toc15322"/>
      <w:r>
        <w:rPr>
          <w:rFonts w:hint="eastAsia" w:ascii="宋体" w:hAnsi="宋体" w:cs="@仿宋_GB2312"/>
          <w:b/>
          <w:bCs/>
          <w:color w:val="000000"/>
          <w:sz w:val="24"/>
          <w:szCs w:val="24"/>
          <w:lang w:val="zh-CN"/>
        </w:rPr>
        <w:t>1.8 合同生效</w:t>
      </w:r>
      <w:bookmarkEnd w:id="85"/>
      <w:bookmarkEnd w:id="86"/>
      <w:bookmarkEnd w:id="8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8"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8"/>
    </w:p>
    <w:p>
      <w:pPr>
        <w:spacing w:line="360" w:lineRule="auto"/>
        <w:ind w:firstLine="437"/>
        <w:outlineLvl w:val="3"/>
        <w:rPr>
          <w:rFonts w:ascii="宋体" w:hAnsi="宋体" w:cs="@仿宋_GB2312"/>
          <w:b/>
          <w:bCs/>
          <w:color w:val="000000"/>
          <w:sz w:val="24"/>
          <w:szCs w:val="24"/>
          <w:lang w:val="zh-CN"/>
        </w:rPr>
      </w:pPr>
      <w:bookmarkStart w:id="89" w:name="_Toc279701240"/>
      <w:bookmarkStart w:id="90" w:name="_Toc19614"/>
      <w:bookmarkStart w:id="91" w:name="_Toc16917"/>
      <w:bookmarkStart w:id="92" w:name="_Ref467379101"/>
      <w:bookmarkStart w:id="93" w:name="_Ref467378499"/>
      <w:bookmarkStart w:id="94" w:name="_Toc28763"/>
      <w:bookmarkStart w:id="95" w:name="_Ref467379205"/>
      <w:bookmarkStart w:id="96" w:name="_Ref467379225"/>
      <w:bookmarkStart w:id="97" w:name="_Ref467379109"/>
      <w:bookmarkStart w:id="98" w:name="_Ref467378404"/>
      <w:bookmarkStart w:id="99" w:name="_Ref467378463"/>
      <w:bookmarkStart w:id="100" w:name="_Ref467379214"/>
      <w:bookmarkStart w:id="101" w:name="_Ref467379195"/>
      <w:bookmarkStart w:id="102" w:name="_Ref467379094"/>
      <w:bookmarkStart w:id="103" w:name="_Toc487900349"/>
      <w:bookmarkStart w:id="104" w:name="_Toc259093669"/>
      <w:r>
        <w:rPr>
          <w:rFonts w:hint="eastAsia" w:ascii="宋体" w:hAnsi="宋体" w:cs="@仿宋_GB2312"/>
          <w:b/>
          <w:bCs/>
          <w:color w:val="000000"/>
          <w:sz w:val="24"/>
          <w:szCs w:val="24"/>
          <w:lang w:val="zh-CN"/>
        </w:rPr>
        <w:t>2.1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5" w:name="_Ref467378840"/>
      <w:r>
        <w:rPr>
          <w:rFonts w:hint="eastAsia" w:ascii="宋体" w:hAnsi="宋体" w:cs="@仿宋_GB2312"/>
          <w:color w:val="000000"/>
          <w:sz w:val="24"/>
          <w:szCs w:val="24"/>
        </w:rPr>
        <w:t>2.1.4“甲方”系指与中标人签署合同的招标人</w:t>
      </w:r>
      <w:bookmarkEnd w:id="105"/>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6" w:name="_Ref467379400"/>
      <w:r>
        <w:rPr>
          <w:rFonts w:hint="eastAsia" w:ascii="宋体" w:hAnsi="宋体" w:cs="@仿宋_GB2312"/>
          <w:color w:val="000000"/>
          <w:sz w:val="24"/>
          <w:szCs w:val="24"/>
        </w:rPr>
        <w:t>2.1.5“乙方”系指根据合同约定提供服务的中标人</w:t>
      </w:r>
      <w:bookmarkEnd w:id="106"/>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7" w:name="_Ref467379436"/>
      <w:r>
        <w:rPr>
          <w:rFonts w:hint="eastAsia" w:ascii="宋体" w:hAnsi="宋体" w:cs="@仿宋_GB2312"/>
          <w:color w:val="000000"/>
          <w:sz w:val="24"/>
          <w:szCs w:val="24"/>
        </w:rPr>
        <w:t>2.1.6“现场”系指合同约定提供服务的地点。</w:t>
      </w:r>
      <w:bookmarkEnd w:id="107"/>
    </w:p>
    <w:p>
      <w:pPr>
        <w:spacing w:line="360" w:lineRule="auto"/>
        <w:ind w:firstLine="437"/>
        <w:outlineLvl w:val="3"/>
        <w:rPr>
          <w:rFonts w:ascii="宋体" w:hAnsi="宋体" w:cs="@仿宋_GB2312"/>
          <w:b/>
          <w:bCs/>
          <w:color w:val="000000"/>
          <w:sz w:val="24"/>
          <w:szCs w:val="24"/>
          <w:lang w:val="zh-CN"/>
        </w:rPr>
      </w:pPr>
      <w:bookmarkStart w:id="108" w:name="_Toc279701241"/>
      <w:bookmarkStart w:id="109" w:name="_Toc259093670"/>
      <w:bookmarkStart w:id="110" w:name="_Toc13336"/>
      <w:bookmarkStart w:id="111" w:name="_Toc27635"/>
      <w:bookmarkStart w:id="112" w:name="_Toc487900350"/>
      <w:bookmarkStart w:id="113" w:name="_Toc32504"/>
      <w:r>
        <w:rPr>
          <w:rFonts w:hint="eastAsia" w:ascii="宋体" w:hAnsi="宋体" w:cs="@仿宋_GB2312"/>
          <w:b/>
          <w:bCs/>
          <w:color w:val="000000"/>
          <w:sz w:val="24"/>
          <w:szCs w:val="24"/>
          <w:lang w:val="zh-CN"/>
        </w:rPr>
        <w:t>2.2 技术规范</w:t>
      </w:r>
      <w:bookmarkEnd w:id="108"/>
      <w:bookmarkEnd w:id="109"/>
      <w:bookmarkEnd w:id="110"/>
      <w:bookmarkEnd w:id="111"/>
      <w:bookmarkEnd w:id="112"/>
      <w:bookmarkEnd w:id="11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14" w:name="_Toc31634"/>
      <w:bookmarkStart w:id="115" w:name="_Toc259093671"/>
      <w:bookmarkStart w:id="116" w:name="_Toc27853"/>
      <w:bookmarkStart w:id="117" w:name="_Toc487900351"/>
      <w:bookmarkStart w:id="118" w:name="_Toc279701242"/>
      <w:bookmarkStart w:id="119" w:name="_Toc9829"/>
      <w:r>
        <w:rPr>
          <w:rFonts w:hint="eastAsia" w:ascii="宋体" w:hAnsi="宋体" w:cs="@仿宋_GB2312"/>
          <w:b/>
          <w:bCs/>
          <w:color w:val="000000"/>
          <w:sz w:val="24"/>
          <w:szCs w:val="24"/>
          <w:lang w:val="zh-CN"/>
        </w:rPr>
        <w:t>2.3 知识产权</w:t>
      </w:r>
      <w:bookmarkEnd w:id="114"/>
      <w:bookmarkEnd w:id="115"/>
      <w:bookmarkEnd w:id="116"/>
      <w:bookmarkEnd w:id="117"/>
      <w:bookmarkEnd w:id="118"/>
      <w:bookmarkEnd w:id="11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20" w:name="_Toc279701245"/>
      <w:bookmarkStart w:id="121" w:name="_Ref467378541"/>
      <w:bookmarkStart w:id="122" w:name="_Toc259093674"/>
      <w:bookmarkStart w:id="123" w:name="_Ref467379527"/>
      <w:bookmarkStart w:id="124" w:name="_Ref467379542"/>
      <w:bookmarkStart w:id="125" w:name="_Ref467379536"/>
      <w:bookmarkStart w:id="126" w:name="_Ref467378591"/>
      <w:bookmarkStart w:id="127" w:name="_Toc487900354"/>
      <w:bookmarkStart w:id="128" w:name="_Toc30272"/>
      <w:bookmarkStart w:id="129" w:name="_Toc19074"/>
      <w:bookmarkStart w:id="130" w:name="_Toc26182"/>
      <w:r>
        <w:rPr>
          <w:rFonts w:hint="eastAsia" w:ascii="宋体" w:hAnsi="宋体" w:cs="@仿宋_GB2312"/>
          <w:b/>
          <w:bCs/>
          <w:color w:val="000000"/>
          <w:sz w:val="24"/>
          <w:szCs w:val="24"/>
          <w:lang w:val="zh-CN"/>
        </w:rPr>
        <w:t>2.</w:t>
      </w:r>
      <w:bookmarkEnd w:id="120"/>
      <w:bookmarkEnd w:id="121"/>
      <w:bookmarkEnd w:id="122"/>
      <w:bookmarkEnd w:id="123"/>
      <w:bookmarkEnd w:id="124"/>
      <w:bookmarkEnd w:id="125"/>
      <w:bookmarkEnd w:id="126"/>
      <w:bookmarkEnd w:id="127"/>
      <w:r>
        <w:rPr>
          <w:rFonts w:hint="eastAsia" w:ascii="宋体" w:hAnsi="宋体" w:cs="@仿宋_GB2312"/>
          <w:b/>
          <w:bCs/>
          <w:color w:val="000000"/>
          <w:sz w:val="24"/>
          <w:szCs w:val="24"/>
          <w:lang w:val="zh-CN"/>
        </w:rPr>
        <w:t>4 履约检查和问题反馈</w:t>
      </w:r>
      <w:bookmarkEnd w:id="128"/>
      <w:bookmarkEnd w:id="129"/>
      <w:bookmarkEnd w:id="130"/>
    </w:p>
    <w:p>
      <w:pPr>
        <w:spacing w:line="360" w:lineRule="auto"/>
        <w:ind w:firstLine="435"/>
        <w:rPr>
          <w:rFonts w:ascii="宋体" w:hAnsi="宋体" w:cs="@仿宋_GB2312"/>
          <w:color w:val="000000"/>
          <w:sz w:val="24"/>
          <w:szCs w:val="24"/>
        </w:rPr>
      </w:pPr>
      <w:bookmarkStart w:id="131" w:name="_Toc186431854"/>
      <w:bookmarkStart w:id="132" w:name="_Toc487900357"/>
      <w:bookmarkStart w:id="133" w:name="_Toc279701247"/>
      <w:bookmarkStart w:id="134" w:name="_Ref467379793"/>
      <w:bookmarkStart w:id="135" w:name="_Ref467379807"/>
      <w:bookmarkStart w:id="136" w:name="_Toc259093676"/>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31"/>
      <w:bookmarkStart w:id="137" w:name="_Toc186431855"/>
      <w:r>
        <w:rPr>
          <w:rFonts w:hint="eastAsia" w:ascii="宋体" w:hAnsi="宋体" w:cs="@仿宋_GB2312"/>
          <w:color w:val="000000"/>
          <w:sz w:val="24"/>
          <w:szCs w:val="24"/>
        </w:rPr>
        <w:t>。</w:t>
      </w:r>
    </w:p>
    <w:bookmarkEnd w:id="137"/>
    <w:p>
      <w:pPr>
        <w:spacing w:line="360" w:lineRule="auto"/>
        <w:ind w:firstLine="437"/>
        <w:outlineLvl w:val="3"/>
        <w:rPr>
          <w:rFonts w:ascii="宋体" w:hAnsi="宋体" w:cs="@仿宋_GB2312"/>
          <w:b/>
          <w:bCs/>
          <w:color w:val="000000"/>
          <w:sz w:val="24"/>
          <w:szCs w:val="24"/>
          <w:lang w:val="zh-CN"/>
        </w:rPr>
      </w:pPr>
      <w:bookmarkStart w:id="138" w:name="_Toc7836"/>
      <w:bookmarkStart w:id="139" w:name="_Toc28451"/>
      <w:bookmarkStart w:id="140" w:name="_Toc19219"/>
      <w:r>
        <w:rPr>
          <w:rFonts w:hint="eastAsia" w:ascii="宋体" w:hAnsi="宋体" w:cs="@仿宋_GB2312"/>
          <w:b/>
          <w:bCs/>
          <w:color w:val="000000"/>
          <w:sz w:val="24"/>
          <w:szCs w:val="24"/>
          <w:lang w:val="zh-CN"/>
        </w:rPr>
        <w:t>2.5 结算方式和付款条件</w:t>
      </w:r>
      <w:bookmarkEnd w:id="132"/>
      <w:bookmarkEnd w:id="133"/>
      <w:bookmarkEnd w:id="134"/>
      <w:bookmarkEnd w:id="135"/>
      <w:bookmarkEnd w:id="136"/>
      <w:bookmarkEnd w:id="138"/>
      <w:bookmarkEnd w:id="139"/>
      <w:bookmarkEnd w:id="14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41" w:name="_Toc259093677"/>
      <w:bookmarkStart w:id="142" w:name="_Ref467379863"/>
      <w:bookmarkStart w:id="143" w:name="_Toc487900358"/>
      <w:bookmarkStart w:id="144" w:name="_Ref467379852"/>
      <w:bookmarkStart w:id="145" w:name="_Toc279701248"/>
      <w:bookmarkStart w:id="146" w:name="_Ref467379923"/>
      <w:bookmarkStart w:id="147" w:name="_Toc774"/>
      <w:bookmarkStart w:id="148" w:name="_Toc16110"/>
      <w:bookmarkStart w:id="149" w:name="_Toc3225"/>
      <w:r>
        <w:rPr>
          <w:rFonts w:hint="eastAsia" w:ascii="宋体" w:hAnsi="宋体" w:cs="@仿宋_GB2312"/>
          <w:b/>
          <w:bCs/>
          <w:color w:val="000000"/>
          <w:sz w:val="24"/>
          <w:szCs w:val="24"/>
          <w:lang w:val="zh-CN"/>
        </w:rPr>
        <w:t>2.6 技术资料</w:t>
      </w:r>
      <w:bookmarkEnd w:id="141"/>
      <w:bookmarkEnd w:id="142"/>
      <w:bookmarkEnd w:id="143"/>
      <w:bookmarkEnd w:id="144"/>
      <w:bookmarkEnd w:id="145"/>
      <w:bookmarkEnd w:id="146"/>
      <w:r>
        <w:rPr>
          <w:rFonts w:hint="eastAsia" w:ascii="宋体" w:hAnsi="宋体" w:cs="@仿宋_GB2312"/>
          <w:b/>
          <w:bCs/>
          <w:color w:val="000000"/>
          <w:sz w:val="24"/>
          <w:szCs w:val="24"/>
          <w:lang w:val="zh-CN"/>
        </w:rPr>
        <w:t>和保密义务</w:t>
      </w:r>
      <w:bookmarkEnd w:id="147"/>
      <w:bookmarkEnd w:id="148"/>
      <w:bookmarkEnd w:id="14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50" w:name="_Toc7860"/>
      <w:r>
        <w:rPr>
          <w:rFonts w:hint="eastAsia" w:ascii="宋体" w:hAnsi="宋体" w:cs="@仿宋_GB2312"/>
          <w:b/>
          <w:bCs/>
          <w:color w:val="000000"/>
          <w:sz w:val="24"/>
          <w:szCs w:val="24"/>
          <w:lang w:val="zh-CN"/>
        </w:rPr>
        <w:t>2.7 质量保证</w:t>
      </w:r>
      <w:bookmarkEnd w:id="15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51" w:name="_Toc22267"/>
      <w:r>
        <w:rPr>
          <w:rFonts w:hint="eastAsia" w:ascii="宋体" w:hAnsi="宋体" w:cs="@仿宋_GB2312"/>
          <w:b/>
          <w:color w:val="000000"/>
          <w:sz w:val="24"/>
          <w:szCs w:val="24"/>
        </w:rPr>
        <w:t>2.8 延迟履行</w:t>
      </w:r>
      <w:bookmarkEnd w:id="15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52" w:name="_Toc7502"/>
      <w:bookmarkStart w:id="153" w:name="_Toc259093683"/>
      <w:bookmarkStart w:id="154" w:name="_Toc279701254"/>
      <w:bookmarkStart w:id="155" w:name="_Toc487900364"/>
      <w:bookmarkStart w:id="156" w:name="_Ref467378121"/>
      <w:r>
        <w:rPr>
          <w:rFonts w:hint="eastAsia" w:ascii="宋体" w:hAnsi="宋体" w:cs="@仿宋_GB2312"/>
          <w:b/>
          <w:bCs/>
          <w:color w:val="000000"/>
          <w:sz w:val="24"/>
          <w:szCs w:val="24"/>
          <w:lang w:val="zh-CN"/>
        </w:rPr>
        <w:t>2.9 合同变更</w:t>
      </w:r>
      <w:bookmarkEnd w:id="15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7" w:name="_Toc259093688"/>
      <w:bookmarkStart w:id="158" w:name="_Toc487900369"/>
      <w:bookmarkStart w:id="159" w:name="_Toc279701259"/>
    </w:p>
    <w:p>
      <w:pPr>
        <w:spacing w:line="360" w:lineRule="auto"/>
        <w:ind w:firstLine="437"/>
        <w:outlineLvl w:val="3"/>
        <w:rPr>
          <w:rFonts w:ascii="宋体" w:hAnsi="宋体" w:cs="@仿宋_GB2312"/>
          <w:b/>
          <w:bCs/>
          <w:color w:val="000000"/>
          <w:sz w:val="24"/>
          <w:szCs w:val="24"/>
          <w:lang w:val="zh-CN"/>
        </w:rPr>
      </w:pPr>
      <w:bookmarkStart w:id="160" w:name="_Toc10366"/>
      <w:bookmarkStart w:id="161" w:name="_Toc15237"/>
      <w:bookmarkStart w:id="162" w:name="_Toc22955"/>
      <w:r>
        <w:rPr>
          <w:rFonts w:hint="eastAsia" w:ascii="宋体" w:hAnsi="宋体" w:cs="@仿宋_GB2312"/>
          <w:b/>
          <w:bCs/>
          <w:color w:val="000000"/>
          <w:sz w:val="24"/>
          <w:szCs w:val="24"/>
          <w:lang w:val="zh-CN"/>
        </w:rPr>
        <w:t>2.10 合同转让</w:t>
      </w:r>
      <w:bookmarkEnd w:id="157"/>
      <w:bookmarkEnd w:id="158"/>
      <w:bookmarkEnd w:id="159"/>
      <w:r>
        <w:rPr>
          <w:rFonts w:hint="eastAsia" w:ascii="宋体" w:hAnsi="宋体" w:cs="@仿宋_GB2312"/>
          <w:b/>
          <w:bCs/>
          <w:color w:val="000000"/>
          <w:sz w:val="24"/>
          <w:szCs w:val="24"/>
          <w:lang w:val="zh-CN"/>
        </w:rPr>
        <w:t>和分包</w:t>
      </w:r>
      <w:bookmarkEnd w:id="160"/>
      <w:bookmarkEnd w:id="161"/>
      <w:bookmarkEnd w:id="16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63" w:name="_Toc13566"/>
      <w:bookmarkStart w:id="164" w:name="_Toc14066"/>
      <w:bookmarkStart w:id="165" w:name="_Toc16508"/>
      <w:r>
        <w:rPr>
          <w:rFonts w:hint="eastAsia" w:ascii="宋体" w:hAnsi="宋体" w:cs="@仿宋_GB2312"/>
          <w:b/>
          <w:bCs/>
          <w:color w:val="000000"/>
          <w:sz w:val="24"/>
          <w:szCs w:val="24"/>
          <w:lang w:val="zh-CN"/>
        </w:rPr>
        <w:t>2.11 不可抗力</w:t>
      </w:r>
      <w:bookmarkEnd w:id="163"/>
      <w:bookmarkEnd w:id="164"/>
      <w:bookmarkEnd w:id="16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6" w:name="_Toc279701255"/>
      <w:bookmarkStart w:id="167" w:name="_Toc259093684"/>
      <w:bookmarkStart w:id="168" w:name="_Toc6969"/>
      <w:bookmarkStart w:id="169" w:name="_Toc689"/>
      <w:bookmarkStart w:id="170" w:name="_Toc30676"/>
      <w:bookmarkStart w:id="171" w:name="_Toc487900365"/>
      <w:r>
        <w:rPr>
          <w:rFonts w:hint="eastAsia" w:ascii="宋体" w:hAnsi="宋体" w:cs="@仿宋_GB2312"/>
          <w:b/>
          <w:bCs/>
          <w:color w:val="000000"/>
          <w:sz w:val="24"/>
          <w:szCs w:val="24"/>
          <w:lang w:val="zh-CN"/>
        </w:rPr>
        <w:t>2.12 税费</w:t>
      </w:r>
      <w:bookmarkEnd w:id="166"/>
      <w:bookmarkEnd w:id="167"/>
      <w:bookmarkEnd w:id="168"/>
      <w:bookmarkEnd w:id="169"/>
      <w:bookmarkEnd w:id="170"/>
      <w:bookmarkEnd w:id="17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72" w:name="_Toc259093687"/>
      <w:bookmarkStart w:id="173" w:name="_Toc279701258"/>
      <w:bookmarkStart w:id="174" w:name="_Toc487900368"/>
      <w:bookmarkStart w:id="175" w:name="_Toc16959"/>
      <w:bookmarkStart w:id="176" w:name="_Toc7102"/>
      <w:bookmarkStart w:id="177" w:name="_Toc8298"/>
      <w:r>
        <w:rPr>
          <w:rFonts w:hint="eastAsia" w:ascii="宋体" w:hAnsi="宋体" w:cs="@仿宋_GB2312"/>
          <w:b/>
          <w:bCs/>
          <w:color w:val="000000"/>
          <w:sz w:val="24"/>
          <w:szCs w:val="24"/>
          <w:lang w:val="zh-CN"/>
        </w:rPr>
        <w:t>2.13 乙方破产</w:t>
      </w:r>
      <w:bookmarkEnd w:id="172"/>
      <w:bookmarkEnd w:id="173"/>
      <w:bookmarkEnd w:id="174"/>
      <w:bookmarkEnd w:id="175"/>
      <w:bookmarkEnd w:id="176"/>
      <w:bookmarkEnd w:id="1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8" w:name="_Toc15387"/>
      <w:bookmarkStart w:id="179" w:name="_Toc29333"/>
      <w:bookmarkStart w:id="180" w:name="_Toc6134"/>
      <w:r>
        <w:rPr>
          <w:rFonts w:hint="eastAsia" w:ascii="宋体" w:hAnsi="宋体" w:cs="@仿宋_GB2312"/>
          <w:b/>
          <w:bCs/>
          <w:color w:val="000000"/>
          <w:sz w:val="24"/>
          <w:szCs w:val="24"/>
          <w:lang w:val="zh-CN"/>
        </w:rPr>
        <w:t>2.14 合同中止、终止</w:t>
      </w:r>
      <w:bookmarkEnd w:id="178"/>
      <w:bookmarkEnd w:id="179"/>
      <w:bookmarkEnd w:id="1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81" w:name="_Toc14563"/>
      <w:bookmarkStart w:id="182" w:name="_Toc1125"/>
      <w:bookmarkStart w:id="183" w:name="_Toc6596"/>
      <w:r>
        <w:rPr>
          <w:rFonts w:hint="eastAsia" w:ascii="宋体" w:hAnsi="宋体" w:cs="@仿宋_GB2312"/>
          <w:b/>
          <w:bCs/>
          <w:color w:val="000000"/>
          <w:sz w:val="24"/>
          <w:szCs w:val="24"/>
          <w:lang w:val="zh-CN"/>
        </w:rPr>
        <w:t>2.15 检验和验收</w:t>
      </w:r>
      <w:bookmarkEnd w:id="181"/>
      <w:bookmarkEnd w:id="182"/>
      <w:bookmarkEnd w:id="18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53"/>
    <w:bookmarkEnd w:id="154"/>
    <w:bookmarkEnd w:id="155"/>
    <w:bookmarkEnd w:id="156"/>
    <w:p>
      <w:pPr>
        <w:spacing w:line="360" w:lineRule="auto"/>
        <w:ind w:firstLine="437"/>
        <w:outlineLvl w:val="3"/>
        <w:rPr>
          <w:rFonts w:ascii="宋体" w:hAnsi="宋体" w:cs="@仿宋_GB2312"/>
          <w:b/>
          <w:bCs/>
          <w:color w:val="000000"/>
          <w:sz w:val="24"/>
          <w:szCs w:val="24"/>
        </w:rPr>
      </w:pPr>
      <w:bookmarkStart w:id="184" w:name="_Toc259093692"/>
      <w:bookmarkStart w:id="185" w:name="_Toc18567"/>
      <w:bookmarkStart w:id="186" w:name="_Toc487900373"/>
      <w:bookmarkStart w:id="187" w:name="_Toc279701263"/>
      <w:bookmarkStart w:id="188" w:name="_Toc10330"/>
      <w:bookmarkStart w:id="189" w:name="_Toc12773"/>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84"/>
      <w:bookmarkEnd w:id="185"/>
      <w:bookmarkEnd w:id="186"/>
      <w:bookmarkEnd w:id="187"/>
      <w:bookmarkEnd w:id="188"/>
      <w:bookmarkEnd w:id="18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90" w:name="_Toc3148"/>
      <w:bookmarkStart w:id="191" w:name="_Toc259093693"/>
      <w:bookmarkStart w:id="192" w:name="_Toc16673"/>
      <w:bookmarkStart w:id="193" w:name="_Toc12004"/>
      <w:bookmarkStart w:id="194" w:name="_Toc279701264"/>
      <w:bookmarkStart w:id="195" w:name="_Toc487900374"/>
      <w:r>
        <w:rPr>
          <w:rFonts w:hint="eastAsia" w:ascii="宋体" w:hAnsi="宋体" w:cs="@仿宋_GB2312"/>
          <w:b/>
          <w:bCs/>
          <w:color w:val="000000"/>
          <w:sz w:val="24"/>
          <w:szCs w:val="24"/>
          <w:lang w:val="zh-CN"/>
        </w:rPr>
        <w:t>2.17 履约保证金</w:t>
      </w:r>
      <w:bookmarkEnd w:id="190"/>
      <w:bookmarkEnd w:id="191"/>
      <w:bookmarkEnd w:id="192"/>
      <w:bookmarkEnd w:id="193"/>
      <w:bookmarkEnd w:id="19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5"/>
    <w:p>
      <w:pPr>
        <w:spacing w:line="360" w:lineRule="auto"/>
        <w:ind w:firstLine="437"/>
        <w:outlineLvl w:val="3"/>
        <w:rPr>
          <w:rFonts w:ascii="宋体" w:hAnsi="宋体" w:cs="@仿宋_GB2312"/>
          <w:b/>
          <w:color w:val="000000"/>
          <w:sz w:val="24"/>
          <w:szCs w:val="24"/>
        </w:rPr>
      </w:pPr>
      <w:bookmarkStart w:id="196" w:name="_Toc19890"/>
      <w:bookmarkStart w:id="197" w:name="_Toc6885"/>
      <w:bookmarkStart w:id="198" w:name="_Toc14001"/>
      <w:r>
        <w:rPr>
          <w:rFonts w:hint="eastAsia" w:ascii="宋体" w:hAnsi="宋体" w:cs="@仿宋_GB2312"/>
          <w:b/>
          <w:bCs/>
          <w:color w:val="000000"/>
          <w:sz w:val="24"/>
          <w:szCs w:val="24"/>
          <w:lang w:val="zh-CN"/>
        </w:rPr>
        <w:t>2.18 合同份数</w:t>
      </w:r>
      <w:bookmarkEnd w:id="196"/>
      <w:bookmarkEnd w:id="197"/>
      <w:bookmarkEnd w:id="198"/>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9" w:name="_Toc331685784"/>
      <w:r>
        <w:rPr>
          <w:rFonts w:hint="eastAsia" w:ascii="宋体" w:hAnsi="宋体" w:cs="@仿宋_GB2312"/>
          <w:b/>
          <w:color w:val="000000"/>
          <w:sz w:val="24"/>
          <w:szCs w:val="24"/>
        </w:rPr>
        <w:t>第三部分 合同专用条款</w:t>
      </w:r>
      <w:bookmarkEnd w:id="19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2"/>
        <w:spacing w:before="0" w:after="0" w:line="420" w:lineRule="exact"/>
        <w:ind w:left="0" w:right="-710"/>
        <w:rPr>
          <w:rFonts w:hint="eastAsia" w:ascii="宋体" w:hAnsi="宋体"/>
          <w:color w:val="000000"/>
          <w:kern w:val="2"/>
          <w:szCs w:val="24"/>
        </w:rPr>
      </w:pPr>
    </w:p>
    <w:p>
      <w:pPr>
        <w:pStyle w:val="2"/>
        <w:spacing w:before="260" w:after="260" w:line="500" w:lineRule="exact"/>
        <w:jc w:val="center"/>
        <w:rPr>
          <w:rFonts w:hAnsi="宋体"/>
          <w:color w:val="000000"/>
          <w:highlight w:val="none"/>
        </w:rPr>
      </w:pPr>
      <w:r>
        <w:rPr>
          <w:rFonts w:hint="eastAsia" w:hAnsi="宋体"/>
          <w:color w:val="000000"/>
          <w:highlight w:val="none"/>
        </w:rPr>
        <w:t>五、采购需求</w:t>
      </w:r>
      <w:bookmarkEnd w:id="59"/>
      <w:bookmarkEnd w:id="60"/>
    </w:p>
    <w:p>
      <w:pPr>
        <w:rPr>
          <w:rFonts w:hAnsi="宋体" w:cs="宋体"/>
          <w:b/>
          <w:bCs/>
          <w:color w:val="000000"/>
          <w:sz w:val="28"/>
          <w:szCs w:val="28"/>
          <w:highlight w:val="none"/>
        </w:rPr>
      </w:pPr>
    </w:p>
    <w:p>
      <w:pPr>
        <w:rPr>
          <w:sz w:val="21"/>
          <w:szCs w:val="21"/>
          <w:highlight w:val="none"/>
        </w:rPr>
      </w:pPr>
    </w:p>
    <w:p>
      <w:pPr>
        <w:rPr>
          <w:rFonts w:hint="eastAsia"/>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rFonts w:hint="eastAsia"/>
          <w:sz w:val="21"/>
          <w:szCs w:val="21"/>
          <w:highlight w:val="none"/>
        </w:rPr>
      </w:pPr>
    </w:p>
    <w:p>
      <w:pPr>
        <w:spacing w:line="360" w:lineRule="auto"/>
        <w:ind w:firstLine="438" w:firstLineChars="200"/>
        <w:outlineLvl w:val="0"/>
        <w:rPr>
          <w:b/>
          <w:bCs/>
          <w:sz w:val="24"/>
          <w:szCs w:val="24"/>
        </w:rPr>
      </w:pPr>
      <w:r>
        <w:rPr>
          <w:rFonts w:hint="eastAsia"/>
          <w:b/>
          <w:bCs/>
          <w:sz w:val="24"/>
          <w:szCs w:val="24"/>
          <w:lang w:val="en-US" w:eastAsia="zh-CN"/>
        </w:rPr>
        <w:t>一、</w:t>
      </w:r>
      <w:r>
        <w:rPr>
          <w:rFonts w:hint="eastAsia"/>
          <w:b/>
          <w:bCs/>
          <w:sz w:val="24"/>
          <w:szCs w:val="24"/>
        </w:rPr>
        <w:t>技术及功能需求</w:t>
      </w:r>
    </w:p>
    <w:p>
      <w:pPr>
        <w:spacing w:line="360" w:lineRule="auto"/>
        <w:ind w:firstLine="438" w:firstLineChars="200"/>
        <w:jc w:val="left"/>
        <w:outlineLvl w:val="1"/>
        <w:rPr>
          <w:rFonts w:ascii="仿宋" w:hAnsi="仿宋" w:eastAsia="仿宋" w:cs="仿宋"/>
          <w:b/>
          <w:bCs/>
          <w:sz w:val="24"/>
          <w:szCs w:val="24"/>
        </w:rPr>
      </w:pPr>
      <w:r>
        <w:rPr>
          <w:rFonts w:hint="eastAsia" w:ascii="仿宋" w:hAnsi="仿宋" w:eastAsia="仿宋" w:cs="仿宋"/>
          <w:b/>
          <w:bCs/>
          <w:sz w:val="24"/>
          <w:szCs w:val="24"/>
        </w:rPr>
        <w:t>1、核心技术平台</w:t>
      </w:r>
    </w:p>
    <w:p>
      <w:pPr>
        <w:spacing w:line="360" w:lineRule="auto"/>
        <w:ind w:firstLine="438" w:firstLineChars="200"/>
        <w:jc w:val="left"/>
        <w:rPr>
          <w:rFonts w:ascii="仿宋" w:hAnsi="仿宋" w:eastAsia="仿宋" w:cs="仿宋"/>
          <w:sz w:val="24"/>
          <w:szCs w:val="24"/>
        </w:rPr>
      </w:pPr>
      <w:r>
        <w:rPr>
          <w:rFonts w:hint="eastAsia" w:ascii="仿宋" w:hAnsi="仿宋" w:eastAsia="仿宋" w:cs="仿宋"/>
          <w:sz w:val="24"/>
          <w:szCs w:val="24"/>
        </w:rPr>
        <w:t>平台需要基于Spring开发框架，遵循JavaEE的标准规范，主要采用JAVA语言设计开发，同时引入Groovy、Rest、Erlang、Html5、CSS3等多种技术；在架构方面使用成熟的MVC编程模式进行分层设计，满足标准定义、分散关注、松散耦合、逻辑复用的设计要求；在数据持久方面采用基于JDBC轻量级的对象封装的Hibernate框架实现数据对象关系映射，可应用于任何符合JDBC标准的数据访问场景，支持主流关系型数据库。</w:t>
      </w:r>
    </w:p>
    <w:p>
      <w:pPr>
        <w:spacing w:line="360" w:lineRule="auto"/>
        <w:ind w:firstLine="438" w:firstLineChars="200"/>
        <w:jc w:val="left"/>
        <w:rPr>
          <w:rFonts w:ascii="仿宋" w:hAnsi="仿宋" w:eastAsia="仿宋" w:cs="仿宋"/>
          <w:sz w:val="24"/>
          <w:szCs w:val="24"/>
        </w:rPr>
      </w:pPr>
      <w:r>
        <w:rPr>
          <w:rFonts w:hint="eastAsia" w:ascii="仿宋" w:hAnsi="仿宋" w:eastAsia="仿宋" w:cs="仿宋"/>
          <w:sz w:val="24"/>
          <w:szCs w:val="24"/>
        </w:rPr>
        <w:t>平台采用分层、组件化设计思路，同时采用分布式微服务体系架构，具有高度的灵活性和扩展性，各业务模块支持插拔，可根据客户需求进行快速配置、灵活组合。</w:t>
      </w:r>
    </w:p>
    <w:p>
      <w:pPr>
        <w:spacing w:line="360" w:lineRule="auto"/>
        <w:ind w:firstLine="438" w:firstLineChars="200"/>
        <w:jc w:val="left"/>
        <w:rPr>
          <w:rFonts w:ascii="仿宋" w:hAnsi="仿宋" w:eastAsia="仿宋" w:cs="仿宋"/>
          <w:sz w:val="24"/>
          <w:szCs w:val="24"/>
        </w:rPr>
      </w:pPr>
      <w:r>
        <w:rPr>
          <w:rFonts w:hint="eastAsia" w:ascii="仿宋" w:hAnsi="仿宋" w:eastAsia="仿宋" w:cs="仿宋"/>
          <w:sz w:val="24"/>
          <w:szCs w:val="24"/>
        </w:rPr>
        <w:t>平台提供良好的兼容性，支持多种操作系统（Linux、windows），支持多种关系型数据库（mysql、ms sql、oracle），支持主流应用服务器，客户端支持多种浏览器（IE8-IE11,chrome、firefox、360等），支持多种移动终端系统（Android、IOS）。</w:t>
      </w:r>
    </w:p>
    <w:p>
      <w:pPr>
        <w:spacing w:line="360" w:lineRule="auto"/>
        <w:ind w:firstLine="438" w:firstLineChars="200"/>
        <w:jc w:val="left"/>
        <w:rPr>
          <w:rFonts w:ascii="仿宋" w:hAnsi="仿宋" w:eastAsia="仿宋" w:cs="仿宋"/>
          <w:sz w:val="24"/>
          <w:szCs w:val="24"/>
        </w:rPr>
      </w:pPr>
      <w:r>
        <w:rPr>
          <w:rFonts w:hint="eastAsia" w:ascii="仿宋" w:hAnsi="仿宋" w:eastAsia="仿宋" w:cs="仿宋"/>
          <w:sz w:val="24"/>
          <w:szCs w:val="24"/>
        </w:rPr>
        <w:t>基于Internet和移动互联网技术，平台需要考虑系统安全、信息安全、数据安全等方面的要求，支持多级多种安全管理，对PC和移动应用进行全方位的安全管控。提供数据库安全性、系统数据安全性、应用服务器安全性、传输安全性、认证安全、安全审计和客户端安全等措施，增强了系统的高安全性，为用户提供安全可靠的服务。</w:t>
      </w:r>
    </w:p>
    <w:p>
      <w:pPr>
        <w:spacing w:line="360" w:lineRule="auto"/>
        <w:ind w:firstLine="438" w:firstLineChars="200"/>
        <w:jc w:val="left"/>
        <w:rPr>
          <w:rFonts w:ascii="仿宋" w:hAnsi="仿宋" w:eastAsia="仿宋" w:cs="仿宋"/>
          <w:sz w:val="24"/>
          <w:szCs w:val="24"/>
        </w:rPr>
      </w:pPr>
      <w:r>
        <w:rPr>
          <w:rFonts w:hint="eastAsia" w:ascii="仿宋" w:hAnsi="仿宋" w:eastAsia="仿宋" w:cs="仿宋"/>
          <w:sz w:val="24"/>
          <w:szCs w:val="24"/>
        </w:rPr>
        <w:t>平台支持组件化技术，能够有效保证系统运行的稳定可靠。支持轻量级的Spring框架，采用标准的接口规范及SQL编制规范，利用索引、缓存、异步等技术保证了平台在海量数据、高并发环境下的运行性能。</w:t>
      </w:r>
    </w:p>
    <w:p>
      <w:pPr>
        <w:spacing w:line="360" w:lineRule="auto"/>
        <w:ind w:firstLine="438" w:firstLineChars="200"/>
        <w:jc w:val="left"/>
        <w:outlineLvl w:val="1"/>
        <w:rPr>
          <w:rFonts w:ascii="仿宋" w:hAnsi="仿宋" w:eastAsia="仿宋" w:cs="仿宋"/>
          <w:b/>
          <w:bCs/>
          <w:sz w:val="24"/>
          <w:szCs w:val="24"/>
        </w:rPr>
      </w:pPr>
      <w:r>
        <w:rPr>
          <w:rFonts w:hint="eastAsia" w:ascii="仿宋" w:hAnsi="仿宋" w:eastAsia="仿宋" w:cs="仿宋"/>
          <w:b/>
          <w:bCs/>
          <w:sz w:val="24"/>
          <w:szCs w:val="24"/>
        </w:rPr>
        <w:t>2、功能需求</w:t>
      </w:r>
    </w:p>
    <w:tbl>
      <w:tblPr>
        <w:tblStyle w:val="6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02" w:type="dxa"/>
            <w:gridSpan w:val="2"/>
            <w:vAlign w:val="center"/>
          </w:tcPr>
          <w:p>
            <w:pPr>
              <w:pStyle w:val="194"/>
              <w:spacing w:line="360" w:lineRule="auto"/>
              <w:ind w:firstLine="0" w:firstLineChars="0"/>
              <w:jc w:val="center"/>
              <w:rPr>
                <w:rFonts w:ascii="仿宋" w:hAnsi="仿宋" w:eastAsia="仿宋"/>
                <w:sz w:val="24"/>
              </w:rPr>
            </w:pPr>
            <w:r>
              <w:rPr>
                <w:rFonts w:hint="eastAsia" w:ascii="仿宋" w:hAnsi="仿宋" w:eastAsia="仿宋"/>
                <w:b/>
                <w:sz w:val="24"/>
              </w:rPr>
              <w:t>详细功能要求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1、组织机构管理</w:t>
            </w:r>
          </w:p>
        </w:tc>
        <w:tc>
          <w:tcPr>
            <w:tcW w:w="5773" w:type="dxa"/>
            <w:vAlign w:val="center"/>
          </w:tcPr>
          <w:p>
            <w:pPr>
              <w:pStyle w:val="194"/>
              <w:numPr>
                <w:ilvl w:val="0"/>
                <w:numId w:val="3"/>
              </w:numPr>
              <w:spacing w:line="360" w:lineRule="auto"/>
              <w:ind w:firstLineChars="0"/>
              <w:rPr>
                <w:rFonts w:ascii="仿宋" w:hAnsi="仿宋" w:eastAsia="仿宋"/>
                <w:sz w:val="24"/>
              </w:rPr>
            </w:pPr>
            <w:r>
              <w:rPr>
                <w:rFonts w:hint="eastAsia" w:ascii="仿宋" w:hAnsi="仿宋" w:eastAsia="仿宋"/>
                <w:sz w:val="24"/>
              </w:rPr>
              <w:t>系统要具有多个管理员角色的设计，提供独立的审计管理员，可以审计系统所有的登录日志和操作日志，包括系统管理员操作在内，起到监督的作用。</w:t>
            </w:r>
          </w:p>
          <w:p>
            <w:pPr>
              <w:pStyle w:val="194"/>
              <w:numPr>
                <w:ilvl w:val="0"/>
                <w:numId w:val="3"/>
              </w:numPr>
              <w:spacing w:line="360" w:lineRule="auto"/>
              <w:ind w:firstLineChars="0"/>
              <w:rPr>
                <w:rFonts w:ascii="仿宋" w:hAnsi="仿宋" w:eastAsia="仿宋"/>
                <w:sz w:val="24"/>
              </w:rPr>
            </w:pPr>
            <w:r>
              <w:rPr>
                <w:rFonts w:hint="eastAsia" w:ascii="仿宋" w:hAnsi="仿宋" w:eastAsia="仿宋"/>
                <w:sz w:val="24"/>
              </w:rPr>
              <w:t>支持系统管理员设置是否对附件进行加密或者设置附件加密的强度，如：中度加密、深度加密；</w:t>
            </w:r>
          </w:p>
          <w:p>
            <w:pPr>
              <w:pStyle w:val="194"/>
              <w:numPr>
                <w:ilvl w:val="0"/>
                <w:numId w:val="3"/>
              </w:numPr>
              <w:spacing w:line="360" w:lineRule="auto"/>
              <w:ind w:firstLineChars="0"/>
              <w:rPr>
                <w:rFonts w:hint="eastAsia" w:ascii="仿宋" w:hAnsi="仿宋" w:eastAsia="仿宋"/>
                <w:sz w:val="24"/>
              </w:rPr>
            </w:pPr>
            <w:r>
              <w:rPr>
                <w:rFonts w:hint="eastAsia" w:ascii="仿宋" w:hAnsi="仿宋" w:eastAsia="仿宋"/>
                <w:sz w:val="24"/>
              </w:rPr>
              <w:t xml:space="preserve"> 实现分级授权，对职级、职务、岗位、角色、组、人员多维权限管理。</w:t>
            </w:r>
          </w:p>
          <w:p>
            <w:pPr>
              <w:pStyle w:val="194"/>
              <w:numPr>
                <w:ilvl w:val="0"/>
                <w:numId w:val="3"/>
              </w:numPr>
              <w:spacing w:line="360" w:lineRule="auto"/>
              <w:ind w:firstLineChars="0"/>
              <w:rPr>
                <w:rFonts w:ascii="仿宋" w:hAnsi="仿宋" w:eastAsia="仿宋"/>
                <w:sz w:val="24"/>
              </w:rPr>
            </w:pPr>
            <w:r>
              <w:rPr>
                <w:rFonts w:hint="eastAsia" w:ascii="仿宋" w:hAnsi="仿宋" w:eastAsia="仿宋"/>
                <w:sz w:val="24"/>
              </w:rPr>
              <w:t>支持企业组织场景，提供公司、部门、人员组织机构树；提供职务级别、岗位和各种业务角色的自定义，并支持一人多岗、一人多单位兼职、内部人员和外部人员的区分机制。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2、门户管理</w:t>
            </w:r>
          </w:p>
        </w:tc>
        <w:tc>
          <w:tcPr>
            <w:tcW w:w="5773" w:type="dxa"/>
            <w:vAlign w:val="center"/>
          </w:tcPr>
          <w:p>
            <w:pPr>
              <w:numPr>
                <w:ilvl w:val="0"/>
                <w:numId w:val="4"/>
              </w:numPr>
              <w:spacing w:line="360" w:lineRule="auto"/>
              <w:rPr>
                <w:rFonts w:ascii="仿宋" w:hAnsi="仿宋" w:eastAsia="仿宋"/>
                <w:sz w:val="24"/>
              </w:rPr>
            </w:pPr>
            <w:r>
              <w:rPr>
                <w:rFonts w:hint="eastAsia" w:ascii="仿宋" w:hAnsi="仿宋" w:eastAsia="仿宋"/>
                <w:sz w:val="24"/>
              </w:rPr>
              <w:t>利用Portal技术提供灵活的门户定制功能，可同时订制综合信息门户、部门门户、个人门户和主题门户，支持不同单位风格和内容定制。</w:t>
            </w:r>
          </w:p>
          <w:p>
            <w:pPr>
              <w:numPr>
                <w:ilvl w:val="0"/>
                <w:numId w:val="4"/>
              </w:numPr>
              <w:spacing w:line="360" w:lineRule="auto"/>
              <w:rPr>
                <w:rFonts w:ascii="仿宋" w:hAnsi="仿宋" w:eastAsia="仿宋"/>
                <w:sz w:val="24"/>
              </w:rPr>
            </w:pPr>
            <w:r>
              <w:rPr>
                <w:rFonts w:hint="eastAsia" w:ascii="仿宋" w:hAnsi="仿宋" w:eastAsia="仿宋"/>
                <w:sz w:val="24"/>
              </w:rPr>
              <w:t>门户定制包括门户首页布局调整、内容定制、个人导航栏定制、风格定制、提醒设置等功能。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3、公文管理</w:t>
            </w:r>
          </w:p>
        </w:tc>
        <w:tc>
          <w:tcPr>
            <w:tcW w:w="5773" w:type="dxa"/>
            <w:vAlign w:val="center"/>
          </w:tcPr>
          <w:p>
            <w:pPr>
              <w:spacing w:line="360" w:lineRule="auto"/>
              <w:ind w:firstLine="219" w:firstLineChars="100"/>
              <w:rPr>
                <w:rFonts w:ascii="仿宋" w:hAnsi="仿宋" w:eastAsia="仿宋"/>
                <w:sz w:val="24"/>
              </w:rPr>
            </w:pPr>
            <w:r>
              <w:rPr>
                <w:rFonts w:hint="eastAsia" w:ascii="仿宋" w:hAnsi="仿宋" w:eastAsia="仿宋"/>
                <w:sz w:val="24"/>
              </w:rPr>
              <w:t>对现有的公文管理进行实施优化；梳理公司现有的收发文流程。</w:t>
            </w:r>
          </w:p>
          <w:p>
            <w:pPr>
              <w:numPr>
                <w:ilvl w:val="0"/>
                <w:numId w:val="5"/>
              </w:numPr>
              <w:spacing w:line="360" w:lineRule="auto"/>
              <w:rPr>
                <w:rFonts w:ascii="仿宋" w:hAnsi="仿宋" w:eastAsia="仿宋"/>
                <w:sz w:val="24"/>
              </w:rPr>
            </w:pPr>
            <w:r>
              <w:rPr>
                <w:rFonts w:hint="eastAsia" w:ascii="仿宋" w:hAnsi="仿宋" w:eastAsia="仿宋"/>
                <w:sz w:val="24"/>
              </w:rPr>
              <w:t>发文管理：提供完善的发文管理。设计发文模板（按照最新公文格式规范），实现公文拟稿、审核、复核、签发、套红、盖章等操作。</w:t>
            </w:r>
          </w:p>
          <w:p>
            <w:pPr>
              <w:numPr>
                <w:ilvl w:val="0"/>
                <w:numId w:val="5"/>
              </w:numPr>
              <w:spacing w:line="360" w:lineRule="auto"/>
              <w:rPr>
                <w:rFonts w:ascii="仿宋" w:hAnsi="仿宋" w:eastAsia="仿宋"/>
                <w:sz w:val="24"/>
              </w:rPr>
            </w:pPr>
            <w:r>
              <w:rPr>
                <w:rFonts w:hint="eastAsia" w:ascii="仿宋" w:hAnsi="仿宋" w:eastAsia="仿宋"/>
                <w:sz w:val="24"/>
              </w:rPr>
              <w:t>收文管理：提供完善的收文管理，实现文件签收、登记、拟办、批示、承办、办理等完整收文管理应用。支持将上级单位来文中的PDF文件直接插入正文。</w:t>
            </w:r>
          </w:p>
          <w:p>
            <w:pPr>
              <w:numPr>
                <w:ilvl w:val="0"/>
                <w:numId w:val="5"/>
              </w:numPr>
              <w:spacing w:line="360" w:lineRule="auto"/>
              <w:rPr>
                <w:rFonts w:ascii="仿宋" w:hAnsi="仿宋" w:eastAsia="仿宋"/>
                <w:sz w:val="24"/>
              </w:rPr>
            </w:pPr>
            <w:r>
              <w:rPr>
                <w:rFonts w:hint="eastAsia" w:ascii="仿宋" w:hAnsi="仿宋" w:eastAsia="仿宋"/>
                <w:sz w:val="24"/>
              </w:rPr>
              <w:t>公文督办：可预先设定公文督办人，督办人员可进行办理过程进行监视和督办，并对逾期的公文做催办，可以调整办理人员或跳过办理节点。</w:t>
            </w:r>
          </w:p>
          <w:p>
            <w:pPr>
              <w:numPr>
                <w:ilvl w:val="0"/>
                <w:numId w:val="5"/>
              </w:numPr>
              <w:spacing w:line="360" w:lineRule="auto"/>
              <w:rPr>
                <w:rFonts w:ascii="仿宋" w:hAnsi="仿宋" w:eastAsia="仿宋"/>
                <w:sz w:val="24"/>
              </w:rPr>
            </w:pPr>
            <w:r>
              <w:rPr>
                <w:rFonts w:hint="eastAsia" w:ascii="仿宋" w:hAnsi="仿宋" w:eastAsia="仿宋"/>
                <w:sz w:val="24"/>
              </w:rPr>
              <w:t xml:space="preserve">公文处理权限定制：系统提供公文处理权限的定制，提供提交、修改正文、签章、文单签批、加签、减签、会签、暂存待办、回退、终止等权限的定制。 </w:t>
            </w:r>
          </w:p>
          <w:p>
            <w:pPr>
              <w:numPr>
                <w:ilvl w:val="0"/>
                <w:numId w:val="5"/>
              </w:numPr>
              <w:spacing w:line="360" w:lineRule="auto"/>
              <w:rPr>
                <w:rFonts w:ascii="仿宋" w:hAnsi="仿宋" w:eastAsia="仿宋"/>
                <w:sz w:val="24"/>
              </w:rPr>
            </w:pPr>
            <w:r>
              <w:rPr>
                <w:rFonts w:hint="eastAsia" w:ascii="仿宋" w:hAnsi="仿宋" w:eastAsia="仿宋"/>
                <w:sz w:val="24"/>
              </w:rPr>
              <w:t>痕迹保留：对正文的每次修改，要求系统保留原稿的修改痕迹。</w:t>
            </w:r>
          </w:p>
          <w:p>
            <w:pPr>
              <w:numPr>
                <w:ilvl w:val="0"/>
                <w:numId w:val="5"/>
              </w:numPr>
              <w:spacing w:line="360" w:lineRule="auto"/>
              <w:rPr>
                <w:rFonts w:ascii="仿宋" w:hAnsi="仿宋" w:eastAsia="仿宋"/>
                <w:sz w:val="24"/>
              </w:rPr>
            </w:pPr>
            <w:r>
              <w:rPr>
                <w:rFonts w:hint="eastAsia" w:ascii="仿宋" w:hAnsi="仿宋" w:eastAsia="仿宋"/>
                <w:sz w:val="24"/>
              </w:rPr>
              <w:t>公文审批中正文和表单的布局支持多种展示效果，如一屏等。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ascii="仿宋" w:hAnsi="仿宋" w:eastAsia="仿宋"/>
                <w:sz w:val="24"/>
              </w:rPr>
              <w:t>4</w:t>
            </w:r>
            <w:r>
              <w:rPr>
                <w:rFonts w:hint="eastAsia" w:ascii="仿宋" w:hAnsi="仿宋" w:eastAsia="仿宋"/>
                <w:sz w:val="24"/>
              </w:rPr>
              <w:t>、会议管理</w:t>
            </w:r>
          </w:p>
        </w:tc>
        <w:tc>
          <w:tcPr>
            <w:tcW w:w="5773" w:type="dxa"/>
            <w:vAlign w:val="center"/>
          </w:tcPr>
          <w:p>
            <w:pPr>
              <w:spacing w:line="360" w:lineRule="auto"/>
              <w:ind w:firstLine="219" w:firstLineChars="100"/>
              <w:rPr>
                <w:rFonts w:ascii="仿宋" w:hAnsi="仿宋" w:eastAsia="仿宋"/>
                <w:sz w:val="24"/>
              </w:rPr>
            </w:pPr>
            <w:r>
              <w:rPr>
                <w:rFonts w:hint="eastAsia" w:ascii="仿宋" w:hAnsi="仿宋" w:eastAsia="仿宋"/>
                <w:sz w:val="24"/>
              </w:rPr>
              <w:t>优化完善实用的会议室申请、主要会议（活动）报备等流程。</w:t>
            </w:r>
          </w:p>
          <w:p>
            <w:pPr>
              <w:numPr>
                <w:ilvl w:val="0"/>
                <w:numId w:val="6"/>
              </w:numPr>
              <w:spacing w:line="360" w:lineRule="auto"/>
              <w:rPr>
                <w:rFonts w:ascii="仿宋" w:hAnsi="仿宋" w:eastAsia="仿宋"/>
                <w:sz w:val="24"/>
              </w:rPr>
            </w:pPr>
            <w:r>
              <w:rPr>
                <w:rFonts w:hint="eastAsia" w:ascii="仿宋" w:hAnsi="仿宋" w:eastAsia="仿宋"/>
                <w:sz w:val="24"/>
              </w:rPr>
              <w:t>具有会议</w:t>
            </w:r>
            <w:r>
              <w:rPr>
                <w:rFonts w:ascii="仿宋" w:hAnsi="仿宋" w:eastAsia="仿宋"/>
                <w:sz w:val="24"/>
              </w:rPr>
              <w:t>方案拟批、</w:t>
            </w:r>
            <w:r>
              <w:rPr>
                <w:rFonts w:hint="eastAsia" w:ascii="仿宋" w:hAnsi="仿宋" w:eastAsia="仿宋"/>
                <w:sz w:val="24"/>
              </w:rPr>
              <w:t>会议申请、会议审核、会议通知、会议回执、会议</w:t>
            </w:r>
            <w:r>
              <w:rPr>
                <w:rFonts w:ascii="仿宋" w:hAnsi="仿宋" w:eastAsia="仿宋"/>
                <w:sz w:val="24"/>
              </w:rPr>
              <w:t>签到、</w:t>
            </w:r>
            <w:r>
              <w:rPr>
                <w:rFonts w:hint="eastAsia" w:ascii="仿宋" w:hAnsi="仿宋" w:eastAsia="仿宋"/>
                <w:sz w:val="24"/>
              </w:rPr>
              <w:t>会议纪要等完整</w:t>
            </w:r>
            <w:r>
              <w:rPr>
                <w:rFonts w:ascii="仿宋" w:hAnsi="仿宋" w:eastAsia="仿宋"/>
                <w:sz w:val="24"/>
              </w:rPr>
              <w:t>的</w:t>
            </w:r>
            <w:r>
              <w:rPr>
                <w:rFonts w:hint="eastAsia" w:ascii="仿宋" w:hAnsi="仿宋" w:eastAsia="仿宋"/>
                <w:sz w:val="24"/>
              </w:rPr>
              <w:t>会议管理应用。</w:t>
            </w:r>
          </w:p>
          <w:p>
            <w:pPr>
              <w:numPr>
                <w:ilvl w:val="0"/>
                <w:numId w:val="6"/>
              </w:numPr>
              <w:spacing w:line="360" w:lineRule="auto"/>
              <w:rPr>
                <w:rFonts w:ascii="仿宋" w:hAnsi="仿宋" w:eastAsia="仿宋"/>
                <w:sz w:val="24"/>
              </w:rPr>
            </w:pPr>
            <w:r>
              <w:rPr>
                <w:rFonts w:hint="eastAsia" w:ascii="仿宋" w:hAnsi="仿宋" w:eastAsia="仿宋"/>
                <w:sz w:val="24"/>
              </w:rPr>
              <w:t>提供图示化会议室管理和会议室申请、</w:t>
            </w:r>
            <w:r>
              <w:rPr>
                <w:rFonts w:ascii="仿宋" w:hAnsi="仿宋" w:eastAsia="仿宋"/>
                <w:sz w:val="24"/>
              </w:rPr>
              <w:t>会议室</w:t>
            </w:r>
            <w:r>
              <w:rPr>
                <w:rFonts w:hint="eastAsia" w:ascii="仿宋" w:hAnsi="仿宋" w:eastAsia="仿宋"/>
                <w:sz w:val="24"/>
              </w:rPr>
              <w:t>占用</w:t>
            </w:r>
            <w:r>
              <w:rPr>
                <w:rFonts w:ascii="仿宋" w:hAnsi="仿宋" w:eastAsia="仿宋"/>
                <w:sz w:val="24"/>
              </w:rPr>
              <w:t>查询</w:t>
            </w:r>
            <w:r>
              <w:rPr>
                <w:rFonts w:hint="eastAsia" w:ascii="仿宋" w:hAnsi="仿宋" w:eastAsia="仿宋"/>
                <w:sz w:val="24"/>
              </w:rPr>
              <w:t>。</w:t>
            </w:r>
          </w:p>
          <w:p>
            <w:pPr>
              <w:numPr>
                <w:ilvl w:val="0"/>
                <w:numId w:val="6"/>
              </w:numPr>
              <w:spacing w:line="360" w:lineRule="auto"/>
              <w:rPr>
                <w:rFonts w:ascii="仿宋" w:hAnsi="仿宋" w:eastAsia="仿宋"/>
                <w:sz w:val="24"/>
              </w:rPr>
            </w:pPr>
            <w:r>
              <w:rPr>
                <w:rFonts w:hint="eastAsia" w:ascii="仿宋" w:hAnsi="仿宋" w:eastAsia="仿宋"/>
                <w:sz w:val="24"/>
              </w:rPr>
              <w:t>会议内容包括文字、图片和音视频文件。</w:t>
            </w:r>
          </w:p>
          <w:p>
            <w:pPr>
              <w:numPr>
                <w:ilvl w:val="0"/>
                <w:numId w:val="6"/>
              </w:numPr>
              <w:spacing w:line="360" w:lineRule="auto"/>
              <w:rPr>
                <w:rFonts w:ascii="仿宋" w:hAnsi="仿宋" w:eastAsia="仿宋"/>
                <w:sz w:val="24"/>
              </w:rPr>
            </w:pPr>
            <w:r>
              <w:rPr>
                <w:rFonts w:hint="eastAsia" w:ascii="仿宋" w:hAnsi="仿宋" w:eastAsia="仿宋"/>
                <w:sz w:val="24"/>
              </w:rPr>
              <w:t>会议通知提供在线消息提醒和推送到智能终端设备，支持智能终端设备上查看会议内容并回执是否参会。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ascii="仿宋" w:hAnsi="仿宋" w:eastAsia="仿宋"/>
                <w:sz w:val="24"/>
              </w:rPr>
              <w:t>5</w:t>
            </w:r>
            <w:r>
              <w:rPr>
                <w:rFonts w:hint="eastAsia" w:ascii="仿宋" w:hAnsi="仿宋" w:eastAsia="仿宋"/>
                <w:sz w:val="24"/>
              </w:rPr>
              <w:t>、事务审批</w:t>
            </w:r>
          </w:p>
        </w:tc>
        <w:tc>
          <w:tcPr>
            <w:tcW w:w="5773" w:type="dxa"/>
            <w:vAlign w:val="center"/>
          </w:tcPr>
          <w:p>
            <w:pPr>
              <w:pStyle w:val="194"/>
              <w:numPr>
                <w:ilvl w:val="0"/>
                <w:numId w:val="7"/>
              </w:numPr>
              <w:spacing w:line="360" w:lineRule="auto"/>
              <w:ind w:firstLineChars="0"/>
              <w:rPr>
                <w:rFonts w:ascii="仿宋" w:hAnsi="仿宋" w:eastAsia="仿宋"/>
                <w:sz w:val="24"/>
              </w:rPr>
            </w:pPr>
            <w:r>
              <w:rPr>
                <w:rFonts w:hint="eastAsia" w:ascii="仿宋" w:hAnsi="仿宋" w:eastAsia="仿宋"/>
                <w:sz w:val="24"/>
              </w:rPr>
              <w:t>车辆管理：支持车辆派车、用车、申请、审批管理。</w:t>
            </w:r>
          </w:p>
          <w:p>
            <w:pPr>
              <w:pStyle w:val="194"/>
              <w:numPr>
                <w:ilvl w:val="0"/>
                <w:numId w:val="7"/>
              </w:numPr>
              <w:spacing w:line="360" w:lineRule="auto"/>
              <w:ind w:firstLineChars="0"/>
              <w:rPr>
                <w:rFonts w:ascii="仿宋" w:hAnsi="仿宋" w:eastAsia="仿宋"/>
                <w:sz w:val="24"/>
              </w:rPr>
            </w:pPr>
            <w:r>
              <w:rPr>
                <w:rFonts w:hint="eastAsia" w:ascii="仿宋" w:hAnsi="仿宋" w:eastAsia="仿宋"/>
                <w:sz w:val="24"/>
              </w:rPr>
              <w:t>事务布置：支持根据工作需要自由创建流程，包括串发、并发和组合流程，通过流程实现文件传递和事务布置、协作。</w:t>
            </w:r>
          </w:p>
          <w:p>
            <w:pPr>
              <w:pStyle w:val="194"/>
              <w:numPr>
                <w:ilvl w:val="0"/>
                <w:numId w:val="7"/>
              </w:numPr>
              <w:spacing w:line="360" w:lineRule="auto"/>
              <w:ind w:firstLineChars="0"/>
              <w:rPr>
                <w:rFonts w:ascii="仿宋" w:hAnsi="仿宋" w:eastAsia="仿宋"/>
                <w:spacing w:val="-6"/>
                <w:sz w:val="24"/>
              </w:rPr>
            </w:pPr>
            <w:r>
              <w:rPr>
                <w:rFonts w:hint="eastAsia" w:ascii="仿宋" w:hAnsi="仿宋" w:eastAsia="仿宋"/>
                <w:spacing w:val="-6"/>
                <w:sz w:val="24"/>
              </w:rPr>
              <w:t>实现用章、出差、报告、请假、用餐等事务性审批。</w:t>
            </w:r>
          </w:p>
          <w:p>
            <w:pPr>
              <w:spacing w:line="360" w:lineRule="auto"/>
              <w:ind w:firstLine="219" w:firstLineChars="100"/>
              <w:rPr>
                <w:rFonts w:ascii="仿宋" w:hAnsi="仿宋" w:eastAsia="仿宋"/>
                <w:sz w:val="24"/>
              </w:rPr>
            </w:pPr>
            <w:r>
              <w:rPr>
                <w:rFonts w:hint="eastAsia" w:ascii="仿宋" w:hAnsi="仿宋" w:eastAsia="仿宋"/>
                <w:sz w:val="24"/>
              </w:rPr>
              <w:t>对系统中现有的审批流程进行梳理，并完善印章、介绍信、法人证书复印件流程中增加数量（例如用印多少枚），同时可以按照时间节点统计数据。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ascii="仿宋" w:hAnsi="仿宋" w:eastAsia="仿宋"/>
                <w:sz w:val="24"/>
              </w:rPr>
              <w:t>6</w:t>
            </w:r>
            <w:r>
              <w:rPr>
                <w:rFonts w:hint="eastAsia" w:ascii="仿宋" w:hAnsi="仿宋" w:eastAsia="仿宋"/>
                <w:sz w:val="24"/>
              </w:rPr>
              <w:t>、流程管理</w:t>
            </w:r>
          </w:p>
        </w:tc>
        <w:tc>
          <w:tcPr>
            <w:tcW w:w="5773" w:type="dxa"/>
            <w:vAlign w:val="center"/>
          </w:tcPr>
          <w:p>
            <w:pPr>
              <w:pStyle w:val="290"/>
              <w:numPr>
                <w:ilvl w:val="0"/>
                <w:numId w:val="8"/>
              </w:numPr>
              <w:spacing w:line="360" w:lineRule="auto"/>
              <w:rPr>
                <w:rFonts w:ascii="仿宋" w:hAnsi="仿宋" w:eastAsia="仿宋"/>
                <w:color w:val="auto"/>
                <w:szCs w:val="24"/>
              </w:rPr>
            </w:pPr>
            <w:r>
              <w:rPr>
                <w:rFonts w:hint="eastAsia" w:ascii="仿宋" w:hAnsi="仿宋" w:eastAsia="仿宋"/>
                <w:color w:val="auto"/>
                <w:szCs w:val="24"/>
              </w:rPr>
              <w:t>工作流模块应具备可视化的流程自定义，能够轻松实现添加、修改、删除等功能；流程发起者及时查看流程走向、当前状态，流程图形上能显示办理人的在线状态、处理情况、办理退回的次数,当前环节的处理人等信息。</w:t>
            </w:r>
          </w:p>
          <w:p>
            <w:pPr>
              <w:pStyle w:val="290"/>
              <w:numPr>
                <w:ilvl w:val="0"/>
                <w:numId w:val="8"/>
              </w:numPr>
              <w:spacing w:line="360" w:lineRule="auto"/>
              <w:rPr>
                <w:rFonts w:ascii="仿宋" w:hAnsi="仿宋" w:eastAsia="仿宋"/>
                <w:color w:val="auto"/>
                <w:szCs w:val="24"/>
              </w:rPr>
            </w:pPr>
            <w:r>
              <w:rPr>
                <w:rFonts w:hint="eastAsia" w:ascii="仿宋" w:hAnsi="仿宋" w:eastAsia="仿宋"/>
                <w:color w:val="auto"/>
                <w:szCs w:val="24"/>
              </w:rPr>
              <w:t>流程处理：根据需求任意定义各种工作流程，包括分支、汇总和循环等流程，支持回退、会签、加签、自动选择流程办理人员等功能，并且可以随意定义私有流程、部门流程、修改已定义的各种流程。如：支持用户可自行定义流程表单信息内容、以及所需要审批的路径环节；支持单人、多人顺序、多人并行、单个多人等流程模型。</w:t>
            </w:r>
          </w:p>
          <w:p>
            <w:pPr>
              <w:pStyle w:val="290"/>
              <w:numPr>
                <w:ilvl w:val="0"/>
                <w:numId w:val="8"/>
              </w:numPr>
              <w:spacing w:line="360" w:lineRule="auto"/>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kern w:val="2"/>
                <w:szCs w:val="24"/>
                <w14:textFill>
                  <w14:solidFill>
                    <w14:schemeClr w14:val="tx1"/>
                  </w14:solidFill>
                </w14:textFill>
              </w:rPr>
              <w:t>当用户在PC端调用表单模板发起流程的时候，系统支持把用户发起该模板的历史数据按照一一对应的关系可以一键填写到当前表单模板中，提高表单数据录入的时效性与准确性。</w:t>
            </w:r>
          </w:p>
          <w:p>
            <w:pPr>
              <w:pStyle w:val="290"/>
              <w:numPr>
                <w:ilvl w:val="0"/>
                <w:numId w:val="8"/>
              </w:numPr>
              <w:spacing w:line="360" w:lineRule="auto"/>
              <w:rPr>
                <w:rFonts w:ascii="仿宋" w:hAnsi="仿宋" w:eastAsia="仿宋"/>
              </w:rPr>
            </w:pPr>
            <w:r>
              <w:rPr>
                <w:rFonts w:hint="eastAsia" w:ascii="仿宋" w:hAnsi="仿宋" w:eastAsia="仿宋"/>
                <w:color w:val="000000" w:themeColor="text1"/>
                <w:szCs w:val="24"/>
                <w14:textFill>
                  <w14:solidFill>
                    <w14:schemeClr w14:val="tx1"/>
                  </w14:solidFill>
                </w14:textFill>
              </w:rPr>
              <w:t>系统支持在模板流程制作时，支持对流程模拟仿真测试，</w:t>
            </w:r>
            <w:r>
              <w:rPr>
                <w:rFonts w:hint="eastAsia" w:ascii="仿宋" w:hAnsi="仿宋" w:eastAsia="仿宋"/>
                <w:color w:val="000000" w:themeColor="text1"/>
                <w14:textFill>
                  <w14:solidFill>
                    <w14:schemeClr w14:val="tx1"/>
                  </w14:solidFill>
                </w14:textFill>
              </w:rPr>
              <w:t>流程节点及分支全过程模拟，智能流转，校验设置正确性，一键检测节点或分支异常，人员离职、部门调整时及时调整流程。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7、表单设计</w:t>
            </w:r>
          </w:p>
        </w:tc>
        <w:tc>
          <w:tcPr>
            <w:tcW w:w="5773" w:type="dxa"/>
            <w:vAlign w:val="center"/>
          </w:tcPr>
          <w:p>
            <w:pPr>
              <w:pStyle w:val="290"/>
              <w:numPr>
                <w:ilvl w:val="0"/>
                <w:numId w:val="9"/>
              </w:numPr>
              <w:spacing w:line="360" w:lineRule="auto"/>
              <w:rPr>
                <w:rFonts w:ascii="仿宋" w:hAnsi="仿宋" w:eastAsia="仿宋"/>
                <w:color w:val="000000" w:themeColor="text1"/>
                <w:kern w:val="2"/>
                <w:szCs w:val="24"/>
                <w14:textFill>
                  <w14:solidFill>
                    <w14:schemeClr w14:val="tx1"/>
                  </w14:solidFill>
                </w14:textFill>
              </w:rPr>
            </w:pPr>
            <w:r>
              <w:rPr>
                <w:rFonts w:hint="eastAsia" w:ascii="仿宋" w:hAnsi="仿宋" w:eastAsia="仿宋"/>
                <w:color w:val="000000" w:themeColor="text1"/>
                <w:kern w:val="2"/>
                <w:szCs w:val="24"/>
                <w14:textFill>
                  <w14:solidFill>
                    <w14:schemeClr w14:val="tx1"/>
                  </w14:solidFill>
                </w14:textFill>
              </w:rPr>
              <w:t>表单基于</w:t>
            </w:r>
            <w:r>
              <w:rPr>
                <w:rFonts w:ascii="仿宋" w:hAnsi="仿宋" w:eastAsia="仿宋"/>
                <w:color w:val="000000" w:themeColor="text1"/>
                <w:kern w:val="2"/>
                <w:szCs w:val="24"/>
                <w14:textFill>
                  <w14:solidFill>
                    <w14:schemeClr w14:val="tx1"/>
                  </w14:solidFill>
                </w14:textFill>
              </w:rPr>
              <w:t>XML技术，通过支持单据定义、流程配置、人员和资源的直观描述等多种手段，以图形化、透明化、可视化而完成制度的控制执行，保证制度执行的准确、高效、可跟踪和追溯，并将执行结果全息集中存储，保证了制度的有效执行。</w:t>
            </w:r>
          </w:p>
          <w:p>
            <w:pPr>
              <w:pStyle w:val="290"/>
              <w:numPr>
                <w:ilvl w:val="0"/>
                <w:numId w:val="9"/>
              </w:numPr>
              <w:spacing w:line="360" w:lineRule="auto"/>
              <w:rPr>
                <w:rFonts w:ascii="仿宋" w:hAnsi="仿宋" w:eastAsia="仿宋"/>
                <w:color w:val="000000" w:themeColor="text1"/>
                <w:kern w:val="2"/>
                <w:szCs w:val="24"/>
                <w14:textFill>
                  <w14:solidFill>
                    <w14:schemeClr w14:val="tx1"/>
                  </w14:solidFill>
                </w14:textFill>
              </w:rPr>
            </w:pPr>
            <w:r>
              <w:rPr>
                <w:rFonts w:hint="eastAsia" w:ascii="仿宋" w:hAnsi="仿宋" w:eastAsia="仿宋"/>
                <w:color w:val="000000" w:themeColor="text1"/>
                <w:kern w:val="2"/>
                <w:szCs w:val="24"/>
                <w14:textFill>
                  <w14:solidFill>
                    <w14:schemeClr w14:val="tx1"/>
                  </w14:solidFill>
                </w14:textFill>
              </w:rPr>
              <w:t>支持多列布局、表格布局；支持</w:t>
            </w:r>
            <w:r>
              <w:rPr>
                <w:rFonts w:ascii="仿宋" w:hAnsi="仿宋" w:eastAsia="仿宋"/>
                <w:color w:val="000000" w:themeColor="text1"/>
                <w:kern w:val="2"/>
                <w:szCs w:val="24"/>
                <w14:textFill>
                  <w14:solidFill>
                    <w14:schemeClr w14:val="tx1"/>
                  </w14:solidFill>
                </w14:textFill>
              </w:rPr>
              <w:t>30+控件类型：基础控件、组织控件、业务控件、辅助类标签、自定义控件/按钮；</w:t>
            </w:r>
            <w:r>
              <w:rPr>
                <w:rFonts w:hint="eastAsia" w:ascii="仿宋" w:hAnsi="仿宋" w:eastAsia="仿宋"/>
                <w:color w:val="000000" w:themeColor="text1"/>
                <w:kern w:val="2"/>
                <w:szCs w:val="24"/>
                <w14:textFill>
                  <w14:solidFill>
                    <w14:schemeClr w14:val="tx1"/>
                  </w14:solidFill>
                </w14:textFill>
              </w:rPr>
              <w:t>支持按需定义表单格式、表单录入方式、表单数据类型和录入代码；支持表单数据的校验规则、唯一性、计算、关联，大小写转换等；支持第</w:t>
            </w:r>
            <w:r>
              <w:rPr>
                <w:rFonts w:ascii="仿宋" w:hAnsi="仿宋" w:eastAsia="仿宋"/>
                <w:color w:val="000000" w:themeColor="text1"/>
                <w:kern w:val="2"/>
                <w:szCs w:val="24"/>
                <w14:textFill>
                  <w14:solidFill>
                    <w14:schemeClr w14:val="tx1"/>
                  </w14:solidFill>
                </w14:textFill>
              </w:rPr>
              <w:t>3方控件，如表单手写签名与盖章、二维码、地图控件；</w:t>
            </w:r>
          </w:p>
          <w:p>
            <w:pPr>
              <w:pStyle w:val="290"/>
              <w:numPr>
                <w:ilvl w:val="0"/>
                <w:numId w:val="9"/>
              </w:numPr>
              <w:spacing w:line="360" w:lineRule="auto"/>
              <w:rPr>
                <w:rFonts w:ascii="仿宋" w:hAnsi="仿宋" w:eastAsia="仿宋"/>
                <w:color w:val="000000" w:themeColor="text1"/>
                <w:kern w:val="2"/>
                <w:szCs w:val="24"/>
                <w14:textFill>
                  <w14:solidFill>
                    <w14:schemeClr w14:val="tx1"/>
                  </w14:solidFill>
                </w14:textFill>
              </w:rPr>
            </w:pPr>
            <w:r>
              <w:rPr>
                <w:rFonts w:hint="eastAsia" w:ascii="仿宋" w:hAnsi="仿宋" w:eastAsia="仿宋"/>
                <w:color w:val="000000" w:themeColor="text1"/>
                <w:kern w:val="2"/>
                <w:szCs w:val="24"/>
                <w14:textFill>
                  <w14:solidFill>
                    <w14:schemeClr w14:val="tx1"/>
                  </w14:solidFill>
                </w14:textFill>
              </w:rPr>
              <w:t>支持按需定义表单的业务处理流程、流程权限、数据操作权限；支持表单多视图与分段流程，支持表单数据项设置的动态流程节点；支持表单填写时的行复制、空行复制和行删除；采用结构化数据接口，通过扩展，支持其他系统接入；支持表单流程的标题可根据表单数据或系统变量动态生成；支持系统函数，如重复表分类合计</w:t>
            </w:r>
            <w:r>
              <w:rPr>
                <w:rFonts w:ascii="仿宋" w:hAnsi="仿宋" w:eastAsia="仿宋"/>
                <w:color w:val="000000" w:themeColor="text1"/>
                <w:kern w:val="2"/>
                <w:szCs w:val="24"/>
                <w14:textFill>
                  <w14:solidFill>
                    <w14:schemeClr w14:val="tx1"/>
                  </w14:solidFill>
                </w14:textFill>
              </w:rPr>
              <w:t>/分类平均、取年/取月/取整、用户自定义函数等；</w:t>
            </w:r>
            <w:r>
              <w:rPr>
                <w:rFonts w:hint="eastAsia" w:ascii="仿宋" w:hAnsi="仿宋" w:eastAsia="仿宋"/>
                <w:color w:val="000000" w:themeColor="text1"/>
                <w:kern w:val="2"/>
                <w:szCs w:val="24"/>
                <w14:textFill>
                  <w14:solidFill>
                    <w14:schemeClr w14:val="tx1"/>
                  </w14:solidFill>
                </w14:textFill>
              </w:rPr>
              <w:t>支持系统变量，如系统日期变量</w:t>
            </w:r>
            <w:r>
              <w:rPr>
                <w:rFonts w:ascii="仿宋" w:hAnsi="仿宋" w:eastAsia="仿宋"/>
                <w:color w:val="000000" w:themeColor="text1"/>
                <w:kern w:val="2"/>
                <w:szCs w:val="24"/>
                <w14:textFill>
                  <w14:solidFill>
                    <w14:schemeClr w14:val="tx1"/>
                  </w14:solidFill>
                </w14:textFill>
              </w:rPr>
              <w:t>/组织变量等。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29" w:type="dxa"/>
            <w:vAlign w:val="center"/>
          </w:tcPr>
          <w:p>
            <w:pPr>
              <w:spacing w:line="360" w:lineRule="auto"/>
              <w:rPr>
                <w:rFonts w:ascii="仿宋" w:hAnsi="仿宋" w:eastAsia="仿宋"/>
                <w:sz w:val="24"/>
              </w:rPr>
            </w:pPr>
            <w:r>
              <w:rPr>
                <w:rFonts w:ascii="仿宋" w:hAnsi="仿宋" w:eastAsia="仿宋"/>
                <w:sz w:val="24"/>
              </w:rPr>
              <w:t>8</w:t>
            </w:r>
            <w:r>
              <w:rPr>
                <w:rFonts w:hint="eastAsia" w:ascii="仿宋" w:hAnsi="仿宋" w:eastAsia="仿宋"/>
                <w:sz w:val="24"/>
              </w:rPr>
              <w:t>、信息发布</w:t>
            </w:r>
          </w:p>
        </w:tc>
        <w:tc>
          <w:tcPr>
            <w:tcW w:w="5773" w:type="dxa"/>
            <w:vAlign w:val="center"/>
          </w:tcPr>
          <w:p>
            <w:pPr>
              <w:numPr>
                <w:ilvl w:val="0"/>
                <w:numId w:val="10"/>
              </w:numPr>
              <w:spacing w:line="360" w:lineRule="auto"/>
              <w:rPr>
                <w:rFonts w:ascii="仿宋" w:hAnsi="仿宋" w:eastAsia="仿宋"/>
                <w:sz w:val="24"/>
              </w:rPr>
            </w:pPr>
            <w:r>
              <w:rPr>
                <w:rFonts w:hint="eastAsia" w:ascii="仿宋" w:hAnsi="仿宋" w:eastAsia="仿宋"/>
                <w:sz w:val="24"/>
              </w:rPr>
              <w:t>提供信息发布模块，实现公告、简报、通知等信息的发布。</w:t>
            </w:r>
          </w:p>
          <w:p>
            <w:pPr>
              <w:numPr>
                <w:ilvl w:val="0"/>
                <w:numId w:val="10"/>
              </w:numPr>
              <w:spacing w:line="360" w:lineRule="auto"/>
              <w:rPr>
                <w:rFonts w:ascii="仿宋" w:hAnsi="仿宋" w:eastAsia="仿宋"/>
                <w:sz w:val="24"/>
              </w:rPr>
            </w:pPr>
            <w:r>
              <w:rPr>
                <w:rFonts w:hint="eastAsia" w:ascii="仿宋" w:hAnsi="仿宋" w:eastAsia="仿宋"/>
                <w:sz w:val="24"/>
              </w:rPr>
              <w:t>信息发布模块每个栏目均需设置栏目管理员，栏目管理员可以授权相关人员发布和审核发布信息，对发布信息做归档、删除和修改等管理应用。</w:t>
            </w:r>
          </w:p>
          <w:p>
            <w:pPr>
              <w:numPr>
                <w:ilvl w:val="0"/>
                <w:numId w:val="10"/>
              </w:numPr>
              <w:spacing w:line="360" w:lineRule="auto"/>
              <w:rPr>
                <w:rFonts w:ascii="仿宋" w:hAnsi="仿宋" w:eastAsia="仿宋"/>
                <w:sz w:val="24"/>
              </w:rPr>
            </w:pPr>
            <w:r>
              <w:rPr>
                <w:rFonts w:hint="eastAsia" w:ascii="仿宋" w:hAnsi="仿宋" w:eastAsia="仿宋"/>
                <w:sz w:val="24"/>
              </w:rPr>
              <w:t>公告、简报、通知等信息发布后，发布人员可以查看各单位和部门查看信息的情况，包括是否查看、查看时间等情况。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29" w:type="dxa"/>
            <w:vAlign w:val="center"/>
          </w:tcPr>
          <w:p>
            <w:pPr>
              <w:spacing w:line="360" w:lineRule="auto"/>
              <w:rPr>
                <w:rFonts w:ascii="仿宋" w:hAnsi="仿宋" w:eastAsia="仿宋"/>
                <w:sz w:val="24"/>
              </w:rPr>
            </w:pPr>
            <w:r>
              <w:rPr>
                <w:rFonts w:ascii="仿宋" w:hAnsi="仿宋" w:eastAsia="仿宋"/>
                <w:sz w:val="24"/>
              </w:rPr>
              <w:t>9</w:t>
            </w:r>
            <w:r>
              <w:rPr>
                <w:rFonts w:hint="eastAsia" w:ascii="仿宋" w:hAnsi="仿宋" w:eastAsia="仿宋"/>
                <w:sz w:val="24"/>
              </w:rPr>
              <w:t>、文档资料管理</w:t>
            </w:r>
          </w:p>
        </w:tc>
        <w:tc>
          <w:tcPr>
            <w:tcW w:w="5773" w:type="dxa"/>
            <w:vAlign w:val="center"/>
          </w:tcPr>
          <w:p>
            <w:pPr>
              <w:numPr>
                <w:ilvl w:val="0"/>
                <w:numId w:val="11"/>
              </w:numPr>
              <w:spacing w:line="360" w:lineRule="auto"/>
              <w:rPr>
                <w:rFonts w:ascii="仿宋" w:hAnsi="仿宋" w:eastAsia="仿宋"/>
                <w:sz w:val="24"/>
              </w:rPr>
            </w:pPr>
            <w:r>
              <w:rPr>
                <w:rFonts w:hint="eastAsia" w:ascii="仿宋" w:hAnsi="仿宋" w:eastAsia="仿宋"/>
                <w:sz w:val="24"/>
              </w:rPr>
              <w:t>公共文档：可分级管理的公共文档库，可以按部门、级别、岗位等方式分配权限，进行文件、资料的查阅。</w:t>
            </w:r>
          </w:p>
          <w:p>
            <w:pPr>
              <w:numPr>
                <w:ilvl w:val="0"/>
                <w:numId w:val="11"/>
              </w:numPr>
              <w:spacing w:line="360" w:lineRule="auto"/>
              <w:rPr>
                <w:rFonts w:ascii="仿宋" w:hAnsi="仿宋" w:eastAsia="仿宋"/>
                <w:sz w:val="24"/>
              </w:rPr>
            </w:pPr>
            <w:r>
              <w:rPr>
                <w:rFonts w:hint="eastAsia" w:ascii="仿宋" w:hAnsi="仿宋" w:eastAsia="仿宋"/>
                <w:sz w:val="24"/>
              </w:rPr>
              <w:t>个人文档：本系统为个人收集保存不同来源的重要资料文档和信息提供分类共享管理，可以将文档和信息共享给其他人员，其他人员可以通过共享文件夹查看到共享给自己的文档和信息，但是不能删除，共享人可以随时取消资料的共享。</w:t>
            </w:r>
          </w:p>
          <w:p>
            <w:pPr>
              <w:numPr>
                <w:ilvl w:val="0"/>
                <w:numId w:val="11"/>
              </w:numPr>
              <w:spacing w:line="360" w:lineRule="auto"/>
              <w:rPr>
                <w:rFonts w:ascii="仿宋" w:hAnsi="仿宋" w:eastAsia="仿宋"/>
                <w:sz w:val="24"/>
              </w:rPr>
            </w:pPr>
            <w:r>
              <w:rPr>
                <w:rFonts w:hint="eastAsia" w:ascii="仿宋" w:hAnsi="仿宋" w:eastAsia="仿宋"/>
                <w:sz w:val="24"/>
              </w:rPr>
              <w:t>能够对各种文档、信息、期刊简报等资料文件进行分类管理，实行分层次、分级别的权限管理。</w:t>
            </w:r>
          </w:p>
          <w:p>
            <w:pPr>
              <w:numPr>
                <w:ilvl w:val="0"/>
                <w:numId w:val="11"/>
              </w:numPr>
              <w:spacing w:line="360" w:lineRule="auto"/>
              <w:rPr>
                <w:rFonts w:ascii="仿宋" w:hAnsi="仿宋" w:eastAsia="仿宋"/>
                <w:sz w:val="24"/>
              </w:rPr>
            </w:pPr>
            <w:r>
              <w:rPr>
                <w:rFonts w:hint="eastAsia" w:ascii="仿宋" w:hAnsi="仿宋" w:eastAsia="仿宋"/>
                <w:sz w:val="24"/>
              </w:rPr>
              <w:t>可以控制文档的下载，打印，编辑等权限。文档查阅时可进行转办、转发、转拟稿、转邮件等操作。</w:t>
            </w:r>
          </w:p>
          <w:p>
            <w:pPr>
              <w:numPr>
                <w:ilvl w:val="0"/>
                <w:numId w:val="11"/>
              </w:numPr>
              <w:spacing w:line="360" w:lineRule="auto"/>
              <w:rPr>
                <w:rFonts w:ascii="仿宋" w:hAnsi="仿宋" w:eastAsia="仿宋"/>
                <w:sz w:val="24"/>
              </w:rPr>
            </w:pPr>
            <w:r>
              <w:rPr>
                <w:rFonts w:hint="eastAsia" w:ascii="仿宋" w:hAnsi="仿宋" w:eastAsia="仿宋"/>
                <w:sz w:val="24"/>
              </w:rPr>
              <w:t>文档有日志管理，可以看到每篇文档的操作日志记录。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29" w:type="dxa"/>
            <w:vAlign w:val="center"/>
          </w:tcPr>
          <w:p>
            <w:pPr>
              <w:spacing w:line="360" w:lineRule="auto"/>
              <w:rPr>
                <w:rFonts w:ascii="仿宋" w:hAnsi="仿宋" w:eastAsia="仿宋"/>
                <w:sz w:val="24"/>
              </w:rPr>
            </w:pPr>
            <w:r>
              <w:rPr>
                <w:rFonts w:ascii="仿宋" w:hAnsi="仿宋" w:eastAsia="仿宋"/>
                <w:sz w:val="24"/>
              </w:rPr>
              <w:t>10</w:t>
            </w:r>
            <w:r>
              <w:rPr>
                <w:rFonts w:hint="eastAsia" w:ascii="仿宋" w:hAnsi="仿宋" w:eastAsia="仿宋"/>
                <w:sz w:val="24"/>
              </w:rPr>
              <w:t>、全文检索</w:t>
            </w:r>
          </w:p>
        </w:tc>
        <w:tc>
          <w:tcPr>
            <w:tcW w:w="5773" w:type="dxa"/>
            <w:vAlign w:val="center"/>
          </w:tcPr>
          <w:p>
            <w:pPr>
              <w:numPr>
                <w:ilvl w:val="0"/>
                <w:numId w:val="12"/>
              </w:numPr>
              <w:spacing w:line="360" w:lineRule="auto"/>
              <w:rPr>
                <w:rFonts w:ascii="仿宋" w:hAnsi="仿宋" w:eastAsia="仿宋"/>
                <w:sz w:val="24"/>
              </w:rPr>
            </w:pPr>
            <w:r>
              <w:rPr>
                <w:rFonts w:hint="eastAsia" w:ascii="仿宋" w:hAnsi="仿宋" w:eastAsia="仿宋"/>
                <w:sz w:val="24"/>
              </w:rPr>
              <w:t>能够实现对在办公文、存档公文、资料库及档案库中的相关信息进行全文检索功能。检索到的文档可进行转发、转办、打印、转拟稿、收藏等操作。</w:t>
            </w:r>
          </w:p>
          <w:p>
            <w:pPr>
              <w:numPr>
                <w:ilvl w:val="0"/>
                <w:numId w:val="12"/>
              </w:numPr>
              <w:spacing w:line="360" w:lineRule="auto"/>
              <w:rPr>
                <w:rFonts w:ascii="仿宋" w:hAnsi="仿宋" w:eastAsia="仿宋"/>
                <w:sz w:val="24"/>
              </w:rPr>
            </w:pPr>
            <w:r>
              <w:rPr>
                <w:rFonts w:hint="eastAsia" w:ascii="仿宋" w:hAnsi="仿宋" w:eastAsia="仿宋"/>
                <w:sz w:val="24"/>
              </w:rPr>
              <w:t>全文检索功能具有分权限控制功能和系统日志功能。可以对授权允许的个人资料库进行全文检索。</w:t>
            </w:r>
          </w:p>
          <w:p>
            <w:pPr>
              <w:numPr>
                <w:ilvl w:val="0"/>
                <w:numId w:val="12"/>
              </w:numPr>
              <w:spacing w:line="360" w:lineRule="auto"/>
              <w:rPr>
                <w:rFonts w:ascii="仿宋" w:hAnsi="仿宋" w:eastAsia="仿宋"/>
                <w:sz w:val="24"/>
              </w:rPr>
            </w:pPr>
            <w:r>
              <w:rPr>
                <w:rFonts w:hint="eastAsia" w:ascii="仿宋" w:hAnsi="仿宋" w:eastAsia="仿宋"/>
                <w:sz w:val="24"/>
              </w:rPr>
              <w:t>全文检索功能实现分授权、跨部门联合检索功能，能够实现按事项、按信息全文检索。经授权人员可直接进入相关部门平台或查询到授权部门的相关资料信息。</w:t>
            </w:r>
          </w:p>
          <w:p>
            <w:pPr>
              <w:numPr>
                <w:ilvl w:val="0"/>
                <w:numId w:val="12"/>
              </w:numPr>
              <w:spacing w:line="360" w:lineRule="auto"/>
              <w:rPr>
                <w:rFonts w:ascii="仿宋" w:hAnsi="仿宋" w:eastAsia="仿宋"/>
                <w:sz w:val="24"/>
              </w:rPr>
            </w:pPr>
            <w:r>
              <w:rPr>
                <w:rFonts w:hint="eastAsia" w:ascii="仿宋" w:hAnsi="仿宋" w:eastAsia="仿宋"/>
                <w:sz w:val="24"/>
              </w:rPr>
              <w:t>支持</w:t>
            </w:r>
            <w:r>
              <w:rPr>
                <w:rFonts w:ascii="仿宋" w:hAnsi="仿宋" w:eastAsia="仿宋"/>
                <w:sz w:val="24"/>
              </w:rPr>
              <w:t>office、PDF附件中的正文检索，支持附件压缩包正文检索。</w:t>
            </w:r>
          </w:p>
          <w:p>
            <w:pPr>
              <w:numPr>
                <w:ilvl w:val="0"/>
                <w:numId w:val="12"/>
              </w:numPr>
              <w:spacing w:line="360" w:lineRule="auto"/>
              <w:rPr>
                <w:rFonts w:ascii="仿宋" w:hAnsi="仿宋" w:eastAsia="仿宋"/>
                <w:sz w:val="24"/>
              </w:rPr>
            </w:pPr>
            <w:r>
              <w:rPr>
                <w:rFonts w:hint="eastAsia" w:ascii="仿宋" w:hAnsi="仿宋" w:eastAsia="仿宋"/>
                <w:sz w:val="24"/>
              </w:rPr>
              <w:t>支持快速检索及全文检索两种检索方式。</w:t>
            </w:r>
          </w:p>
          <w:p>
            <w:pPr>
              <w:numPr>
                <w:ilvl w:val="0"/>
                <w:numId w:val="12"/>
              </w:numPr>
              <w:spacing w:line="360" w:lineRule="auto"/>
              <w:rPr>
                <w:rFonts w:ascii="仿宋" w:hAnsi="仿宋" w:eastAsia="仿宋"/>
                <w:sz w:val="24"/>
              </w:rPr>
            </w:pPr>
            <w:r>
              <w:rPr>
                <w:rFonts w:hint="eastAsia" w:ascii="仿宋" w:hAnsi="仿宋" w:eastAsia="仿宋"/>
                <w:sz w:val="24"/>
              </w:rPr>
              <w:t>支持针对结果进行二次检索，及按时间</w:t>
            </w:r>
            <w:r>
              <w:rPr>
                <w:rFonts w:ascii="仿宋" w:hAnsi="仿宋" w:eastAsia="仿宋"/>
                <w:sz w:val="24"/>
              </w:rPr>
              <w:t>/相关度排序。</w:t>
            </w:r>
          </w:p>
          <w:p>
            <w:pPr>
              <w:numPr>
                <w:ilvl w:val="0"/>
                <w:numId w:val="12"/>
              </w:numPr>
              <w:spacing w:line="360" w:lineRule="auto"/>
              <w:rPr>
                <w:rFonts w:ascii="仿宋" w:hAnsi="仿宋" w:eastAsia="仿宋"/>
                <w:sz w:val="24"/>
              </w:rPr>
            </w:pPr>
            <w:r>
              <w:rPr>
                <w:rFonts w:hint="eastAsia" w:ascii="仿宋" w:hAnsi="仿宋" w:eastAsia="仿宋"/>
                <w:sz w:val="24"/>
              </w:rPr>
              <w:t>可以通过分类、筛选条件，快速找到想要的结果：可按标题、发起人、接收人、重要程度、发起时间、附件等属性进行精准查询。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、应用定制平台</w:t>
            </w:r>
          </w:p>
        </w:tc>
        <w:tc>
          <w:tcPr>
            <w:tcW w:w="5773" w:type="dxa"/>
            <w:vAlign w:val="center"/>
          </w:tcPr>
          <w:p>
            <w:pPr>
              <w:spacing w:line="360" w:lineRule="auto"/>
              <w:ind w:firstLine="438" w:firstLineChars="200"/>
              <w:rPr>
                <w:rFonts w:ascii="仿宋" w:hAnsi="仿宋" w:eastAsia="仿宋"/>
                <w:sz w:val="24"/>
              </w:rPr>
            </w:pPr>
            <w:r>
              <w:rPr>
                <w:rFonts w:ascii="仿宋" w:hAnsi="仿宋" w:eastAsia="仿宋"/>
                <w:sz w:val="24"/>
              </w:rPr>
              <w:t>CAP协同应用定制平台可快速结合集团管理部门的各类需求，通过智能化、可视化、轻量级的设计和运营过程，自定义搭建组织中、人与组织、组织与组织间的生产运营、商务沟通、工作协作、业务管理等各种业务主题的信息化定制和运营平台。</w:t>
            </w:r>
          </w:p>
          <w:p>
            <w:pPr>
              <w:spacing w:line="360" w:lineRule="auto"/>
              <w:ind w:firstLine="438" w:firstLineChars="200"/>
              <w:rPr>
                <w:rFonts w:ascii="仿宋" w:hAnsi="仿宋" w:eastAsia="仿宋"/>
                <w:sz w:val="24"/>
              </w:rPr>
            </w:pPr>
            <w:r>
              <w:rPr>
                <w:rFonts w:hint="eastAsia" w:ascii="仿宋" w:hAnsi="仿宋" w:eastAsia="仿宋"/>
                <w:sz w:val="24"/>
              </w:rPr>
              <w:t>平台提供三大中心：设计中心、运维中心和监控中心。未</w:t>
            </w:r>
            <w:r>
              <w:rPr>
                <w:rFonts w:ascii="仿宋" w:hAnsi="仿宋" w:eastAsia="仿宋"/>
                <w:sz w:val="24"/>
              </w:rPr>
              <w:t>可借助三大中心结合管理部门的需求，快速零代码构建轻量化的功能应用，扩展软件的应用范围，同时让协同办公</w:t>
            </w:r>
            <w:r>
              <w:rPr>
                <w:rFonts w:hint="eastAsia" w:ascii="仿宋" w:hAnsi="仿宋" w:eastAsia="仿宋"/>
                <w:sz w:val="24"/>
              </w:rPr>
              <w:t>平台</w:t>
            </w:r>
            <w:r>
              <w:rPr>
                <w:rFonts w:ascii="仿宋" w:hAnsi="仿宋" w:eastAsia="仿宋"/>
                <w:sz w:val="24"/>
              </w:rPr>
              <w:t>发挥更大作用，本期升级通过该平台构建督办管理模块，结合各类督办工作要求，实现从督办立项、反馈、催办、监管全过程线上管理，有效的减轻督办管理部门的工作负荷，实现督办任务全程可视化监管。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、流程再造</w:t>
            </w:r>
          </w:p>
        </w:tc>
        <w:tc>
          <w:tcPr>
            <w:tcW w:w="5773" w:type="dxa"/>
            <w:vAlign w:val="center"/>
          </w:tcPr>
          <w:p>
            <w:pPr>
              <w:spacing w:line="360" w:lineRule="auto"/>
              <w:rPr>
                <w:rFonts w:ascii="仿宋" w:hAnsi="仿宋" w:eastAsia="仿宋"/>
                <w:sz w:val="24"/>
              </w:rPr>
            </w:pPr>
            <w:r>
              <w:rPr>
                <w:rFonts w:hint="eastAsia" w:ascii="仿宋" w:hAnsi="仿宋" w:eastAsia="仿宋"/>
                <w:sz w:val="24"/>
              </w:rPr>
              <w:t>对现用流程表单进行流程优化再造，迁移到新的表单中，实现流程升级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3</w:t>
            </w:r>
            <w:r>
              <w:rPr>
                <w:rFonts w:hint="eastAsia" w:ascii="仿宋" w:hAnsi="仿宋" w:eastAsia="仿宋"/>
                <w:sz w:val="24"/>
              </w:rPr>
              <w:t>、合同管理升级</w:t>
            </w:r>
          </w:p>
        </w:tc>
        <w:tc>
          <w:tcPr>
            <w:tcW w:w="5773" w:type="dxa"/>
            <w:vAlign w:val="center"/>
          </w:tcPr>
          <w:p>
            <w:pPr>
              <w:spacing w:line="360" w:lineRule="auto"/>
              <w:rPr>
                <w:rFonts w:ascii="仿宋" w:hAnsi="仿宋" w:eastAsia="仿宋"/>
                <w:sz w:val="24"/>
              </w:rPr>
            </w:pPr>
            <w:r>
              <w:rPr>
                <w:rFonts w:hint="eastAsia" w:ascii="仿宋" w:hAnsi="仿宋" w:eastAsia="仿宋"/>
                <w:sz w:val="24"/>
              </w:rPr>
              <w:t>对现用合同管理模块进行升级，实现合同送审文件进行防伪及转版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4</w:t>
            </w:r>
            <w:r>
              <w:rPr>
                <w:rFonts w:hint="eastAsia" w:ascii="仿宋" w:hAnsi="仿宋" w:eastAsia="仿宋"/>
                <w:sz w:val="24"/>
              </w:rPr>
              <w:t>、移动办公</w:t>
            </w:r>
          </w:p>
        </w:tc>
        <w:tc>
          <w:tcPr>
            <w:tcW w:w="5773" w:type="dxa"/>
            <w:vAlign w:val="center"/>
          </w:tcPr>
          <w:p>
            <w:pPr>
              <w:spacing w:line="360" w:lineRule="auto"/>
              <w:ind w:firstLine="438" w:firstLineChars="200"/>
              <w:rPr>
                <w:rFonts w:ascii="仿宋" w:hAnsi="仿宋" w:eastAsia="仿宋"/>
                <w:sz w:val="24"/>
              </w:rPr>
            </w:pPr>
            <w:r>
              <w:rPr>
                <w:rFonts w:hint="eastAsia" w:ascii="仿宋" w:hAnsi="仿宋" w:eastAsia="仿宋"/>
                <w:sz w:val="24"/>
              </w:rPr>
              <w:t>提供灵活的移动审批能力。各级人员根据业务需求在移动端随时发起申请，管理人员无论身在何处，均可以通过移动设备进行业务审批及其相关操作，满足审批在日常工作场景中常功能如：加签、当前会签、回退、撤销、移交、知会、指定回退、退回重填、上传附件、跟踪、流程追溯等功能。</w:t>
            </w:r>
          </w:p>
          <w:p>
            <w:pPr>
              <w:spacing w:line="360" w:lineRule="auto"/>
              <w:ind w:firstLine="438" w:firstLineChars="200"/>
              <w:rPr>
                <w:rFonts w:ascii="仿宋" w:hAnsi="仿宋" w:eastAsia="仿宋"/>
                <w:sz w:val="24"/>
              </w:rPr>
            </w:pPr>
            <w:r>
              <w:rPr>
                <w:rFonts w:hint="eastAsia" w:ascii="仿宋" w:hAnsi="仿宋" w:eastAsia="仿宋"/>
                <w:sz w:val="24"/>
              </w:rPr>
              <w:t>移动端发起表单支持</w:t>
            </w:r>
            <w:r>
              <w:rPr>
                <w:rFonts w:ascii="仿宋" w:hAnsi="仿宋" w:eastAsia="仿宋"/>
                <w:sz w:val="24"/>
              </w:rPr>
              <w:t>2种模式，可根据用户习惯实现PC端表单与移动端自适应瀑布式表单并一键切换。方便用户在填写或查看等不同场景的需求。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29" w:type="dxa"/>
            <w:vAlign w:val="center"/>
          </w:tcPr>
          <w:p>
            <w:pPr>
              <w:spacing w:line="360" w:lineRule="auto"/>
              <w:rPr>
                <w:rFonts w:ascii="仿宋" w:hAnsi="仿宋" w:eastAsia="仿宋"/>
                <w:sz w:val="24"/>
              </w:rPr>
            </w:pPr>
            <w:r>
              <w:rPr>
                <w:rFonts w:hint="eastAsia" w:ascii="仿宋" w:hAnsi="仿宋" w:eastAsia="仿宋"/>
                <w:sz w:val="24"/>
              </w:rPr>
              <w:t>1</w:t>
            </w:r>
            <w:r>
              <w:rPr>
                <w:rFonts w:ascii="仿宋" w:hAnsi="仿宋" w:eastAsia="仿宋"/>
                <w:sz w:val="24"/>
              </w:rPr>
              <w:t>5</w:t>
            </w:r>
            <w:r>
              <w:rPr>
                <w:rFonts w:hint="eastAsia" w:ascii="仿宋" w:hAnsi="仿宋" w:eastAsia="仿宋"/>
                <w:sz w:val="24"/>
              </w:rPr>
              <w:t>、数据完整性要求</w:t>
            </w:r>
          </w:p>
        </w:tc>
        <w:tc>
          <w:tcPr>
            <w:tcW w:w="5773" w:type="dxa"/>
            <w:vAlign w:val="center"/>
          </w:tcPr>
          <w:p>
            <w:pPr>
              <w:spacing w:line="360" w:lineRule="auto"/>
              <w:ind w:firstLine="438" w:firstLineChars="200"/>
              <w:rPr>
                <w:rFonts w:ascii="仿宋" w:hAnsi="仿宋" w:eastAsia="仿宋"/>
                <w:sz w:val="24"/>
              </w:rPr>
            </w:pPr>
            <w:r>
              <w:rPr>
                <w:rFonts w:hint="eastAsia" w:ascii="仿宋" w:hAnsi="仿宋" w:eastAsia="仿宋"/>
                <w:sz w:val="24"/>
              </w:rPr>
              <w:t>本次系统建设要完全符合现有系统的操作习惯，所见即所得、上手即用。近</w:t>
            </w:r>
            <w:r>
              <w:rPr>
                <w:rFonts w:ascii="仿宋" w:hAnsi="仿宋" w:eastAsia="仿宋"/>
                <w:sz w:val="24"/>
              </w:rPr>
              <w:t>5</w:t>
            </w:r>
            <w:r>
              <w:rPr>
                <w:rFonts w:hint="eastAsia" w:ascii="仿宋" w:hAnsi="仿宋" w:eastAsia="仿宋"/>
                <w:sz w:val="24"/>
              </w:rPr>
              <w:t>年的历史数据包括但不限于“已发、已办、待发、待办”等平滑迁移到新系统中，数据对应到新系统的“已发、已办、待发、待办”中，并且原O</w:t>
            </w:r>
            <w:r>
              <w:rPr>
                <w:rFonts w:ascii="仿宋" w:hAnsi="仿宋" w:eastAsia="仿宋"/>
                <w:sz w:val="24"/>
              </w:rPr>
              <w:t>A</w:t>
            </w:r>
            <w:r>
              <w:rPr>
                <w:rFonts w:hint="eastAsia" w:ascii="仿宋" w:hAnsi="仿宋" w:eastAsia="仿宋"/>
                <w:sz w:val="24"/>
              </w:rPr>
              <w:t>系统在途流程不受影响。</w:t>
            </w:r>
          </w:p>
        </w:tc>
      </w:tr>
    </w:tbl>
    <w:p>
      <w:pPr>
        <w:spacing w:line="360" w:lineRule="auto"/>
      </w:pPr>
    </w:p>
    <w:p>
      <w:pPr>
        <w:spacing w:line="360" w:lineRule="auto"/>
        <w:ind w:firstLine="438" w:firstLineChars="200"/>
        <w:outlineLvl w:val="0"/>
        <w:rPr>
          <w:b/>
          <w:bCs/>
          <w:sz w:val="24"/>
          <w:szCs w:val="24"/>
        </w:rPr>
      </w:pPr>
      <w:r>
        <w:rPr>
          <w:rFonts w:hint="eastAsia"/>
          <w:b/>
          <w:bCs/>
          <w:sz w:val="24"/>
          <w:szCs w:val="24"/>
          <w:lang w:val="en-US" w:eastAsia="zh-CN"/>
        </w:rPr>
        <w:t>二</w:t>
      </w:r>
      <w:r>
        <w:rPr>
          <w:rFonts w:hint="eastAsia"/>
          <w:b/>
          <w:bCs/>
          <w:sz w:val="24"/>
          <w:szCs w:val="24"/>
        </w:rPr>
        <w:t>、实施培训要求</w:t>
      </w:r>
    </w:p>
    <w:p>
      <w:pPr>
        <w:spacing w:line="360" w:lineRule="auto"/>
        <w:ind w:firstLine="438" w:firstLineChars="200"/>
        <w:rPr>
          <w:rFonts w:ascii="仿宋" w:hAnsi="仿宋" w:eastAsia="仿宋"/>
          <w:sz w:val="24"/>
        </w:rPr>
      </w:pPr>
      <w:r>
        <w:rPr>
          <w:rFonts w:hint="eastAsia" w:ascii="仿宋" w:hAnsi="仿宋" w:eastAsia="仿宋"/>
          <w:sz w:val="24"/>
        </w:rPr>
        <w:t>培训要求：针对系统建设应用情况，中标供应商将采用集中培训为主，现场培训相结合，形成完善、长效的应用培训体制，培训包括管理员培训、基础应用培训、现场应用培训。提供完善的、有针对性的培训服务方案。</w:t>
      </w:r>
    </w:p>
    <w:p>
      <w:pPr>
        <w:spacing w:line="360" w:lineRule="auto"/>
        <w:ind w:firstLine="438" w:firstLineChars="200"/>
        <w:rPr>
          <w:rFonts w:ascii="仿宋" w:hAnsi="仿宋" w:eastAsia="仿宋"/>
          <w:sz w:val="24"/>
        </w:rPr>
      </w:pPr>
      <w:r>
        <w:rPr>
          <w:rFonts w:ascii="仿宋" w:hAnsi="仿宋" w:eastAsia="仿宋"/>
          <w:sz w:val="24"/>
        </w:rPr>
        <w:t>1)系统操作人员培训</w:t>
      </w:r>
    </w:p>
    <w:p>
      <w:pPr>
        <w:spacing w:line="360" w:lineRule="auto"/>
        <w:ind w:firstLine="438" w:firstLineChars="200"/>
        <w:rPr>
          <w:rFonts w:ascii="仿宋" w:hAnsi="仿宋" w:eastAsia="仿宋"/>
          <w:sz w:val="24"/>
        </w:rPr>
      </w:pPr>
      <w:r>
        <w:rPr>
          <w:rFonts w:hint="eastAsia" w:ascii="仿宋" w:hAnsi="仿宋" w:eastAsia="仿宋"/>
          <w:sz w:val="24"/>
        </w:rPr>
        <w:t>确保用户熟练掌握系统操作等相关内容的使用。</w:t>
      </w:r>
    </w:p>
    <w:p>
      <w:pPr>
        <w:spacing w:line="360" w:lineRule="auto"/>
        <w:ind w:firstLine="438" w:firstLineChars="200"/>
        <w:rPr>
          <w:rFonts w:ascii="仿宋" w:hAnsi="仿宋" w:eastAsia="仿宋"/>
          <w:sz w:val="24"/>
        </w:rPr>
      </w:pPr>
      <w:r>
        <w:rPr>
          <w:rFonts w:ascii="仿宋" w:hAnsi="仿宋" w:eastAsia="仿宋"/>
          <w:sz w:val="24"/>
        </w:rPr>
        <w:t>2)系统管理维护人员培训</w:t>
      </w:r>
    </w:p>
    <w:p>
      <w:pPr>
        <w:spacing w:line="360" w:lineRule="auto"/>
        <w:ind w:firstLine="438" w:firstLineChars="200"/>
        <w:rPr>
          <w:rFonts w:ascii="仿宋" w:hAnsi="仿宋" w:eastAsia="仿宋"/>
          <w:sz w:val="24"/>
        </w:rPr>
      </w:pPr>
      <w:r>
        <w:rPr>
          <w:rFonts w:hint="eastAsia" w:ascii="仿宋" w:hAnsi="仿宋" w:eastAsia="仿宋"/>
          <w:sz w:val="24"/>
        </w:rPr>
        <w:t>确保系统管理维护人员能够熟练地对应用软件进行管理维护、故障诊断和处理。保证系统管理维护全面了解平台应用快速开发及系统集成的模式，掌握系统部署、配置流程，熟练使用基础支撑环境的各项管理功能。</w:t>
      </w:r>
    </w:p>
    <w:p>
      <w:pPr>
        <w:spacing w:line="360" w:lineRule="auto"/>
        <w:ind w:firstLine="438" w:firstLineChars="200"/>
        <w:rPr>
          <w:rFonts w:ascii="仿宋" w:hAnsi="仿宋" w:eastAsia="仿宋"/>
          <w:sz w:val="24"/>
        </w:rPr>
      </w:pPr>
      <w:r>
        <w:rPr>
          <w:rFonts w:hint="eastAsia" w:ascii="仿宋" w:hAnsi="仿宋" w:eastAsia="仿宋"/>
          <w:sz w:val="24"/>
        </w:rPr>
        <w:t>系统验收：系统建设完成后，承建方须提交验收申请表、项目合同、需求说明书、功能确认单、部署报告、测试报告、用户测试报告、试运行报告、维护操作手册、用户操作手册和其他需要补充的材料（如备忘录）等材料，装订成册后提交采购方申请验收。</w:t>
      </w:r>
    </w:p>
    <w:p>
      <w:pPr>
        <w:spacing w:line="360" w:lineRule="auto"/>
        <w:ind w:firstLine="438" w:firstLineChars="200"/>
        <w:outlineLvl w:val="0"/>
        <w:rPr>
          <w:rFonts w:hint="eastAsia"/>
          <w:b/>
          <w:bCs/>
          <w:sz w:val="24"/>
          <w:szCs w:val="24"/>
          <w:lang w:val="en-US" w:eastAsia="zh-CN"/>
        </w:rPr>
      </w:pPr>
    </w:p>
    <w:p>
      <w:pPr>
        <w:widowControl/>
        <w:spacing w:line="360" w:lineRule="auto"/>
        <w:jc w:val="left"/>
        <w:rPr>
          <w:rFonts w:ascii="仿宋" w:hAnsi="仿宋" w:eastAsia="仿宋"/>
          <w:sz w:val="24"/>
        </w:rPr>
      </w:pPr>
      <w:r>
        <w:rPr>
          <w:rFonts w:ascii="仿宋" w:hAnsi="仿宋" w:eastAsia="仿宋"/>
          <w:sz w:val="24"/>
        </w:rPr>
        <w:br w:type="page"/>
      </w:r>
    </w:p>
    <w:p>
      <w:pPr>
        <w:rPr>
          <w:sz w:val="21"/>
          <w:szCs w:val="21"/>
          <w:highlight w:val="none"/>
        </w:rPr>
      </w:pPr>
    </w:p>
    <w:p>
      <w:pPr>
        <w:pStyle w:val="2"/>
        <w:spacing w:before="480" w:after="260" w:line="500" w:lineRule="exact"/>
        <w:rPr>
          <w:rFonts w:hAnsi="宋体"/>
          <w:b w:val="0"/>
          <w:bCs w:val="0"/>
          <w:color w:val="000000"/>
          <w:highlight w:val="none"/>
        </w:rPr>
      </w:pPr>
      <w:bookmarkStart w:id="200" w:name="_Hlt240110027"/>
      <w:bookmarkEnd w:id="200"/>
      <w:bookmarkStart w:id="201" w:name="_Toc527131324"/>
      <w:r>
        <w:rPr>
          <w:rFonts w:hint="eastAsia" w:hAnsi="宋体"/>
          <w:color w:val="000000"/>
          <w:highlight w:val="none"/>
        </w:rPr>
        <w:t>六、响应文件格式</w:t>
      </w:r>
      <w:bookmarkEnd w:id="201"/>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202"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203" w:name="_Toc461053086"/>
      <w:bookmarkStart w:id="204" w:name="_Toc461056631"/>
      <w:bookmarkStart w:id="205" w:name="_Toc2774249"/>
      <w:r>
        <w:rPr>
          <w:rFonts w:hint="eastAsia" w:ascii="宋体" w:hAnsi="宋体" w:eastAsia="宋体"/>
          <w:bCs w:val="0"/>
          <w:color w:val="000000"/>
          <w:sz w:val="24"/>
          <w:szCs w:val="24"/>
          <w:highlight w:val="none"/>
        </w:rPr>
        <w:t>附件一</w:t>
      </w:r>
      <w:bookmarkEnd w:id="203"/>
      <w:bookmarkEnd w:id="204"/>
      <w:bookmarkEnd w:id="205"/>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rPr>
                <w:rFonts w:hAnsi="宋体"/>
                <w:bCs/>
                <w:color w:val="000000"/>
              </w:rPr>
            </w:pPr>
            <w:r>
              <w:rPr>
                <w:rFonts w:hint="eastAsia" w:hAnsi="宋体"/>
                <w:bCs/>
                <w:color w:val="000000"/>
                <w:highlight w:val="none"/>
              </w:rPr>
              <w:t xml:space="preserve">           </w:t>
            </w:r>
          </w:p>
          <w:p>
            <w:pPr>
              <w:snapToGrid w:val="0"/>
              <w:spacing w:line="360" w:lineRule="auto"/>
              <w:ind w:firstLine="858" w:firstLineChars="392"/>
              <w:rPr>
                <w:rFonts w:hAnsi="宋体"/>
                <w:bCs/>
                <w:color w:val="000000"/>
                <w:u w:val="single"/>
              </w:rPr>
            </w:pPr>
            <w:r>
              <w:rPr>
                <w:rFonts w:hint="eastAsia" w:hAnsi="宋体"/>
                <w:bCs/>
                <w:color w:val="000000"/>
              </w:rPr>
              <w:t>合    计：</w:t>
            </w:r>
            <w:r>
              <w:rPr>
                <w:rFonts w:hint="eastAsia" w:hAnsi="宋体"/>
                <w:bCs/>
                <w:color w:val="000000"/>
                <w:u w:val="single"/>
              </w:rPr>
              <w:t xml:space="preserve">                   元</w:t>
            </w:r>
          </w:p>
          <w:p>
            <w:pPr>
              <w:snapToGrid w:val="0"/>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202"/>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6" w:name="_Toc438648620"/>
      <w:r>
        <w:rPr>
          <w:rFonts w:hint="eastAsia" w:hAnsi="宋体" w:cs="宋体"/>
          <w:b/>
          <w:color w:val="000000"/>
          <w:szCs w:val="24"/>
          <w:highlight w:val="none"/>
        </w:rPr>
        <w:br w:type="page"/>
      </w:r>
      <w:bookmarkEnd w:id="206"/>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6"/>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207"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3"/>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3"/>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3"/>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3"/>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207"/>
      <w:bookmarkStart w:id="208" w:name="_Toc433835936"/>
      <w:bookmarkStart w:id="209" w:name="_Toc438648630"/>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208"/>
    <w:bookmarkEnd w:id="209"/>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center"/>
        <w:rPr>
          <w:rFonts w:hAnsi="宋体" w:cs="宋体"/>
          <w:b/>
          <w:color w:val="000000"/>
          <w:szCs w:val="24"/>
          <w:highlight w:val="none"/>
        </w:rPr>
      </w:pPr>
    </w:p>
    <w:p>
      <w:pPr>
        <w:jc w:val="center"/>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jc w:val="center"/>
        <w:rPr>
          <w:rFonts w:hAnsi="宋体" w:cs="宋体"/>
          <w:b/>
          <w:color w:val="000000"/>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D5338"/>
    <w:multiLevelType w:val="multilevel"/>
    <w:tmpl w:val="816D5338"/>
    <w:lvl w:ilvl="0" w:tentative="0">
      <w:start w:val="1"/>
      <w:numFmt w:val="decimal"/>
      <w:lvlText w:val="%1."/>
      <w:lvlJc w:val="left"/>
      <w:pPr>
        <w:tabs>
          <w:tab w:val="left" w:pos="420"/>
        </w:tabs>
        <w:ind w:left="430" w:hanging="430"/>
      </w:pPr>
      <w:rPr>
        <w:rFonts w:cs="Times New Roman"/>
      </w:rPr>
    </w:lvl>
    <w:lvl w:ilvl="1" w:tentative="0">
      <w:start w:val="1"/>
      <w:numFmt w:val="decimal"/>
      <w:lvlText w:val="%1.%2"/>
      <w:lvlJc w:val="left"/>
      <w:pPr>
        <w:tabs>
          <w:tab w:val="left" w:pos="842"/>
        </w:tabs>
        <w:ind w:left="842" w:hanging="700"/>
      </w:pPr>
      <w:rPr>
        <w:rFonts w:hint="eastAsia" w:ascii="宋体" w:hAnsi="宋体" w:eastAsia="宋体" w:cs="Times New Roman"/>
        <w:b w:val="0"/>
      </w:rPr>
    </w:lvl>
    <w:lvl w:ilvl="2" w:tentative="0">
      <w:start w:val="1"/>
      <w:numFmt w:val="decimal"/>
      <w:pStyle w:val="290"/>
      <w:lvlText w:val="%1.%2.%3"/>
      <w:lvlJc w:val="left"/>
      <w:pPr>
        <w:tabs>
          <w:tab w:val="left" w:pos="1000"/>
        </w:tabs>
        <w:ind w:left="1000" w:hanging="1000"/>
      </w:pPr>
      <w:rPr>
        <w:rFonts w:cs="Times New Roman"/>
      </w:rPr>
    </w:lvl>
    <w:lvl w:ilvl="3" w:tentative="0">
      <w:start w:val="1"/>
      <w:numFmt w:val="decimal"/>
      <w:lvlText w:val="%1.%2.%3.%4"/>
      <w:lvlJc w:val="left"/>
      <w:pPr>
        <w:tabs>
          <w:tab w:val="left" w:pos="0"/>
        </w:tabs>
        <w:ind w:left="1984" w:hanging="1984"/>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1">
    <w:nsid w:val="00543C19"/>
    <w:multiLevelType w:val="multilevel"/>
    <w:tmpl w:val="00543C19"/>
    <w:lvl w:ilvl="0" w:tentative="0">
      <w:start w:val="1"/>
      <w:numFmt w:val="decimal"/>
      <w:lvlText w:val="%1)"/>
      <w:lvlJc w:val="left"/>
      <w:pPr>
        <w:ind w:left="360" w:hanging="360"/>
      </w:pPr>
      <w:rPr>
        <w:rFonts w:hint="default"/>
        <w:color w:val="000000"/>
        <w:sz w:val="21"/>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DA37EA"/>
    <w:multiLevelType w:val="multilevel"/>
    <w:tmpl w:val="1FDA37E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1781DBD"/>
    <w:multiLevelType w:val="multilevel"/>
    <w:tmpl w:val="21781D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ED295E"/>
    <w:multiLevelType w:val="multilevel"/>
    <w:tmpl w:val="2CED29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D053E4"/>
    <w:multiLevelType w:val="multilevel"/>
    <w:tmpl w:val="30D053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6129CD"/>
    <w:multiLevelType w:val="multilevel"/>
    <w:tmpl w:val="466129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13CB8D"/>
    <w:multiLevelType w:val="singleLevel"/>
    <w:tmpl w:val="4B13CB8D"/>
    <w:lvl w:ilvl="0" w:tentative="0">
      <w:start w:val="1"/>
      <w:numFmt w:val="decimal"/>
      <w:pStyle w:val="13"/>
      <w:lvlText w:val="%1."/>
      <w:lvlJc w:val="left"/>
      <w:pPr>
        <w:tabs>
          <w:tab w:val="left" w:pos="780"/>
        </w:tabs>
        <w:ind w:left="780" w:hanging="360"/>
      </w:pPr>
    </w:lvl>
  </w:abstractNum>
  <w:abstractNum w:abstractNumId="8">
    <w:nsid w:val="4C4C382E"/>
    <w:multiLevelType w:val="multilevel"/>
    <w:tmpl w:val="4C4C38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D115D0"/>
    <w:multiLevelType w:val="multilevel"/>
    <w:tmpl w:val="50D115D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7B97C28"/>
    <w:multiLevelType w:val="multilevel"/>
    <w:tmpl w:val="67B97C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8164B3"/>
    <w:multiLevelType w:val="multilevel"/>
    <w:tmpl w:val="778164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1"/>
  </w:num>
  <w:num w:numId="4">
    <w:abstractNumId w:val="10"/>
  </w:num>
  <w:num w:numId="5">
    <w:abstractNumId w:val="4"/>
  </w:num>
  <w:num w:numId="6">
    <w:abstractNumId w:val="2"/>
  </w:num>
  <w:num w:numId="7">
    <w:abstractNumId w:val="9"/>
  </w:num>
  <w:num w:numId="8">
    <w:abstractNumId w:val="6"/>
  </w:num>
  <w:num w:numId="9">
    <w:abstractNumId w:val="8"/>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665D07"/>
    <w:rsid w:val="05905DF7"/>
    <w:rsid w:val="05A63A8C"/>
    <w:rsid w:val="06464C32"/>
    <w:rsid w:val="073308E6"/>
    <w:rsid w:val="084424E3"/>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3D3080A"/>
    <w:rsid w:val="14420D88"/>
    <w:rsid w:val="15B12C0B"/>
    <w:rsid w:val="15CC6AEE"/>
    <w:rsid w:val="167A7DAC"/>
    <w:rsid w:val="17726828"/>
    <w:rsid w:val="184247A3"/>
    <w:rsid w:val="18465535"/>
    <w:rsid w:val="198B5630"/>
    <w:rsid w:val="19EC6CCB"/>
    <w:rsid w:val="1AEC4059"/>
    <w:rsid w:val="1B023953"/>
    <w:rsid w:val="1CCE4908"/>
    <w:rsid w:val="1E212D2C"/>
    <w:rsid w:val="1FAF6052"/>
    <w:rsid w:val="21983295"/>
    <w:rsid w:val="220F56F1"/>
    <w:rsid w:val="247C01A4"/>
    <w:rsid w:val="24F075EF"/>
    <w:rsid w:val="25235D17"/>
    <w:rsid w:val="25863B04"/>
    <w:rsid w:val="267F7783"/>
    <w:rsid w:val="26D0546D"/>
    <w:rsid w:val="26E95C38"/>
    <w:rsid w:val="26F8146C"/>
    <w:rsid w:val="28A424D8"/>
    <w:rsid w:val="2A401170"/>
    <w:rsid w:val="2A87709E"/>
    <w:rsid w:val="2ACB2345"/>
    <w:rsid w:val="2B071E91"/>
    <w:rsid w:val="2C8E776E"/>
    <w:rsid w:val="2D003CDA"/>
    <w:rsid w:val="2D005F49"/>
    <w:rsid w:val="2D180B16"/>
    <w:rsid w:val="2D642EDA"/>
    <w:rsid w:val="2E243225"/>
    <w:rsid w:val="2E3B16F7"/>
    <w:rsid w:val="2F124AB0"/>
    <w:rsid w:val="30172FC7"/>
    <w:rsid w:val="305A2C48"/>
    <w:rsid w:val="30DC4262"/>
    <w:rsid w:val="31892A9F"/>
    <w:rsid w:val="31CD41A8"/>
    <w:rsid w:val="32AC4DF2"/>
    <w:rsid w:val="32CC4C19"/>
    <w:rsid w:val="32DF6E6C"/>
    <w:rsid w:val="32EA53D2"/>
    <w:rsid w:val="333D17B4"/>
    <w:rsid w:val="33610BC3"/>
    <w:rsid w:val="33D07626"/>
    <w:rsid w:val="3426478E"/>
    <w:rsid w:val="34FB0156"/>
    <w:rsid w:val="350A2D03"/>
    <w:rsid w:val="3740068C"/>
    <w:rsid w:val="37A46854"/>
    <w:rsid w:val="381F7139"/>
    <w:rsid w:val="38CD078B"/>
    <w:rsid w:val="3A064448"/>
    <w:rsid w:val="3ADB63A2"/>
    <w:rsid w:val="3AEC42BC"/>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3D65DBF"/>
    <w:rsid w:val="441377A8"/>
    <w:rsid w:val="441425B7"/>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4FF4514A"/>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5472703"/>
    <w:rsid w:val="677102A6"/>
    <w:rsid w:val="6A462692"/>
    <w:rsid w:val="6A6E367C"/>
    <w:rsid w:val="6C0C505C"/>
    <w:rsid w:val="6CAB69A8"/>
    <w:rsid w:val="6CBE1293"/>
    <w:rsid w:val="6D0464DC"/>
    <w:rsid w:val="6D102A04"/>
    <w:rsid w:val="6E146DCC"/>
    <w:rsid w:val="6E252855"/>
    <w:rsid w:val="6E2D073C"/>
    <w:rsid w:val="6F45735D"/>
    <w:rsid w:val="719763E0"/>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qFormat/>
    <w:uiPriority w:val="0"/>
    <w:pPr>
      <w:keepNext/>
      <w:outlineLvl w:val="4"/>
    </w:pPr>
    <w:rPr>
      <w:rFonts w:hAnsi="Arial"/>
      <w:bCs/>
      <w:kern w:val="2"/>
      <w:sz w:val="28"/>
    </w:rPr>
  </w:style>
  <w:style w:type="paragraph" w:styleId="7">
    <w:name w:val="heading 6"/>
    <w:basedOn w:val="1"/>
    <w:next w:val="1"/>
    <w:link w:val="125"/>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List Number 2"/>
    <w:basedOn w:val="1"/>
    <w:semiHidden/>
    <w:unhideWhenUsed/>
    <w:qFormat/>
    <w:uiPriority w:val="99"/>
    <w:pPr>
      <w:numPr>
        <w:ilvl w:val="0"/>
        <w:numId w:val="1"/>
      </w:numPr>
    </w:pPr>
  </w:style>
  <w:style w:type="paragraph" w:styleId="14">
    <w:name w:val="table of authorities"/>
    <w:basedOn w:val="1"/>
    <w:next w:val="1"/>
    <w:qFormat/>
    <w:uiPriority w:val="0"/>
    <w:pPr>
      <w:ind w:left="420" w:leftChars="200"/>
    </w:pPr>
  </w:style>
  <w:style w:type="paragraph" w:styleId="15">
    <w:name w:val="index 8"/>
    <w:basedOn w:val="1"/>
    <w:next w:val="1"/>
    <w:qFormat/>
    <w:uiPriority w:val="0"/>
    <w:pPr>
      <w:ind w:left="1400" w:leftChars="1400"/>
    </w:pPr>
  </w:style>
  <w:style w:type="paragraph" w:styleId="16">
    <w:name w:val="Normal Indent"/>
    <w:basedOn w:val="1"/>
    <w:qFormat/>
    <w:uiPriority w:val="0"/>
    <w:pPr>
      <w:ind w:firstLine="420" w:firstLineChars="200"/>
    </w:pPr>
    <w:rPr>
      <w:szCs w:val="24"/>
    </w:rPr>
  </w:style>
  <w:style w:type="paragraph" w:styleId="17">
    <w:name w:val="caption"/>
    <w:basedOn w:val="1"/>
    <w:next w:val="1"/>
    <w:qFormat/>
    <w:uiPriority w:val="0"/>
    <w:pPr>
      <w:spacing w:before="152" w:after="160"/>
    </w:pPr>
    <w:rPr>
      <w:rFonts w:ascii="Arial" w:hAnsi="Arial" w:eastAsia="黑体" w:cs="Arial"/>
      <w:kern w:val="2"/>
      <w:sz w:val="20"/>
    </w:rPr>
  </w:style>
  <w:style w:type="paragraph" w:styleId="18">
    <w:name w:val="index 5"/>
    <w:basedOn w:val="1"/>
    <w:next w:val="1"/>
    <w:qFormat/>
    <w:uiPriority w:val="0"/>
    <w:pPr>
      <w:ind w:left="800" w:leftChars="800"/>
    </w:pPr>
  </w:style>
  <w:style w:type="paragraph" w:styleId="19">
    <w:name w:val="Document Map"/>
    <w:basedOn w:val="1"/>
    <w:link w:val="121"/>
    <w:qFormat/>
    <w:uiPriority w:val="0"/>
    <w:pPr>
      <w:shd w:val="clear" w:color="auto" w:fill="000080"/>
    </w:pPr>
    <w:rPr>
      <w:rFonts w:ascii="Times New Roman"/>
      <w:kern w:val="2"/>
      <w:sz w:val="21"/>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29"/>
    <w:qFormat/>
    <w:uiPriority w:val="99"/>
    <w:pPr>
      <w:jc w:val="left"/>
    </w:pPr>
    <w:rPr>
      <w:rFonts w:ascii="Times New Roman"/>
      <w:kern w:val="2"/>
      <w:sz w:val="21"/>
    </w:rPr>
  </w:style>
  <w:style w:type="paragraph" w:styleId="22">
    <w:name w:val="index 6"/>
    <w:basedOn w:val="1"/>
    <w:next w:val="1"/>
    <w:qFormat/>
    <w:uiPriority w:val="0"/>
    <w:pPr>
      <w:ind w:left="1000" w:leftChars="1000"/>
    </w:pPr>
  </w:style>
  <w:style w:type="paragraph" w:styleId="23">
    <w:name w:val="Salutation"/>
    <w:basedOn w:val="1"/>
    <w:next w:val="1"/>
    <w:link w:val="123"/>
    <w:qFormat/>
    <w:uiPriority w:val="0"/>
    <w:rPr>
      <w:rFonts w:ascii="仿宋_GB2312" w:eastAsia="仿宋_GB2312"/>
      <w:sz w:val="28"/>
    </w:rPr>
  </w:style>
  <w:style w:type="paragraph" w:styleId="24">
    <w:name w:val="Body Text 3"/>
    <w:basedOn w:val="1"/>
    <w:link w:val="128"/>
    <w:qFormat/>
    <w:uiPriority w:val="0"/>
    <w:rPr>
      <w:rFonts w:ascii="黑体" w:hAnsi="Arial" w:eastAsia="黑体"/>
      <w:b/>
      <w:sz w:val="28"/>
    </w:rPr>
  </w:style>
  <w:style w:type="paragraph" w:styleId="25">
    <w:name w:val="Body Text"/>
    <w:basedOn w:val="1"/>
    <w:link w:val="173"/>
    <w:qFormat/>
    <w:uiPriority w:val="0"/>
    <w:rPr>
      <w:rFonts w:hAnsi="Arial"/>
      <w:kern w:val="2"/>
      <w:sz w:val="28"/>
    </w:rPr>
  </w:style>
  <w:style w:type="paragraph" w:styleId="26">
    <w:name w:val="Body Text Indent"/>
    <w:basedOn w:val="1"/>
    <w:link w:val="74"/>
    <w:qFormat/>
    <w:uiPriority w:val="0"/>
    <w:pPr>
      <w:ind w:firstLine="645"/>
    </w:pPr>
    <w:rPr>
      <w:rFonts w:ascii="楷体_GB2312" w:eastAsia="楷体_GB2312"/>
      <w:kern w:val="2"/>
      <w:sz w:val="32"/>
    </w:rPr>
  </w:style>
  <w:style w:type="paragraph" w:styleId="27">
    <w:name w:val="List 2"/>
    <w:basedOn w:val="1"/>
    <w:qFormat/>
    <w:uiPriority w:val="0"/>
    <w:pPr>
      <w:ind w:left="100" w:leftChars="200" w:hanging="200" w:hangingChars="200"/>
    </w:pPr>
    <w:rPr>
      <w:szCs w:val="24"/>
    </w:rPr>
  </w:style>
  <w:style w:type="paragraph" w:styleId="28">
    <w:name w:val="List Continue"/>
    <w:basedOn w:val="1"/>
    <w:qFormat/>
    <w:uiPriority w:val="0"/>
    <w:pPr>
      <w:spacing w:after="120"/>
      <w:ind w:left="420" w:leftChars="200"/>
    </w:pPr>
    <w:rPr>
      <w:szCs w:val="24"/>
    </w:rPr>
  </w:style>
  <w:style w:type="paragraph" w:styleId="29">
    <w:name w:val="Block Text"/>
    <w:basedOn w:val="1"/>
    <w:qFormat/>
    <w:uiPriority w:val="0"/>
    <w:pPr>
      <w:spacing w:after="120"/>
      <w:ind w:left="1440" w:leftChars="700" w:right="1440" w:rightChars="700"/>
    </w:pPr>
    <w:rPr>
      <w:szCs w:val="24"/>
    </w:rPr>
  </w:style>
  <w:style w:type="paragraph" w:styleId="30">
    <w:name w:val="index 4"/>
    <w:basedOn w:val="1"/>
    <w:next w:val="1"/>
    <w:qFormat/>
    <w:uiPriority w:val="0"/>
    <w:pPr>
      <w:ind w:left="600" w:leftChars="600"/>
    </w:p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ind w:left="420"/>
      <w:jc w:val="left"/>
    </w:pPr>
    <w:rPr>
      <w:i/>
      <w:iCs/>
      <w:szCs w:val="24"/>
    </w:rPr>
  </w:style>
  <w:style w:type="paragraph" w:styleId="33">
    <w:name w:val="Plain Text"/>
    <w:basedOn w:val="1"/>
    <w:link w:val="160"/>
    <w:qFormat/>
    <w:uiPriority w:val="0"/>
    <w:rPr>
      <w:rFonts w:hAnsi="Courier New"/>
      <w:kern w:val="2"/>
      <w:sz w:val="21"/>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style>
  <w:style w:type="paragraph" w:styleId="36">
    <w:name w:val="Date"/>
    <w:basedOn w:val="1"/>
    <w:next w:val="1"/>
    <w:link w:val="92"/>
    <w:qFormat/>
    <w:uiPriority w:val="0"/>
    <w:rPr>
      <w:rFonts w:ascii="Times New Roman"/>
      <w:b/>
      <w:kern w:val="2"/>
      <w:sz w:val="28"/>
    </w:rPr>
  </w:style>
  <w:style w:type="paragraph" w:styleId="37">
    <w:name w:val="Body Text Indent 2"/>
    <w:basedOn w:val="1"/>
    <w:link w:val="176"/>
    <w:qFormat/>
    <w:uiPriority w:val="0"/>
    <w:pPr>
      <w:ind w:left="630" w:firstLine="645"/>
    </w:pPr>
    <w:rPr>
      <w:rFonts w:ascii="Arial" w:hAnsi="Arial" w:eastAsia="仿宋_GB2312"/>
      <w:sz w:val="32"/>
    </w:rPr>
  </w:style>
  <w:style w:type="paragraph" w:styleId="38">
    <w:name w:val="Balloon Text"/>
    <w:basedOn w:val="1"/>
    <w:link w:val="85"/>
    <w:qFormat/>
    <w:uiPriority w:val="99"/>
    <w:rPr>
      <w:sz w:val="18"/>
      <w:szCs w:val="18"/>
    </w:rPr>
  </w:style>
  <w:style w:type="paragraph" w:styleId="39">
    <w:name w:val="footer"/>
    <w:basedOn w:val="1"/>
    <w:link w:val="182"/>
    <w:qFormat/>
    <w:uiPriority w:val="99"/>
    <w:pPr>
      <w:tabs>
        <w:tab w:val="center" w:pos="4153"/>
        <w:tab w:val="right" w:pos="8306"/>
      </w:tabs>
      <w:snapToGrid w:val="0"/>
      <w:jc w:val="left"/>
    </w:pPr>
    <w:rPr>
      <w:rFonts w:ascii="Times New Roman"/>
      <w:kern w:val="2"/>
      <w:sz w:val="18"/>
    </w:rPr>
  </w:style>
  <w:style w:type="paragraph" w:styleId="40">
    <w:name w:val="envelope return"/>
    <w:basedOn w:val="1"/>
    <w:qFormat/>
    <w:uiPriority w:val="0"/>
    <w:pPr>
      <w:snapToGrid w:val="0"/>
    </w:pPr>
    <w:rPr>
      <w:rFonts w:ascii="Arial" w:hAnsi="Arial" w:cs="Arial"/>
      <w:szCs w:val="24"/>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kern w:val="2"/>
      <w:sz w:val="21"/>
      <w:szCs w:val="22"/>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style>
  <w:style w:type="paragraph" w:styleId="46">
    <w:name w:val="index 1"/>
    <w:basedOn w:val="1"/>
    <w:next w:val="1"/>
    <w:qFormat/>
    <w:uiPriority w:val="0"/>
    <w:pPr>
      <w:spacing w:line="300" w:lineRule="exact"/>
    </w:pPr>
    <w:rPr>
      <w:rFonts w:hAnsi="宋体"/>
      <w:b/>
      <w:bCs/>
      <w:szCs w:val="21"/>
    </w:rPr>
  </w:style>
  <w:style w:type="paragraph" w:styleId="47">
    <w:name w:val="Subtitle"/>
    <w:basedOn w:val="1"/>
    <w:link w:val="75"/>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qFormat/>
    <w:uiPriority w:val="0"/>
    <w:pPr>
      <w:ind w:left="200" w:hanging="200" w:hangingChars="200"/>
    </w:pPr>
    <w:rPr>
      <w:szCs w:val="24"/>
    </w:rPr>
  </w:style>
  <w:style w:type="paragraph" w:styleId="49">
    <w:name w:val="footnote text"/>
    <w:basedOn w:val="1"/>
    <w:link w:val="167"/>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qFormat/>
    <w:uiPriority w:val="39"/>
    <w:pPr>
      <w:ind w:left="1050"/>
      <w:jc w:val="left"/>
    </w:pPr>
    <w:rPr>
      <w:szCs w:val="21"/>
    </w:rPr>
  </w:style>
  <w:style w:type="paragraph" w:styleId="51">
    <w:name w:val="Body Text Indent 3"/>
    <w:basedOn w:val="1"/>
    <w:link w:val="156"/>
    <w:qFormat/>
    <w:uiPriority w:val="0"/>
    <w:pPr>
      <w:ind w:firstLine="645"/>
    </w:pPr>
    <w:rPr>
      <w:rFonts w:ascii="仿宋_GB2312" w:hAnsi="Arial" w:eastAsia="仿宋_GB2312"/>
      <w:color w:val="000000"/>
      <w:sz w:val="30"/>
    </w:rPr>
  </w:style>
  <w:style w:type="paragraph" w:styleId="52">
    <w:name w:val="index 7"/>
    <w:basedOn w:val="1"/>
    <w:next w:val="1"/>
    <w:qFormat/>
    <w:uiPriority w:val="0"/>
    <w:pPr>
      <w:ind w:left="1200" w:leftChars="1200"/>
    </w:pPr>
  </w:style>
  <w:style w:type="paragraph" w:styleId="53">
    <w:name w:val="index 9"/>
    <w:basedOn w:val="1"/>
    <w:next w:val="1"/>
    <w:qFormat/>
    <w:uiPriority w:val="0"/>
    <w:pPr>
      <w:ind w:left="1600" w:leftChars="1600"/>
    </w:pPr>
  </w:style>
  <w:style w:type="paragraph" w:styleId="54">
    <w:name w:val="toc 2"/>
    <w:basedOn w:val="1"/>
    <w:next w:val="1"/>
    <w:qFormat/>
    <w:uiPriority w:val="39"/>
    <w:pPr>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138"/>
    <w:qFormat/>
    <w:uiPriority w:val="0"/>
    <w:rPr>
      <w:rFonts w:ascii="仿宋_GB2312" w:eastAsia="仿宋_GB2312"/>
      <w:b/>
    </w:rPr>
  </w:style>
  <w:style w:type="paragraph" w:styleId="57">
    <w:name w:val="List 4"/>
    <w:basedOn w:val="1"/>
    <w:qFormat/>
    <w:uiPriority w:val="0"/>
    <w:pPr>
      <w:ind w:left="100" w:leftChars="600" w:hanging="200" w:hangingChars="200"/>
    </w:pPr>
    <w:rPr>
      <w:rFonts w:ascii="Calibri" w:hAnsi="Calibri"/>
      <w:kern w:val="2"/>
      <w:sz w:val="21"/>
      <w:szCs w:val="22"/>
    </w:rPr>
  </w:style>
  <w:style w:type="paragraph" w:styleId="58">
    <w:name w:val="List Continue 2"/>
    <w:basedOn w:val="1"/>
    <w:qFormat/>
    <w:uiPriority w:val="0"/>
    <w:pPr>
      <w:spacing w:after="120"/>
      <w:ind w:left="840" w:leftChars="400"/>
    </w:pPr>
    <w:rPr>
      <w:rFonts w:ascii="Calibri" w:hAnsi="Calibri"/>
      <w:kern w:val="2"/>
      <w:sz w:val="21"/>
      <w:szCs w:val="22"/>
    </w:rPr>
  </w:style>
  <w:style w:type="paragraph" w:styleId="59">
    <w:name w:val="Normal (Web)"/>
    <w:basedOn w:val="1"/>
    <w:qFormat/>
    <w:uiPriority w:val="0"/>
    <w:pPr>
      <w:widowControl/>
      <w:spacing w:before="100" w:beforeAutospacing="1" w:after="100" w:afterAutospacing="1"/>
      <w:jc w:val="left"/>
    </w:pPr>
    <w:rPr>
      <w:rFonts w:hAnsi="宋体"/>
      <w:szCs w:val="24"/>
    </w:rPr>
  </w:style>
  <w:style w:type="paragraph" w:styleId="60">
    <w:name w:val="index 2"/>
    <w:basedOn w:val="1"/>
    <w:next w:val="1"/>
    <w:qFormat/>
    <w:uiPriority w:val="0"/>
    <w:pPr>
      <w:ind w:left="200" w:leftChars="200"/>
    </w:pPr>
  </w:style>
  <w:style w:type="paragraph" w:styleId="61">
    <w:name w:val="Title"/>
    <w:basedOn w:val="1"/>
    <w:next w:val="1"/>
    <w:link w:val="166"/>
    <w:qFormat/>
    <w:uiPriority w:val="0"/>
    <w:pPr>
      <w:spacing w:before="240" w:after="60"/>
      <w:jc w:val="center"/>
      <w:outlineLvl w:val="0"/>
    </w:pPr>
    <w:rPr>
      <w:rFonts w:ascii="Cambria" w:hAnsi="Cambria"/>
      <w:b/>
      <w:bCs/>
      <w:kern w:val="2"/>
      <w:sz w:val="32"/>
      <w:szCs w:val="32"/>
    </w:rPr>
  </w:style>
  <w:style w:type="paragraph" w:styleId="62">
    <w:name w:val="annotation subject"/>
    <w:basedOn w:val="21"/>
    <w:next w:val="21"/>
    <w:link w:val="180"/>
    <w:qFormat/>
    <w:uiPriority w:val="0"/>
    <w:rPr>
      <w:rFonts w:ascii="宋体"/>
      <w:b/>
      <w:bCs/>
      <w:kern w:val="0"/>
      <w:sz w:val="28"/>
    </w:rPr>
  </w:style>
  <w:style w:type="paragraph" w:styleId="63">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6"/>
    <w:next w:val="1"/>
    <w:qFormat/>
    <w:uiPriority w:val="0"/>
    <w:pPr>
      <w:ind w:left="420" w:leftChars="200" w:firstLine="420" w:firstLineChars="200"/>
    </w:p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0"/>
    <w:rPr>
      <w:color w:val="CC0033"/>
    </w:rPr>
  </w:style>
  <w:style w:type="character" w:styleId="72">
    <w:name w:val="Hyperlink"/>
    <w:qFormat/>
    <w:uiPriority w:val="99"/>
    <w:rPr>
      <w:color w:val="0000FF"/>
      <w:u w:val="single"/>
    </w:rPr>
  </w:style>
  <w:style w:type="character" w:styleId="73">
    <w:name w:val="annotation reference"/>
    <w:unhideWhenUsed/>
    <w:qFormat/>
    <w:uiPriority w:val="99"/>
    <w:rPr>
      <w:sz w:val="21"/>
      <w:szCs w:val="21"/>
    </w:rPr>
  </w:style>
  <w:style w:type="character" w:customStyle="1" w:styleId="74">
    <w:name w:val="正文文本缩进 字符"/>
    <w:link w:val="26"/>
    <w:qFormat/>
    <w:uiPriority w:val="0"/>
    <w:rPr>
      <w:rFonts w:ascii="楷体_GB2312" w:eastAsia="楷体_GB2312"/>
      <w:kern w:val="2"/>
      <w:sz w:val="32"/>
    </w:rPr>
  </w:style>
  <w:style w:type="character" w:customStyle="1" w:styleId="75">
    <w:name w:val="副标题 字符"/>
    <w:link w:val="47"/>
    <w:qFormat/>
    <w:uiPriority w:val="0"/>
    <w:rPr>
      <w:rFonts w:ascii="Arial" w:hAnsi="Arial" w:eastAsia="宋体" w:cs="Arial"/>
      <w:b/>
      <w:bCs/>
      <w:kern w:val="28"/>
      <w:sz w:val="32"/>
      <w:szCs w:val="32"/>
      <w:lang w:val="en-US" w:eastAsia="zh-CN" w:bidi="ar-SA"/>
    </w:rPr>
  </w:style>
  <w:style w:type="character" w:customStyle="1" w:styleId="76">
    <w:name w:val="标题 6 Char1"/>
    <w:semiHidden/>
    <w:qFormat/>
    <w:uiPriority w:val="0"/>
    <w:rPr>
      <w:rFonts w:ascii="Cambria" w:hAnsi="Cambria" w:eastAsia="宋体"/>
      <w:b/>
      <w:kern w:val="2"/>
      <w:sz w:val="24"/>
      <w:szCs w:val="24"/>
    </w:rPr>
  </w:style>
  <w:style w:type="character" w:customStyle="1" w:styleId="77">
    <w:name w:val="脚注文本 Char_0"/>
    <w:link w:val="78"/>
    <w:qFormat/>
    <w:uiPriority w:val="0"/>
    <w:rPr>
      <w:sz w:val="18"/>
    </w:rPr>
  </w:style>
  <w:style w:type="paragraph" w:customStyle="1" w:styleId="78">
    <w:name w:val="脚注文本_0"/>
    <w:basedOn w:val="79"/>
    <w:link w:val="77"/>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qFormat/>
    <w:uiPriority w:val="10"/>
    <w:rPr>
      <w:rFonts w:ascii="Calibri Light" w:hAnsi="Calibri Light" w:cs="Times New Roman"/>
      <w:b/>
      <w:bCs/>
      <w:kern w:val="2"/>
      <w:sz w:val="32"/>
      <w:szCs w:val="32"/>
    </w:rPr>
  </w:style>
  <w:style w:type="character" w:customStyle="1" w:styleId="81">
    <w:name w:val="Blockquote Char"/>
    <w:link w:val="82"/>
    <w:qFormat/>
    <w:uiPriority w:val="0"/>
    <w:rPr>
      <w:rFonts w:ascii="宋体"/>
      <w:sz w:val="24"/>
    </w:rPr>
  </w:style>
  <w:style w:type="paragraph" w:customStyle="1" w:styleId="82">
    <w:name w:val="Blockquote"/>
    <w:basedOn w:val="1"/>
    <w:link w:val="81"/>
    <w:qFormat/>
    <w:uiPriority w:val="0"/>
    <w:pPr>
      <w:autoSpaceDE w:val="0"/>
      <w:autoSpaceDN w:val="0"/>
      <w:adjustRightInd w:val="0"/>
      <w:spacing w:before="100" w:after="100"/>
      <w:ind w:left="360" w:right="360"/>
      <w:jc w:val="left"/>
    </w:pPr>
  </w:style>
  <w:style w:type="character" w:customStyle="1" w:styleId="83">
    <w:name w:val="脚注文本 Char1"/>
    <w:qFormat/>
    <w:uiPriority w:val="0"/>
    <w:rPr>
      <w:kern w:val="2"/>
      <w:sz w:val="18"/>
      <w:szCs w:val="18"/>
    </w:rPr>
  </w:style>
  <w:style w:type="character" w:customStyle="1" w:styleId="84">
    <w:name w:val="标题 3 Char2"/>
    <w:qFormat/>
    <w:uiPriority w:val="0"/>
    <w:rPr>
      <w:rFonts w:ascii="Calibri" w:hAnsi="Calibri" w:eastAsia="黑体"/>
      <w:b/>
      <w:bCs/>
      <w:kern w:val="2"/>
      <w:sz w:val="32"/>
      <w:szCs w:val="32"/>
    </w:rPr>
  </w:style>
  <w:style w:type="character" w:customStyle="1" w:styleId="85">
    <w:name w:val="批注框文本 字符"/>
    <w:link w:val="38"/>
    <w:qFormat/>
    <w:uiPriority w:val="99"/>
    <w:rPr>
      <w:rFonts w:ascii="宋体"/>
      <w:sz w:val="18"/>
      <w:szCs w:val="18"/>
    </w:rPr>
  </w:style>
  <w:style w:type="character" w:customStyle="1" w:styleId="86">
    <w:name w:val="标题5 Char Char"/>
    <w:link w:val="87"/>
    <w:qFormat/>
    <w:uiPriority w:val="0"/>
    <w:rPr>
      <w:rFonts w:ascii="Arial" w:hAnsi="Arial"/>
      <w:b/>
      <w:bCs/>
      <w:sz w:val="24"/>
      <w:szCs w:val="32"/>
      <w:lang w:bidi="ar-SA"/>
    </w:rPr>
  </w:style>
  <w:style w:type="paragraph" w:customStyle="1" w:styleId="87">
    <w:name w:val="标题5"/>
    <w:basedOn w:val="4"/>
    <w:link w:val="86"/>
    <w:qFormat/>
    <w:uiPriority w:val="0"/>
    <w:pPr>
      <w:spacing w:line="413" w:lineRule="auto"/>
      <w:jc w:val="both"/>
    </w:pPr>
    <w:rPr>
      <w:rFonts w:ascii="Arial" w:hAnsi="Arial"/>
      <w:kern w:val="0"/>
      <w:sz w:val="24"/>
    </w:rPr>
  </w:style>
  <w:style w:type="character" w:customStyle="1" w:styleId="88">
    <w:name w:val="页脚 字符"/>
    <w:qFormat/>
    <w:uiPriority w:val="99"/>
    <w:rPr>
      <w:kern w:val="2"/>
      <w:sz w:val="18"/>
    </w:rPr>
  </w:style>
  <w:style w:type="character" w:customStyle="1" w:styleId="89">
    <w:name w:val="纯文本 Char1_1"/>
    <w:link w:val="90"/>
    <w:qFormat/>
    <w:uiPriority w:val="0"/>
    <w:rPr>
      <w:rFonts w:ascii="宋体" w:hAnsi="Courier New"/>
      <w:kern w:val="2"/>
      <w:sz w:val="21"/>
      <w:szCs w:val="21"/>
    </w:rPr>
  </w:style>
  <w:style w:type="paragraph" w:customStyle="1" w:styleId="90">
    <w:name w:val="纯文本_2"/>
    <w:basedOn w:val="91"/>
    <w:link w:val="89"/>
    <w:qFormat/>
    <w:uiPriority w:val="0"/>
    <w:rPr>
      <w:rFonts w:ascii="宋体" w:hAnsi="Courier New"/>
      <w:szCs w:val="21"/>
    </w:rPr>
  </w:style>
  <w:style w:type="paragraph" w:customStyle="1" w:styleId="9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6"/>
    <w:qFormat/>
    <w:uiPriority w:val="0"/>
    <w:rPr>
      <w:rFonts w:eastAsia="宋体"/>
      <w:b/>
      <w:kern w:val="2"/>
      <w:sz w:val="28"/>
      <w:lang w:val="en-US" w:eastAsia="zh-CN" w:bidi="ar-SA"/>
    </w:rPr>
  </w:style>
  <w:style w:type="character" w:customStyle="1" w:styleId="93">
    <w:name w:val="标题 6 Char_0"/>
    <w:link w:val="94"/>
    <w:qFormat/>
    <w:uiPriority w:val="0"/>
    <w:rPr>
      <w:rFonts w:ascii="Arial" w:hAnsi="Arial" w:eastAsia="黑体"/>
      <w:b/>
      <w:bCs/>
      <w:sz w:val="24"/>
      <w:szCs w:val="24"/>
    </w:rPr>
  </w:style>
  <w:style w:type="paragraph" w:customStyle="1" w:styleId="94">
    <w:name w:val="标题 6_0"/>
    <w:basedOn w:val="91"/>
    <w:next w:val="91"/>
    <w:link w:val="93"/>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qFormat/>
    <w:locked/>
    <w:uiPriority w:val="0"/>
    <w:rPr>
      <w:sz w:val="24"/>
    </w:rPr>
  </w:style>
  <w:style w:type="paragraph" w:customStyle="1" w:styleId="96">
    <w:name w:val="Blockquote_0_1"/>
    <w:basedOn w:val="97"/>
    <w:link w:val="95"/>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qFormat/>
    <w:uiPriority w:val="0"/>
    <w:rPr>
      <w:b/>
      <w:bCs/>
      <w:sz w:val="24"/>
      <w:szCs w:val="24"/>
    </w:rPr>
  </w:style>
  <w:style w:type="paragraph" w:customStyle="1" w:styleId="99">
    <w:name w:val="标题 7_0"/>
    <w:basedOn w:val="91"/>
    <w:next w:val="91"/>
    <w:link w:val="98"/>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qFormat/>
    <w:uiPriority w:val="0"/>
    <w:rPr>
      <w:sz w:val="22"/>
    </w:rPr>
  </w:style>
  <w:style w:type="character" w:customStyle="1" w:styleId="101">
    <w:name w:val="font01"/>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qFormat/>
    <w:uiPriority w:val="99"/>
    <w:rPr>
      <w:rFonts w:eastAsia="宋体"/>
      <w:kern w:val="2"/>
      <w:sz w:val="18"/>
      <w:lang w:val="en-US" w:eastAsia="zh-CN" w:bidi="ar-SA"/>
    </w:rPr>
  </w:style>
  <w:style w:type="character" w:customStyle="1" w:styleId="103">
    <w:name w:val="引用 字符"/>
    <w:link w:val="104"/>
    <w:qFormat/>
    <w:uiPriority w:val="0"/>
    <w:rPr>
      <w:i/>
      <w:iCs/>
      <w:color w:val="000000"/>
      <w:kern w:val="2"/>
      <w:sz w:val="21"/>
      <w:szCs w:val="22"/>
      <w:lang w:bidi="ar-SA"/>
    </w:rPr>
  </w:style>
  <w:style w:type="paragraph" w:styleId="104">
    <w:name w:val="Quote"/>
    <w:basedOn w:val="1"/>
    <w:next w:val="1"/>
    <w:link w:val="103"/>
    <w:qFormat/>
    <w:uiPriority w:val="0"/>
    <w:rPr>
      <w:rFonts w:ascii="Times New Roman"/>
      <w:i/>
      <w:iCs/>
      <w:color w:val="000000"/>
      <w:kern w:val="2"/>
      <w:sz w:val="21"/>
      <w:szCs w:val="22"/>
    </w:rPr>
  </w:style>
  <w:style w:type="character" w:customStyle="1" w:styleId="105">
    <w:name w:val="Texte Char1"/>
    <w:link w:val="106"/>
    <w:qFormat/>
    <w:uiPriority w:val="99"/>
    <w:rPr>
      <w:rFonts w:ascii="宋体" w:hAnsi="Courier New"/>
      <w:kern w:val="2"/>
      <w:sz w:val="21"/>
      <w:szCs w:val="21"/>
      <w:lang w:val="en-US" w:eastAsia="zh-CN"/>
    </w:rPr>
  </w:style>
  <w:style w:type="paragraph" w:customStyle="1" w:styleId="106">
    <w:name w:val="纯文本_0"/>
    <w:basedOn w:val="107"/>
    <w:link w:val="105"/>
    <w:qFormat/>
    <w:uiPriority w:val="99"/>
    <w:rPr>
      <w:rFonts w:ascii="宋体" w:hAnsi="Courier New" w:cs="Times New Roman"/>
      <w:szCs w:val="21"/>
    </w:rPr>
  </w:style>
  <w:style w:type="paragraph" w:customStyle="1" w:styleId="107">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qFormat/>
    <w:uiPriority w:val="0"/>
    <w:rPr>
      <w:b/>
      <w:sz w:val="32"/>
    </w:rPr>
  </w:style>
  <w:style w:type="paragraph" w:customStyle="1" w:styleId="109">
    <w:name w:val="标题 3_0"/>
    <w:basedOn w:val="91"/>
    <w:next w:val="110"/>
    <w:link w:val="108"/>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unhideWhenUsed/>
    <w:qFormat/>
    <w:uiPriority w:val="0"/>
    <w:pPr>
      <w:ind w:firstLine="420" w:firstLineChars="200"/>
    </w:pPr>
    <w:rPr>
      <w:rFonts w:ascii="Calibri" w:hAnsi="Calibri"/>
      <w:bCs/>
      <w:szCs w:val="32"/>
    </w:rPr>
  </w:style>
  <w:style w:type="character" w:customStyle="1" w:styleId="111">
    <w:name w:val="标题 2 字符"/>
    <w:link w:val="3"/>
    <w:qFormat/>
    <w:uiPriority w:val="9"/>
    <w:rPr>
      <w:rFonts w:ascii="Arial" w:hAnsi="Arial" w:eastAsia="黑体"/>
      <w:b/>
      <w:bCs/>
      <w:kern w:val="2"/>
      <w:sz w:val="32"/>
      <w:szCs w:val="32"/>
      <w:lang w:val="en-US" w:eastAsia="zh-CN" w:bidi="ar-SA"/>
    </w:rPr>
  </w:style>
  <w:style w:type="character" w:customStyle="1" w:styleId="112">
    <w:name w:val="标题 1 Char1"/>
    <w:qFormat/>
    <w:uiPriority w:val="0"/>
    <w:rPr>
      <w:rFonts w:ascii="Calibri" w:hAnsi="Calibri" w:eastAsia="宋体"/>
      <w:b/>
      <w:kern w:val="44"/>
      <w:sz w:val="44"/>
      <w:szCs w:val="44"/>
    </w:rPr>
  </w:style>
  <w:style w:type="character" w:customStyle="1" w:styleId="113">
    <w:name w:val="标题 7 Char1"/>
    <w:semiHidden/>
    <w:qFormat/>
    <w:uiPriority w:val="0"/>
    <w:rPr>
      <w:rFonts w:ascii="Calibri" w:hAnsi="Calibri" w:eastAsia="宋体"/>
      <w:b/>
      <w:kern w:val="2"/>
      <w:sz w:val="24"/>
      <w:szCs w:val="24"/>
    </w:rPr>
  </w:style>
  <w:style w:type="character" w:customStyle="1" w:styleId="114">
    <w:name w:val="Blockquote Char_0"/>
    <w:link w:val="115"/>
    <w:qFormat/>
    <w:locked/>
    <w:uiPriority w:val="0"/>
    <w:rPr>
      <w:sz w:val="24"/>
    </w:rPr>
  </w:style>
  <w:style w:type="paragraph" w:customStyle="1" w:styleId="115">
    <w:name w:val="Blockquote_0"/>
    <w:basedOn w:val="91"/>
    <w:link w:val="114"/>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qFormat/>
    <w:uiPriority w:val="0"/>
    <w:rPr>
      <w:rFonts w:ascii="Times New Roman" w:hAnsi="Times New Roman" w:eastAsia="宋体" w:cs="Times New Roman"/>
      <w:b/>
      <w:sz w:val="28"/>
      <w:szCs w:val="20"/>
    </w:rPr>
  </w:style>
  <w:style w:type="character" w:customStyle="1" w:styleId="117">
    <w:name w:val="称呼 Char1"/>
    <w:qFormat/>
    <w:uiPriority w:val="0"/>
    <w:rPr>
      <w:kern w:val="2"/>
      <w:sz w:val="21"/>
      <w:szCs w:val="24"/>
    </w:rPr>
  </w:style>
  <w:style w:type="character" w:customStyle="1" w:styleId="118">
    <w:name w:val="纯文本 Char1_0"/>
    <w:link w:val="119"/>
    <w:qFormat/>
    <w:uiPriority w:val="0"/>
    <w:rPr>
      <w:rFonts w:ascii="宋体" w:hAnsi="Courier New"/>
      <w:kern w:val="2"/>
      <w:sz w:val="21"/>
      <w:szCs w:val="21"/>
    </w:rPr>
  </w:style>
  <w:style w:type="paragraph" w:customStyle="1" w:styleId="119">
    <w:name w:val="纯文本_1"/>
    <w:basedOn w:val="120"/>
    <w:link w:val="118"/>
    <w:qFormat/>
    <w:uiPriority w:val="0"/>
    <w:rPr>
      <w:rFonts w:ascii="宋体" w:hAnsi="Courier New"/>
      <w:szCs w:val="21"/>
    </w:rPr>
  </w:style>
  <w:style w:type="paragraph" w:customStyle="1" w:styleId="12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9"/>
    <w:qFormat/>
    <w:uiPriority w:val="0"/>
    <w:rPr>
      <w:rFonts w:eastAsia="宋体"/>
      <w:kern w:val="2"/>
      <w:sz w:val="21"/>
      <w:lang w:val="en-US" w:eastAsia="zh-CN" w:bidi="ar-SA"/>
    </w:rPr>
  </w:style>
  <w:style w:type="character" w:customStyle="1" w:styleId="122">
    <w:name w:val="纯文本 Char1"/>
    <w:qFormat/>
    <w:uiPriority w:val="99"/>
    <w:rPr>
      <w:rFonts w:ascii="宋体" w:hAnsi="Courier New" w:eastAsia="宋体" w:cs="Courier New"/>
      <w:kern w:val="2"/>
      <w:sz w:val="21"/>
      <w:szCs w:val="21"/>
      <w:lang w:val="en-US" w:eastAsia="zh-CN" w:bidi="ar-SA"/>
    </w:rPr>
  </w:style>
  <w:style w:type="character" w:customStyle="1" w:styleId="123">
    <w:name w:val="称呼 字符"/>
    <w:link w:val="23"/>
    <w:qFormat/>
    <w:uiPriority w:val="0"/>
    <w:rPr>
      <w:rFonts w:ascii="仿宋_GB2312" w:eastAsia="仿宋_GB2312"/>
      <w:sz w:val="28"/>
    </w:rPr>
  </w:style>
  <w:style w:type="character" w:customStyle="1" w:styleId="124">
    <w:name w:val="t_tag"/>
    <w:qFormat/>
    <w:uiPriority w:val="0"/>
  </w:style>
  <w:style w:type="character" w:customStyle="1" w:styleId="125">
    <w:name w:val="标题 6 字符"/>
    <w:link w:val="7"/>
    <w:qFormat/>
    <w:uiPriority w:val="0"/>
    <w:rPr>
      <w:rFonts w:ascii="宋体" w:hAnsi="宋体" w:eastAsia="宋体"/>
      <w:sz w:val="28"/>
      <w:lang w:val="en-US" w:eastAsia="zh-CN" w:bidi="ar-SA"/>
    </w:rPr>
  </w:style>
  <w:style w:type="character" w:customStyle="1" w:styleId="126">
    <w:name w:val="Char Char3"/>
    <w:qFormat/>
    <w:uiPriority w:val="0"/>
    <w:rPr>
      <w:rFonts w:eastAsia="宋体"/>
      <w:kern w:val="2"/>
      <w:sz w:val="21"/>
      <w:lang w:val="en-US" w:eastAsia="zh-CN" w:bidi="ar-SA"/>
    </w:rPr>
  </w:style>
  <w:style w:type="character" w:customStyle="1" w:styleId="127">
    <w:name w:val="标题 8 字符"/>
    <w:link w:val="9"/>
    <w:qFormat/>
    <w:uiPriority w:val="0"/>
    <w:rPr>
      <w:rFonts w:ascii="Arial" w:hAnsi="Arial" w:eastAsia="黑体"/>
      <w:sz w:val="24"/>
      <w:szCs w:val="24"/>
      <w:lang w:val="en-US" w:eastAsia="zh-CN" w:bidi="ar-SA"/>
    </w:rPr>
  </w:style>
  <w:style w:type="character" w:customStyle="1" w:styleId="128">
    <w:name w:val="正文文本 3 字符"/>
    <w:link w:val="24"/>
    <w:qFormat/>
    <w:uiPriority w:val="0"/>
    <w:rPr>
      <w:rFonts w:ascii="黑体" w:hAnsi="Arial" w:eastAsia="黑体"/>
      <w:b/>
      <w:sz w:val="28"/>
    </w:rPr>
  </w:style>
  <w:style w:type="character" w:customStyle="1" w:styleId="129">
    <w:name w:val="批注文字 字符"/>
    <w:link w:val="21"/>
    <w:qFormat/>
    <w:uiPriority w:val="99"/>
    <w:rPr>
      <w:rFonts w:eastAsia="宋体"/>
      <w:kern w:val="2"/>
      <w:sz w:val="21"/>
      <w:lang w:val="en-US" w:eastAsia="zh-CN" w:bidi="ar-SA"/>
    </w:rPr>
  </w:style>
  <w:style w:type="character" w:customStyle="1" w:styleId="130">
    <w:name w:val="引用 Char2"/>
    <w:qFormat/>
    <w:uiPriority w:val="29"/>
    <w:rPr>
      <w:i/>
      <w:iCs/>
      <w:color w:val="000000"/>
      <w:kern w:val="2"/>
      <w:sz w:val="21"/>
      <w:szCs w:val="24"/>
    </w:rPr>
  </w:style>
  <w:style w:type="character" w:customStyle="1" w:styleId="131">
    <w:name w:val="标题 4 Char_0"/>
    <w:link w:val="132"/>
    <w:qFormat/>
    <w:uiPriority w:val="0"/>
    <w:rPr>
      <w:rFonts w:ascii="Arial" w:hAnsi="Arial" w:eastAsia="黑体"/>
      <w:sz w:val="28"/>
    </w:rPr>
  </w:style>
  <w:style w:type="paragraph" w:customStyle="1" w:styleId="132">
    <w:name w:val="标题 4_0"/>
    <w:basedOn w:val="91"/>
    <w:next w:val="91"/>
    <w:link w:val="13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qFormat/>
    <w:uiPriority w:val="0"/>
    <w:rPr>
      <w:rFonts w:ascii="Arial" w:hAnsi="Arial" w:eastAsia="黑体"/>
      <w:sz w:val="21"/>
      <w:szCs w:val="21"/>
    </w:rPr>
  </w:style>
  <w:style w:type="paragraph" w:customStyle="1" w:styleId="134">
    <w:name w:val="标题 9_0"/>
    <w:basedOn w:val="91"/>
    <w:next w:val="91"/>
    <w:link w:val="133"/>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qFormat/>
    <w:uiPriority w:val="0"/>
    <w:rPr>
      <w:rFonts w:ascii="黑体" w:hAnsi="宋体" w:eastAsia="黑体"/>
      <w:b/>
      <w:smallCaps/>
      <w:sz w:val="36"/>
      <w:szCs w:val="24"/>
    </w:rPr>
  </w:style>
  <w:style w:type="paragraph" w:customStyle="1" w:styleId="136">
    <w:name w:val="标题 2_0"/>
    <w:basedOn w:val="137"/>
    <w:next w:val="107"/>
    <w:link w:val="135"/>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qFormat/>
    <w:uiPriority w:val="0"/>
    <w:rPr>
      <w:rFonts w:ascii="仿宋_GB2312" w:eastAsia="仿宋_GB2312"/>
      <w:b/>
      <w:sz w:val="24"/>
    </w:rPr>
  </w:style>
  <w:style w:type="character" w:customStyle="1" w:styleId="139">
    <w:name w:val="批注文字 Char1"/>
    <w:semiHidden/>
    <w:qFormat/>
    <w:uiPriority w:val="99"/>
  </w:style>
  <w:style w:type="character" w:customStyle="1" w:styleId="140">
    <w:name w:val="明显引用 Char1"/>
    <w:qFormat/>
    <w:uiPriority w:val="30"/>
    <w:rPr>
      <w:b/>
      <w:bCs/>
      <w:i/>
      <w:iCs/>
      <w:color w:val="4F81BD"/>
      <w:kern w:val="2"/>
      <w:sz w:val="21"/>
      <w:szCs w:val="24"/>
    </w:rPr>
  </w:style>
  <w:style w:type="character" w:customStyle="1" w:styleId="141">
    <w:name w:val="标题 8 Char1"/>
    <w:semiHidden/>
    <w:qFormat/>
    <w:uiPriority w:val="0"/>
    <w:rPr>
      <w:rFonts w:ascii="Cambria" w:hAnsi="Cambria" w:eastAsia="宋体"/>
      <w:kern w:val="2"/>
      <w:sz w:val="24"/>
      <w:szCs w:val="24"/>
    </w:rPr>
  </w:style>
  <w:style w:type="character" w:customStyle="1" w:styleId="142">
    <w:name w:val="font31"/>
    <w:qFormat/>
    <w:uiPriority w:val="0"/>
    <w:rPr>
      <w:rFonts w:hint="eastAsia" w:ascii="宋体" w:hAnsi="宋体" w:eastAsia="宋体" w:cs="宋体"/>
      <w:color w:val="FF0000"/>
      <w:sz w:val="24"/>
      <w:szCs w:val="24"/>
      <w:u w:val="none"/>
    </w:rPr>
  </w:style>
  <w:style w:type="character" w:customStyle="1" w:styleId="143">
    <w:name w:val="标题 3 字符"/>
    <w:link w:val="4"/>
    <w:qFormat/>
    <w:uiPriority w:val="0"/>
    <w:rPr>
      <w:rFonts w:ascii="宋体" w:eastAsia="宋体"/>
      <w:b/>
      <w:bCs/>
      <w:kern w:val="2"/>
      <w:sz w:val="32"/>
      <w:szCs w:val="32"/>
      <w:lang w:val="en-US" w:eastAsia="zh-CN" w:bidi="ar-SA"/>
    </w:rPr>
  </w:style>
  <w:style w:type="character" w:customStyle="1" w:styleId="144">
    <w:name w:val="标题 9 字符"/>
    <w:link w:val="10"/>
    <w:qFormat/>
    <w:uiPriority w:val="0"/>
    <w:rPr>
      <w:rFonts w:ascii="Arial" w:hAnsi="Arial" w:eastAsia="黑体"/>
      <w:sz w:val="21"/>
      <w:szCs w:val="21"/>
      <w:lang w:val="en-US" w:eastAsia="zh-CN" w:bidi="ar-SA"/>
    </w:rPr>
  </w:style>
  <w:style w:type="character" w:customStyle="1" w:styleId="145">
    <w:name w:val="批注框文本 Char1"/>
    <w:semiHidden/>
    <w:qFormat/>
    <w:uiPriority w:val="99"/>
    <w:rPr>
      <w:sz w:val="18"/>
      <w:szCs w:val="18"/>
    </w:rPr>
  </w:style>
  <w:style w:type="character" w:customStyle="1" w:styleId="146">
    <w:name w:val="批注主题 Char1"/>
    <w:qFormat/>
    <w:uiPriority w:val="99"/>
    <w:rPr>
      <w:rFonts w:eastAsia="宋体"/>
      <w:b/>
      <w:bCs/>
      <w:kern w:val="2"/>
      <w:sz w:val="21"/>
      <w:szCs w:val="24"/>
      <w:lang w:val="en-US" w:eastAsia="zh-CN" w:bidi="ar-SA"/>
    </w:rPr>
  </w:style>
  <w:style w:type="character" w:customStyle="1" w:styleId="147">
    <w:name w:val="标题 8 Char_0"/>
    <w:link w:val="148"/>
    <w:qFormat/>
    <w:uiPriority w:val="0"/>
    <w:rPr>
      <w:rFonts w:ascii="Arial" w:hAnsi="Arial" w:eastAsia="黑体"/>
      <w:sz w:val="24"/>
      <w:szCs w:val="24"/>
    </w:rPr>
  </w:style>
  <w:style w:type="paragraph" w:customStyle="1" w:styleId="148">
    <w:name w:val="标题 8_0"/>
    <w:basedOn w:val="91"/>
    <w:next w:val="91"/>
    <w:link w:val="147"/>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semiHidden/>
    <w:qFormat/>
    <w:uiPriority w:val="0"/>
    <w:rPr>
      <w:rFonts w:ascii="Cambria" w:hAnsi="Cambria" w:eastAsia="宋体"/>
      <w:kern w:val="2"/>
      <w:sz w:val="21"/>
      <w:szCs w:val="21"/>
    </w:rPr>
  </w:style>
  <w:style w:type="character" w:customStyle="1" w:styleId="150">
    <w:name w:val="标题 1 Char_0"/>
    <w:link w:val="151"/>
    <w:qFormat/>
    <w:uiPriority w:val="0"/>
    <w:rPr>
      <w:rFonts w:ascii="黑体" w:eastAsia="黑体"/>
      <w:sz w:val="52"/>
    </w:rPr>
  </w:style>
  <w:style w:type="paragraph" w:customStyle="1" w:styleId="151">
    <w:name w:val="标题 1_0"/>
    <w:basedOn w:val="91"/>
    <w:next w:val="91"/>
    <w:link w:val="150"/>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qFormat/>
    <w:uiPriority w:val="0"/>
    <w:rPr>
      <w:rFonts w:ascii="Arial" w:hAnsi="Arial" w:eastAsia="黑体"/>
      <w:b/>
      <w:bCs/>
      <w:kern w:val="2"/>
      <w:sz w:val="28"/>
      <w:szCs w:val="28"/>
      <w:lang w:val="en-US" w:eastAsia="zh-CN" w:bidi="ar-SA"/>
    </w:rPr>
  </w:style>
  <w:style w:type="character" w:customStyle="1" w:styleId="153">
    <w:name w:val="引用 Char1"/>
    <w:qFormat/>
    <w:uiPriority w:val="29"/>
    <w:rPr>
      <w:i/>
      <w:iCs/>
      <w:color w:val="000000"/>
      <w:kern w:val="2"/>
      <w:sz w:val="21"/>
      <w:szCs w:val="24"/>
    </w:rPr>
  </w:style>
  <w:style w:type="character" w:customStyle="1" w:styleId="154">
    <w:name w:val="apple-converted-space"/>
    <w:qFormat/>
    <w:uiPriority w:val="0"/>
  </w:style>
  <w:style w:type="character" w:customStyle="1" w:styleId="155">
    <w:name w:val="ask-title2"/>
    <w:qFormat/>
    <w:uiPriority w:val="0"/>
  </w:style>
  <w:style w:type="character" w:customStyle="1" w:styleId="156">
    <w:name w:val="正文文本缩进 3 字符"/>
    <w:link w:val="51"/>
    <w:qFormat/>
    <w:uiPriority w:val="0"/>
    <w:rPr>
      <w:rFonts w:ascii="仿宋_GB2312" w:hAnsi="Arial" w:eastAsia="仿宋_GB2312"/>
      <w:color w:val="000000"/>
      <w:sz w:val="30"/>
    </w:rPr>
  </w:style>
  <w:style w:type="character" w:customStyle="1" w:styleId="157">
    <w:name w:val="标题4 Char Char"/>
    <w:link w:val="158"/>
    <w:qFormat/>
    <w:uiPriority w:val="0"/>
    <w:rPr>
      <w:rFonts w:ascii="Arial" w:hAnsi="Arial"/>
      <w:b/>
      <w:bCs/>
      <w:sz w:val="24"/>
      <w:szCs w:val="32"/>
      <w:lang w:bidi="ar-SA"/>
    </w:rPr>
  </w:style>
  <w:style w:type="paragraph" w:customStyle="1" w:styleId="158">
    <w:name w:val="标题4"/>
    <w:basedOn w:val="3"/>
    <w:next w:val="30"/>
    <w:link w:val="157"/>
    <w:qFormat/>
    <w:uiPriority w:val="0"/>
    <w:pPr>
      <w:spacing w:line="413" w:lineRule="auto"/>
      <w:ind w:firstLine="0"/>
      <w:jc w:val="both"/>
    </w:pPr>
    <w:rPr>
      <w:rFonts w:eastAsia="宋体"/>
      <w:kern w:val="0"/>
      <w:sz w:val="24"/>
    </w:rPr>
  </w:style>
  <w:style w:type="character" w:customStyle="1" w:styleId="159">
    <w:name w:val="标题 4 Char1"/>
    <w:semiHidden/>
    <w:qFormat/>
    <w:uiPriority w:val="0"/>
    <w:rPr>
      <w:rFonts w:ascii="Cambria" w:hAnsi="Cambria" w:eastAsia="宋体"/>
      <w:b/>
      <w:kern w:val="2"/>
      <w:sz w:val="28"/>
      <w:szCs w:val="28"/>
    </w:rPr>
  </w:style>
  <w:style w:type="character" w:customStyle="1" w:styleId="160">
    <w:name w:val="纯文本 字符"/>
    <w:link w:val="33"/>
    <w:qFormat/>
    <w:uiPriority w:val="0"/>
    <w:rPr>
      <w:rFonts w:ascii="宋体" w:hAnsi="Courier New" w:eastAsia="宋体"/>
      <w:kern w:val="2"/>
      <w:sz w:val="21"/>
      <w:lang w:val="en-US" w:eastAsia="zh-CN" w:bidi="ar-SA"/>
    </w:rPr>
  </w:style>
  <w:style w:type="character" w:customStyle="1" w:styleId="161">
    <w:name w:val="明显引用 字符"/>
    <w:link w:val="162"/>
    <w:qFormat/>
    <w:uiPriority w:val="0"/>
    <w:rPr>
      <w:b/>
      <w:bCs/>
      <w:i/>
      <w:iCs/>
      <w:color w:val="4F81BD"/>
      <w:kern w:val="2"/>
      <w:sz w:val="21"/>
      <w:szCs w:val="22"/>
      <w:lang w:bidi="ar-SA"/>
    </w:rPr>
  </w:style>
  <w:style w:type="paragraph" w:styleId="162">
    <w:name w:val="Intense Quote"/>
    <w:basedOn w:val="1"/>
    <w:next w:val="1"/>
    <w:link w:val="161"/>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qFormat/>
    <w:uiPriority w:val="0"/>
    <w:rPr>
      <w:rFonts w:eastAsia="宋体"/>
      <w:b/>
      <w:bCs/>
      <w:kern w:val="2"/>
      <w:sz w:val="21"/>
      <w:szCs w:val="24"/>
      <w:lang w:val="en-US" w:eastAsia="zh-CN" w:bidi="ar-SA"/>
    </w:rPr>
  </w:style>
  <w:style w:type="character" w:customStyle="1" w:styleId="164">
    <w:name w:val="标题 5 Char1"/>
    <w:semiHidden/>
    <w:qFormat/>
    <w:uiPriority w:val="0"/>
    <w:rPr>
      <w:rFonts w:ascii="Calibri" w:hAnsi="Calibri" w:eastAsia="宋体"/>
      <w:b/>
      <w:kern w:val="2"/>
      <w:sz w:val="28"/>
      <w:szCs w:val="28"/>
    </w:rPr>
  </w:style>
  <w:style w:type="character" w:customStyle="1" w:styleId="165">
    <w:name w:val="日期 Char1"/>
    <w:qFormat/>
    <w:uiPriority w:val="0"/>
    <w:rPr>
      <w:rFonts w:eastAsia="宋体"/>
      <w:kern w:val="2"/>
      <w:sz w:val="21"/>
      <w:szCs w:val="24"/>
      <w:lang w:val="en-US" w:eastAsia="zh-CN" w:bidi="ar-SA"/>
    </w:rPr>
  </w:style>
  <w:style w:type="character" w:customStyle="1" w:styleId="166">
    <w:name w:val="标题 字符"/>
    <w:link w:val="61"/>
    <w:qFormat/>
    <w:uiPriority w:val="0"/>
    <w:rPr>
      <w:rFonts w:ascii="Cambria" w:hAnsi="Cambria"/>
      <w:b/>
      <w:bCs/>
      <w:kern w:val="2"/>
      <w:sz w:val="32"/>
      <w:szCs w:val="32"/>
      <w:lang w:bidi="ar-SA"/>
    </w:rPr>
  </w:style>
  <w:style w:type="character" w:customStyle="1" w:styleId="167">
    <w:name w:val="脚注文本 字符"/>
    <w:link w:val="49"/>
    <w:qFormat/>
    <w:uiPriority w:val="0"/>
    <w:rPr>
      <w:rFonts w:ascii="Calibri" w:hAnsi="Calibri"/>
      <w:bCs/>
      <w:sz w:val="18"/>
    </w:rPr>
  </w:style>
  <w:style w:type="character" w:customStyle="1" w:styleId="168">
    <w:name w:val="标题 1 字符"/>
    <w:link w:val="2"/>
    <w:qFormat/>
    <w:uiPriority w:val="0"/>
    <w:rPr>
      <w:rFonts w:eastAsia="宋体"/>
      <w:b/>
      <w:bCs/>
      <w:kern w:val="44"/>
      <w:sz w:val="30"/>
      <w:szCs w:val="44"/>
      <w:lang w:val="en-US" w:eastAsia="zh-CN" w:bidi="ar-SA"/>
    </w:rPr>
  </w:style>
  <w:style w:type="character" w:customStyle="1" w:styleId="169">
    <w:name w:val="font11"/>
    <w:qFormat/>
    <w:uiPriority w:val="0"/>
    <w:rPr>
      <w:rFonts w:hint="eastAsia" w:ascii="宋体" w:hAnsi="宋体" w:eastAsia="宋体" w:cs="宋体"/>
      <w:color w:val="000000"/>
      <w:sz w:val="24"/>
      <w:szCs w:val="24"/>
      <w:u w:val="none"/>
    </w:rPr>
  </w:style>
  <w:style w:type="character" w:customStyle="1" w:styleId="170">
    <w:name w:val="标题 5 字符"/>
    <w:link w:val="6"/>
    <w:qFormat/>
    <w:uiPriority w:val="0"/>
    <w:rPr>
      <w:rFonts w:ascii="宋体" w:hAnsi="Arial" w:eastAsia="宋体"/>
      <w:bCs/>
      <w:kern w:val="2"/>
      <w:sz w:val="28"/>
      <w:lang w:val="en-US" w:eastAsia="zh-CN" w:bidi="ar-SA"/>
    </w:rPr>
  </w:style>
  <w:style w:type="character" w:customStyle="1" w:styleId="171">
    <w:name w:val="font21"/>
    <w:qFormat/>
    <w:uiPriority w:val="0"/>
    <w:rPr>
      <w:rFonts w:hint="eastAsia" w:ascii="仿宋" w:hAnsi="仿宋" w:eastAsia="仿宋" w:cs="仿宋"/>
      <w:color w:val="000000"/>
      <w:sz w:val="24"/>
      <w:szCs w:val="24"/>
      <w:u w:val="none"/>
    </w:rPr>
  </w:style>
  <w:style w:type="character" w:customStyle="1" w:styleId="172">
    <w:name w:val="标题 7 字符"/>
    <w:link w:val="8"/>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5"/>
    <w:qFormat/>
    <w:uiPriority w:val="0"/>
    <w:rPr>
      <w:rFonts w:ascii="宋体" w:hAnsi="Arial" w:eastAsia="宋体"/>
      <w:kern w:val="2"/>
      <w:sz w:val="28"/>
      <w:lang w:val="en-US" w:eastAsia="zh-CN" w:bidi="ar-SA"/>
    </w:rPr>
  </w:style>
  <w:style w:type="character" w:customStyle="1" w:styleId="174">
    <w:name w:val="Char Char"/>
    <w:qFormat/>
    <w:uiPriority w:val="0"/>
    <w:rPr>
      <w:rFonts w:ascii="宋体" w:hAnsi="Courier New" w:eastAsia="宋体" w:cs="Courier New"/>
      <w:kern w:val="2"/>
      <w:sz w:val="21"/>
      <w:szCs w:val="21"/>
      <w:lang w:val="en-US" w:eastAsia="zh-CN" w:bidi="ar-SA"/>
    </w:rPr>
  </w:style>
  <w:style w:type="character" w:customStyle="1" w:styleId="175">
    <w:name w:val="副标题 Char1"/>
    <w:qFormat/>
    <w:uiPriority w:val="0"/>
    <w:rPr>
      <w:rFonts w:ascii="Cambria" w:hAnsi="Cambria" w:cs="Times New Roman"/>
      <w:b/>
      <w:bCs/>
      <w:kern w:val="28"/>
      <w:sz w:val="32"/>
      <w:szCs w:val="32"/>
    </w:rPr>
  </w:style>
  <w:style w:type="character" w:customStyle="1" w:styleId="176">
    <w:name w:val="正文文本缩进 2 字符"/>
    <w:link w:val="37"/>
    <w:qFormat/>
    <w:uiPriority w:val="0"/>
    <w:rPr>
      <w:rFonts w:ascii="Arial" w:hAnsi="Arial" w:eastAsia="仿宋_GB2312"/>
      <w:sz w:val="32"/>
    </w:rPr>
  </w:style>
  <w:style w:type="character" w:customStyle="1" w:styleId="177">
    <w:name w:val="标题 3 Char1"/>
    <w:semiHidden/>
    <w:qFormat/>
    <w:uiPriority w:val="0"/>
    <w:rPr>
      <w:rFonts w:ascii="Calibri" w:hAnsi="Calibri" w:eastAsia="宋体"/>
      <w:b/>
      <w:kern w:val="2"/>
      <w:sz w:val="32"/>
    </w:rPr>
  </w:style>
  <w:style w:type="character" w:customStyle="1" w:styleId="178">
    <w:name w:val="正文文本 Char_0"/>
    <w:link w:val="179"/>
    <w:qFormat/>
    <w:uiPriority w:val="0"/>
    <w:rPr>
      <w:kern w:val="2"/>
      <w:sz w:val="21"/>
      <w:szCs w:val="24"/>
    </w:rPr>
  </w:style>
  <w:style w:type="paragraph" w:customStyle="1" w:styleId="179">
    <w:name w:val="正文文本_0"/>
    <w:basedOn w:val="91"/>
    <w:link w:val="178"/>
    <w:qFormat/>
    <w:uiPriority w:val="0"/>
    <w:pPr>
      <w:spacing w:after="120"/>
    </w:pPr>
  </w:style>
  <w:style w:type="character" w:customStyle="1" w:styleId="180">
    <w:name w:val="批注主题 字符"/>
    <w:link w:val="62"/>
    <w:qFormat/>
    <w:uiPriority w:val="0"/>
    <w:rPr>
      <w:rFonts w:ascii="宋体"/>
      <w:b/>
      <w:bCs/>
      <w:sz w:val="28"/>
      <w:lang w:bidi="ar-SA"/>
    </w:rPr>
  </w:style>
  <w:style w:type="character" w:customStyle="1" w:styleId="181">
    <w:name w:val="明显引用 Char2"/>
    <w:qFormat/>
    <w:uiPriority w:val="30"/>
    <w:rPr>
      <w:b/>
      <w:bCs/>
      <w:i/>
      <w:iCs/>
      <w:color w:val="4F81BD"/>
      <w:kern w:val="2"/>
      <w:sz w:val="21"/>
      <w:szCs w:val="24"/>
    </w:rPr>
  </w:style>
  <w:style w:type="character" w:customStyle="1" w:styleId="182">
    <w:name w:val="页脚 字符1"/>
    <w:link w:val="39"/>
    <w:qFormat/>
    <w:uiPriority w:val="99"/>
    <w:rPr>
      <w:rFonts w:eastAsia="宋体"/>
      <w:kern w:val="2"/>
      <w:sz w:val="18"/>
      <w:lang w:val="en-US" w:eastAsia="zh-CN" w:bidi="ar-SA"/>
    </w:rPr>
  </w:style>
  <w:style w:type="character" w:customStyle="1" w:styleId="183">
    <w:name w:val="脚注文本 Char2"/>
    <w:semiHidden/>
    <w:qFormat/>
    <w:uiPriority w:val="99"/>
    <w:rPr>
      <w:rFonts w:ascii="宋体"/>
      <w:sz w:val="18"/>
      <w:szCs w:val="18"/>
    </w:rPr>
  </w:style>
  <w:style w:type="paragraph" w:customStyle="1" w:styleId="184">
    <w:name w:val="Normal_0"/>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unhideWhenUsed/>
    <w:qFormat/>
    <w:uiPriority w:val="99"/>
    <w:pPr>
      <w:ind w:firstLine="420" w:firstLineChars="200"/>
    </w:pPr>
    <w:rPr>
      <w:rFonts w:ascii="Calibri" w:hAnsi="Calibri"/>
      <w:kern w:val="2"/>
      <w:sz w:val="21"/>
      <w:szCs w:val="22"/>
    </w:rPr>
  </w:style>
  <w:style w:type="paragraph" w:customStyle="1" w:styleId="186">
    <w:name w:val="Char"/>
    <w:basedOn w:val="1"/>
    <w:qFormat/>
    <w:uiPriority w:val="0"/>
    <w:rPr>
      <w:rFonts w:ascii="Tahoma" w:hAnsi="Tahoma"/>
    </w:rPr>
  </w:style>
  <w:style w:type="paragraph" w:customStyle="1" w:styleId="187">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qFormat/>
    <w:uiPriority w:val="0"/>
    <w:pPr>
      <w:adjustRightInd w:val="0"/>
      <w:jc w:val="left"/>
      <w:textAlignment w:val="baseline"/>
    </w:pPr>
    <w:rPr>
      <w:rFonts w:hAnsi="宋体"/>
      <w:sz w:val="21"/>
    </w:rPr>
  </w:style>
  <w:style w:type="paragraph" w:customStyle="1" w:styleId="189">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qFormat/>
    <w:uiPriority w:val="0"/>
    <w:pPr>
      <w:ind w:firstLine="420" w:firstLineChars="200"/>
    </w:pPr>
    <w:rPr>
      <w:rFonts w:ascii="Calibri" w:hAnsi="Calibri"/>
      <w:kern w:val="2"/>
      <w:sz w:val="21"/>
      <w:szCs w:val="22"/>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qFormat/>
    <w:uiPriority w:val="0"/>
    <w:rPr>
      <w:rFonts w:ascii="Tahoma" w:hAnsi="Tahoma"/>
      <w:kern w:val="2"/>
      <w:szCs w:val="24"/>
    </w:rPr>
  </w:style>
  <w:style w:type="paragraph" w:customStyle="1" w:styleId="193">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qFormat/>
    <w:uiPriority w:val="0"/>
    <w:pPr>
      <w:ind w:firstLine="420" w:firstLineChars="200"/>
    </w:pPr>
    <w:rPr>
      <w:rFonts w:ascii="Calibri" w:hAnsi="Calibri"/>
      <w:szCs w:val="22"/>
    </w:rPr>
  </w:style>
  <w:style w:type="paragraph" w:customStyle="1" w:styleId="195">
    <w:name w:val="_Style 4"/>
    <w:basedOn w:val="1"/>
    <w:qFormat/>
    <w:uiPriority w:val="0"/>
    <w:rPr>
      <w:rFonts w:ascii="Times New Roman"/>
      <w:kern w:val="2"/>
      <w:sz w:val="21"/>
      <w:szCs w:val="24"/>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qFormat/>
    <w:uiPriority w:val="0"/>
  </w:style>
  <w:style w:type="paragraph" w:customStyle="1" w:styleId="200">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qFormat/>
    <w:uiPriority w:val="0"/>
    <w:pPr>
      <w:widowControl/>
      <w:spacing w:before="100" w:beforeAutospacing="1"/>
      <w:jc w:val="left"/>
    </w:pPr>
    <w:rPr>
      <w:rFonts w:hAnsi="宋体" w:cs="宋体"/>
      <w:color w:val="000000"/>
      <w:sz w:val="28"/>
      <w:szCs w:val="28"/>
    </w:rPr>
  </w:style>
  <w:style w:type="paragraph" w:customStyle="1" w:styleId="2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qFormat/>
    <w:uiPriority w:val="0"/>
    <w:pPr>
      <w:widowControl/>
    </w:pPr>
    <w:rPr>
      <w:rFonts w:ascii="Times New Roman"/>
      <w:sz w:val="21"/>
      <w:szCs w:val="21"/>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qFormat/>
    <w:uiPriority w:val="0"/>
    <w:rPr>
      <w:rFonts w:ascii="Calibri" w:hAnsi="Calibri"/>
      <w:kern w:val="2"/>
      <w:sz w:val="21"/>
      <w:szCs w:val="22"/>
    </w:rPr>
  </w:style>
  <w:style w:type="paragraph" w:customStyle="1" w:styleId="210">
    <w:name w:val="Normal_2"/>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unhideWhenUsed/>
    <w:qFormat/>
    <w:uiPriority w:val="99"/>
    <w:pPr>
      <w:ind w:firstLine="420" w:firstLineChars="200"/>
    </w:pPr>
    <w:rPr>
      <w:rFonts w:ascii="Calibri" w:hAnsi="Calibri"/>
      <w:kern w:val="2"/>
      <w:sz w:val="21"/>
      <w:szCs w:val="22"/>
    </w:rPr>
  </w:style>
  <w:style w:type="paragraph" w:customStyle="1" w:styleId="212">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qFormat/>
    <w:uiPriority w:val="0"/>
    <w:rPr>
      <w:rFonts w:ascii="Calibri" w:hAnsi="Calibri"/>
      <w:kern w:val="2"/>
      <w:sz w:val="21"/>
      <w:szCs w:val="22"/>
    </w:rPr>
  </w:style>
  <w:style w:type="paragraph" w:customStyle="1" w:styleId="2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qFormat/>
    <w:uiPriority w:val="0"/>
    <w:rPr>
      <w:rFonts w:ascii="Tahoma" w:hAnsi="Tahoma"/>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qFormat/>
    <w:uiPriority w:val="0"/>
    <w:pPr>
      <w:widowControl/>
      <w:spacing w:line="360" w:lineRule="auto"/>
      <w:jc w:val="left"/>
    </w:pPr>
    <w:rPr>
      <w:lang w:eastAsia="en-US"/>
    </w:rPr>
  </w:style>
  <w:style w:type="paragraph" w:customStyle="1" w:styleId="226">
    <w:name w:val="Char Char Char Char Char Char"/>
    <w:basedOn w:val="1"/>
    <w:qFormat/>
    <w:uiPriority w:val="0"/>
    <w:rPr>
      <w:rFonts w:ascii="Tahoma" w:hAnsi="Tahoma"/>
      <w:kern w:val="2"/>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qFormat/>
    <w:uiPriority w:val="0"/>
    <w:rPr>
      <w:rFonts w:ascii="Tahoma" w:hAnsi="Tahoma"/>
      <w:kern w:val="2"/>
    </w:rPr>
  </w:style>
  <w:style w:type="paragraph" w:customStyle="1" w:styleId="236">
    <w:name w:val="二级标题"/>
    <w:basedOn w:val="1"/>
    <w:next w:val="237"/>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qFormat/>
    <w:uiPriority w:val="0"/>
    <w:rPr>
      <w:rFonts w:ascii="Tahoma" w:hAnsi="Tahoma"/>
      <w:kern w:val="2"/>
    </w:rPr>
  </w:style>
  <w:style w:type="paragraph" w:customStyle="1" w:styleId="249">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3"/>
    <w:qFormat/>
    <w:uiPriority w:val="0"/>
    <w:pPr>
      <w:spacing w:line="360" w:lineRule="auto"/>
    </w:pPr>
    <w:rPr>
      <w:rFonts w:ascii="Times New Roman" w:hAnsi="Times New Roman" w:cs="Courier New"/>
      <w:sz w:val="24"/>
      <w:szCs w:val="21"/>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qFormat/>
    <w:uiPriority w:val="0"/>
    <w:pPr>
      <w:widowControl/>
      <w:spacing w:line="360" w:lineRule="auto"/>
      <w:jc w:val="left"/>
    </w:pPr>
    <w:rPr>
      <w:lang w:eastAsia="en-US"/>
    </w:rPr>
  </w:style>
  <w:style w:type="paragraph" w:customStyle="1" w:styleId="255">
    <w:name w:val="MsoNormal"/>
    <w:basedOn w:val="184"/>
    <w:qFormat/>
    <w:uiPriority w:val="0"/>
    <w:rPr>
      <w:rFonts w:ascii="Calibri" w:hAnsi="Calibri" w:eastAsia="Calibri"/>
      <w:sz w:val="21"/>
    </w:rPr>
  </w:style>
  <w:style w:type="paragraph" w:customStyle="1" w:styleId="256">
    <w:name w:val="Table Paragraph"/>
    <w:basedOn w:val="1"/>
    <w:qFormat/>
    <w:uiPriority w:val="1"/>
    <w:pPr>
      <w:jc w:val="left"/>
    </w:pPr>
    <w:rPr>
      <w:rFonts w:ascii="Calibri" w:hAnsi="Calibri"/>
      <w:sz w:val="22"/>
      <w:lang w:eastAsia="en-US"/>
    </w:rPr>
  </w:style>
  <w:style w:type="paragraph" w:customStyle="1" w:styleId="257">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qFormat/>
    <w:uiPriority w:val="99"/>
    <w:pPr>
      <w:ind w:firstLine="480" w:firstLineChars="200"/>
    </w:pPr>
    <w:rPr>
      <w:rFonts w:ascii="Calibri" w:hAnsi="Calibri" w:cs="Calibri"/>
      <w:kern w:val="2"/>
      <w:sz w:val="21"/>
      <w:szCs w:val="21"/>
      <w:lang w:val="zh-CN"/>
    </w:rPr>
  </w:style>
  <w:style w:type="paragraph" w:customStyle="1" w:styleId="2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qFormat/>
    <w:uiPriority w:val="0"/>
    <w:pPr>
      <w:spacing w:before="156" w:line="400" w:lineRule="atLeast"/>
      <w:ind w:firstLine="540" w:firstLineChars="225"/>
    </w:p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qFormat/>
    <w:uiPriority w:val="0"/>
    <w:pPr>
      <w:widowControl/>
      <w:spacing w:line="480" w:lineRule="auto"/>
      <w:jc w:val="left"/>
    </w:pPr>
    <w:rPr>
      <w:rFonts w:hAnsi="宋体"/>
    </w:rPr>
  </w:style>
  <w:style w:type="paragraph" w:customStyle="1" w:styleId="264">
    <w:name w:val="普通 (Web)"/>
    <w:basedOn w:val="1"/>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qFormat/>
    <w:uiPriority w:val="0"/>
    <w:rPr>
      <w:rFonts w:ascii="Tahoma" w:hAnsi="Tahoma"/>
    </w:rPr>
  </w:style>
  <w:style w:type="paragraph" w:customStyle="1" w:styleId="2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0">
    <w:name w:val="Normal_3"/>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qFormat/>
    <w:uiPriority w:val="0"/>
    <w:pPr>
      <w:tabs>
        <w:tab w:val="left" w:pos="709"/>
      </w:tabs>
      <w:adjustRightInd w:val="0"/>
      <w:ind w:left="709" w:hanging="709"/>
      <w:textAlignment w:val="baseline"/>
    </w:pPr>
    <w:rPr>
      <w:rFonts w:hAnsi="宋体"/>
    </w:rPr>
  </w:style>
  <w:style w:type="paragraph" w:customStyle="1" w:styleId="27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qFormat/>
    <w:uiPriority w:val="0"/>
    <w:rPr>
      <w:rFonts w:ascii="Calibri" w:hAnsi="Calibri"/>
      <w:kern w:val="2"/>
      <w:sz w:val="21"/>
      <w:szCs w:val="22"/>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qFormat/>
    <w:uiPriority w:val="0"/>
    <w:pPr>
      <w:widowControl/>
      <w:jc w:val="center"/>
    </w:pPr>
    <w:rPr>
      <w:b/>
      <w:sz w:val="36"/>
    </w:rPr>
  </w:style>
  <w:style w:type="paragraph" w:customStyle="1" w:styleId="277">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qFormat/>
    <w:locked/>
    <w:uiPriority w:val="0"/>
    <w:rPr>
      <w:rFonts w:eastAsia="宋体"/>
      <w:b/>
      <w:kern w:val="2"/>
      <w:sz w:val="28"/>
      <w:lang w:val="en-US" w:eastAsia="zh-CN" w:bidi="ar-SA"/>
    </w:rPr>
  </w:style>
  <w:style w:type="character" w:customStyle="1" w:styleId="279">
    <w:name w:val="页眉 字符"/>
    <w:qFormat/>
    <w:uiPriority w:val="0"/>
    <w:rPr>
      <w:kern w:val="2"/>
      <w:sz w:val="18"/>
      <w:szCs w:val="18"/>
    </w:rPr>
  </w:style>
  <w:style w:type="character" w:customStyle="1" w:styleId="280">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qFormat/>
    <w:uiPriority w:val="0"/>
    <w:pPr>
      <w:widowControl/>
      <w:spacing w:before="100" w:beforeAutospacing="1" w:after="100" w:afterAutospacing="1"/>
      <w:jc w:val="center"/>
    </w:pPr>
    <w:rPr>
      <w:rFonts w:hAnsi="宋体" w:cs="宋体"/>
      <w:szCs w:val="24"/>
    </w:rPr>
  </w:style>
  <w:style w:type="paragraph" w:customStyle="1" w:styleId="2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0">
    <w:name w:val="(符号)五标题1.1.1"/>
    <w:basedOn w:val="1"/>
    <w:qFormat/>
    <w:uiPriority w:val="0"/>
    <w:pPr>
      <w:numPr>
        <w:ilvl w:val="2"/>
        <w:numId w:val="2"/>
      </w:numPr>
      <w:spacing w:line="500" w:lineRule="exact"/>
    </w:pPr>
    <w:rPr>
      <w:rFonts w:ascii="宋体" w:hAnsi="Times New Roman" w:eastAsia="宋体" w:cs="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23634</Words>
  <Characters>24933</Characters>
  <Lines>144</Lines>
  <Paragraphs>40</Paragraphs>
  <TotalTime>0</TotalTime>
  <ScaleCrop>false</ScaleCrop>
  <LinksUpToDate>false</LinksUpToDate>
  <CharactersWithSpaces>26338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2020-05-26T06:49:00Z</cp:lastPrinted>
  <dcterms:modified xsi:type="dcterms:W3CDTF">2023-05-15T07:58:08Z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E82811BAC73B460492FA5805AC713E34</vt:lpwstr>
  </property>
</Properties>
</file>