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pacing w:val="-40"/>
          <w:sz w:val="52"/>
          <w:szCs w:val="52"/>
          <w:highlight w:val="none"/>
          <w:lang w:eastAsia="zh-CN"/>
        </w:rPr>
        <w:t>合肥香怡物业管理有限公司</w:t>
      </w: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left="1695" w:hanging="1695" w:hangingChars="50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2024合肥经开区香怡物业消防设施检测维修保养服务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GYGSZB-202401</w:t>
      </w:r>
      <w:r>
        <w:rPr>
          <w:rFonts w:hint="eastAsia" w:hAnsi="DotumChe" w:cs="宋体"/>
          <w:b/>
          <w:color w:val="000000"/>
          <w:spacing w:val="20"/>
          <w:sz w:val="32"/>
          <w:szCs w:val="32"/>
          <w:highlight w:val="none"/>
          <w:lang w:val="en-US" w:eastAsia="zh-CN"/>
        </w:rPr>
        <w:t>2</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5</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3"/>
          <w:color w:val="000000"/>
          <w:sz w:val="28"/>
          <w:szCs w:val="28"/>
          <w:highlight w:val="none"/>
          <w:u w:val="none"/>
        </w:rPr>
      </w:pPr>
      <w:bookmarkStart w:id="0" w:name="_Hlt533241375"/>
      <w:bookmarkEnd w:id="0"/>
      <w:bookmarkStart w:id="1" w:name="_Hlt526418134"/>
      <w:bookmarkEnd w:id="1"/>
      <w:bookmarkStart w:id="2" w:name="_Hlt519045295"/>
      <w:bookmarkEnd w:id="2"/>
      <w:r>
        <w:rPr>
          <w:rStyle w:val="73"/>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2"/>
      <w:bookmarkStart w:id="4" w:name="_Hlt527617983"/>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（以下简称</w:t>
      </w:r>
      <w:r>
        <w:rPr>
          <w:rFonts w:hint="eastAsia" w:hAnsi="宋体"/>
          <w:color w:val="000000"/>
          <w:szCs w:val="18"/>
          <w:highlight w:val="none"/>
          <w:lang w:eastAsia="zh-CN"/>
        </w:rPr>
        <w:t>香怡物业</w:t>
      </w:r>
      <w:r>
        <w:rPr>
          <w:rFonts w:hint="eastAsia" w:hAnsi="宋体"/>
          <w:color w:val="000000"/>
          <w:szCs w:val="18"/>
          <w:highlight w:val="none"/>
        </w:rPr>
        <w:t>）</w:t>
      </w:r>
      <w:r>
        <w:rPr>
          <w:rFonts w:hint="eastAsia" w:hAnsi="宋体" w:cs="宋体"/>
          <w:color w:val="000000"/>
          <w:highlight w:val="none"/>
        </w:rPr>
        <w:t>“</w:t>
      </w:r>
      <w:r>
        <w:rPr>
          <w:rFonts w:hint="eastAsia" w:hAnsi="宋体"/>
          <w:color w:val="000000"/>
          <w:szCs w:val="18"/>
          <w:highlight w:val="none"/>
          <w:lang w:val="en-US" w:eastAsia="zh-CN"/>
        </w:rPr>
        <w:t>2024合肥经开区香怡物业消防设施检测维修保养服务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GYGSZB-2024012</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2024合肥经开区香怡物业消防设施检测维修保养服务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（以下简称</w:t>
      </w:r>
      <w:r>
        <w:rPr>
          <w:rFonts w:hint="eastAsia" w:hAnsi="宋体"/>
          <w:color w:val="000000"/>
          <w:szCs w:val="18"/>
          <w:highlight w:val="none"/>
          <w:lang w:eastAsia="zh-CN"/>
        </w:rPr>
        <w:t>香怡物业</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int="eastAsia" w:hAnsi="宋体"/>
          <w:bCs/>
        </w:rPr>
      </w:pPr>
      <w:r>
        <w:rPr>
          <w:rFonts w:hint="eastAsia" w:hAnsi="宋体"/>
          <w:color w:val="000000"/>
          <w:szCs w:val="18"/>
          <w:highlight w:val="none"/>
        </w:rPr>
        <w:t>5、项目概况：</w:t>
      </w:r>
      <w:r>
        <w:rPr>
          <w:rFonts w:hint="eastAsia" w:ascii="宋体" w:hAnsi="宋体" w:eastAsia="宋体" w:cs="宋体"/>
          <w:bCs/>
          <w:sz w:val="24"/>
          <w:szCs w:val="24"/>
        </w:rPr>
        <w:t>本项目主要为合肥经开区香怡物业管理的民悦花园、海恒社区服务中心、近湖苑、天都苑、明珠广场停车场（北）提供消防设施检测维修保养服务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ascii="宋体" w:hAnsi="宋体" w:eastAsia="宋体" w:cs="宋体"/>
          <w:sz w:val="24"/>
          <w:szCs w:val="24"/>
        </w:rPr>
      </w:pPr>
      <w:r>
        <w:rPr>
          <w:rFonts w:hint="eastAsia" w:hAnsi="宋体"/>
          <w:szCs w:val="18"/>
          <w:highlight w:val="none"/>
        </w:rPr>
        <w:t>7、项目预算：</w:t>
      </w:r>
      <w:r>
        <w:rPr>
          <w:rFonts w:ascii="宋体" w:hAnsi="宋体" w:eastAsia="宋体" w:cs="宋体"/>
          <w:sz w:val="24"/>
          <w:szCs w:val="24"/>
        </w:rPr>
        <w:t xml:space="preserve">296259.00 </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1.满足《中华人民共和国政府采购法》第二十二条规定；</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2.具有</w:t>
      </w:r>
      <w:r>
        <w:rPr>
          <w:rFonts w:hint="eastAsia" w:hAnsi="宋体"/>
          <w:b w:val="0"/>
          <w:bCs w:val="0"/>
          <w:color w:val="000000"/>
          <w:szCs w:val="18"/>
          <w:highlight w:val="none"/>
          <w:lang w:val="en-US" w:eastAsia="zh-CN"/>
        </w:rPr>
        <w:t>消防设施维护保养检测或消防安全评估资质；</w:t>
      </w:r>
    </w:p>
    <w:p>
      <w:pPr>
        <w:autoSpaceDE w:val="0"/>
        <w:autoSpaceDN w:val="0"/>
        <w:adjustRightInd w:val="0"/>
        <w:spacing w:line="360" w:lineRule="auto"/>
        <w:ind w:firstLine="329" w:firstLineChars="150"/>
        <w:jc w:val="left"/>
        <w:rPr>
          <w:rFonts w:hint="eastAsia" w:hAnsi="宋体"/>
          <w:b w:val="0"/>
          <w:bCs w:val="0"/>
          <w:color w:val="000000"/>
          <w:szCs w:val="18"/>
          <w:highlight w:val="none"/>
          <w:lang w:val="en-US" w:eastAsia="zh-CN"/>
        </w:rPr>
      </w:pPr>
      <w:r>
        <w:rPr>
          <w:rFonts w:hint="eastAsia" w:hAnsi="宋体"/>
          <w:b w:val="0"/>
          <w:bCs w:val="0"/>
          <w:color w:val="000000"/>
          <w:szCs w:val="18"/>
          <w:highlight w:val="none"/>
          <w:lang w:val="en-US" w:eastAsia="zh-CN"/>
        </w:rPr>
        <w:t>3.</w:t>
      </w:r>
      <w:r>
        <w:rPr>
          <w:rFonts w:hint="eastAsia" w:hAnsi="宋体"/>
          <w:b w:val="0"/>
          <w:bCs w:val="0"/>
          <w:color w:val="000000"/>
          <w:szCs w:val="18"/>
          <w:highlight w:val="none"/>
        </w:rPr>
        <w:t>具有</w:t>
      </w:r>
      <w:r>
        <w:rPr>
          <w:rFonts w:hint="eastAsia" w:hAnsi="宋体"/>
          <w:b w:val="0"/>
          <w:bCs w:val="0"/>
          <w:color w:val="000000"/>
          <w:szCs w:val="18"/>
          <w:highlight w:val="none"/>
          <w:lang w:val="en-US" w:eastAsia="zh-CN"/>
        </w:rPr>
        <w:t>消防设施工工程专业承包资质。</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5</w:t>
      </w:r>
      <w:r>
        <w:rPr>
          <w:rFonts w:hint="eastAsia" w:hAnsi="宋体"/>
          <w:color w:val="auto"/>
          <w:szCs w:val="18"/>
          <w:highlight w:val="none"/>
        </w:rPr>
        <w:t>月</w:t>
      </w:r>
      <w:r>
        <w:rPr>
          <w:rFonts w:hint="eastAsia" w:hAnsi="宋体"/>
          <w:color w:val="auto"/>
          <w:szCs w:val="18"/>
          <w:highlight w:val="none"/>
          <w:lang w:val="en-US" w:eastAsia="zh-CN"/>
        </w:rPr>
        <w:t>23</w:t>
      </w:r>
      <w:r>
        <w:rPr>
          <w:rFonts w:hint="eastAsia" w:hAnsi="宋体"/>
          <w:color w:val="auto"/>
          <w:szCs w:val="18"/>
          <w:highlight w:val="none"/>
        </w:rPr>
        <w:t>日</w:t>
      </w:r>
      <w:r>
        <w:rPr>
          <w:rFonts w:hint="eastAsia" w:hAnsi="宋体"/>
          <w:color w:val="auto"/>
          <w:szCs w:val="18"/>
          <w:highlight w:val="none"/>
          <w:lang w:val="en-US" w:eastAsia="zh-CN"/>
        </w:rPr>
        <w:t xml:space="preserve"> 10</w:t>
      </w:r>
      <w:r>
        <w:rPr>
          <w:rFonts w:hint="eastAsia" w:hAnsi="宋体"/>
          <w:color w:val="auto"/>
          <w:szCs w:val="18"/>
          <w:highlight w:val="none"/>
        </w:rPr>
        <w:t>：</w:t>
      </w:r>
      <w:r>
        <w:rPr>
          <w:rFonts w:hint="eastAsia" w:hAnsi="宋体"/>
          <w:color w:val="auto"/>
          <w:szCs w:val="18"/>
          <w:highlight w:val="none"/>
          <w:lang w:val="en-US" w:eastAsia="zh-CN"/>
        </w:rPr>
        <w:t>00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w:t>
      </w:r>
      <w:bookmarkStart w:id="206" w:name="_GoBack"/>
      <w:bookmarkEnd w:id="206"/>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王</w:t>
      </w:r>
      <w:r>
        <w:rPr>
          <w:rFonts w:hint="eastAsia" w:hAnsi="宋体" w:cs="宋体"/>
          <w:highlight w:val="none"/>
        </w:rPr>
        <w:t>工   电话：0551-</w:t>
      </w:r>
      <w:r>
        <w:rPr>
          <w:rFonts w:hint="eastAsia" w:hAnsi="宋体" w:cs="宋体"/>
          <w:highlight w:val="none"/>
          <w:lang w:val="en-US" w:eastAsia="zh-CN"/>
        </w:rPr>
        <w:t>63812655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w:t>
      </w:r>
      <w:r>
        <w:rPr>
          <w:rFonts w:hint="eastAsia" w:hAnsi="宋体" w:cs="宋体"/>
          <w:highlight w:val="none"/>
          <w:lang w:eastAsia="zh-CN"/>
        </w:rPr>
        <w:t>香怡物业</w:t>
      </w:r>
      <w:r>
        <w:rPr>
          <w:rFonts w:hint="eastAsia" w:hAnsi="宋体" w:cs="宋体"/>
          <w:highlight w:val="none"/>
        </w:rPr>
        <w:t>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合肥香怡物业管理有限公司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2024合肥经开区香怡物业消防设施检测维修保养服务</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1.满足《中华人民共和国政府采购法》第二十二条规定；</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2.具有</w:t>
            </w:r>
            <w:r>
              <w:rPr>
                <w:rFonts w:hint="eastAsia" w:hAnsi="宋体"/>
                <w:b w:val="0"/>
                <w:bCs w:val="0"/>
                <w:color w:val="000000"/>
                <w:szCs w:val="18"/>
                <w:highlight w:val="none"/>
                <w:lang w:val="en-US" w:eastAsia="zh-CN"/>
              </w:rPr>
              <w:t>消防设施维护保养检测或消防安全评估资质；</w:t>
            </w:r>
          </w:p>
          <w:p>
            <w:pPr>
              <w:autoSpaceDE w:val="0"/>
              <w:autoSpaceDN w:val="0"/>
              <w:adjustRightInd w:val="0"/>
              <w:spacing w:line="360" w:lineRule="auto"/>
              <w:ind w:firstLine="329" w:firstLineChars="150"/>
              <w:jc w:val="left"/>
            </w:pPr>
            <w:r>
              <w:rPr>
                <w:rFonts w:hint="eastAsia" w:hAnsi="宋体"/>
                <w:b w:val="0"/>
                <w:bCs w:val="0"/>
                <w:color w:val="000000"/>
                <w:szCs w:val="18"/>
                <w:highlight w:val="none"/>
                <w:lang w:val="en-US" w:eastAsia="zh-CN"/>
              </w:rPr>
              <w:t>3.</w:t>
            </w:r>
            <w:r>
              <w:rPr>
                <w:rFonts w:hint="eastAsia" w:hAnsi="宋体"/>
                <w:b w:val="0"/>
                <w:bCs w:val="0"/>
                <w:color w:val="000000"/>
                <w:szCs w:val="18"/>
                <w:highlight w:val="none"/>
              </w:rPr>
              <w:t>具有</w:t>
            </w:r>
            <w:r>
              <w:rPr>
                <w:rFonts w:hint="eastAsia" w:hAnsi="宋体"/>
                <w:b w:val="0"/>
                <w:bCs w:val="0"/>
                <w:color w:val="000000"/>
                <w:szCs w:val="18"/>
                <w:highlight w:val="none"/>
                <w:lang w:val="en-US" w:eastAsia="zh-CN"/>
              </w:rPr>
              <w:t>消防设施工工程专业承包资质。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vAlign w:val="center"/>
          </w:tcPr>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服务费用按季度支付。招标人每月组织服务质量考核，根据考核结果，招标人于每季度首月支付上季度服务费用。</w:t>
            </w:r>
          </w:p>
          <w:p>
            <w:pPr>
              <w:autoSpaceDE w:val="0"/>
              <w:autoSpaceDN w:val="0"/>
              <w:adjustRightInd w:val="0"/>
              <w:spacing w:line="360" w:lineRule="auto"/>
              <w:jc w:val="left"/>
              <w:rPr>
                <w:rFonts w:hint="eastAsia" w:ascii="宋体" w:hAnsi="宋体" w:eastAsia="宋体" w:cs="Times New Roman"/>
                <w:sz w:val="24"/>
                <w:szCs w:val="24"/>
                <w:highlight w:val="none"/>
                <w:lang w:val="en-US" w:eastAsia="zh-CN"/>
              </w:rPr>
            </w:pPr>
            <w:r>
              <w:rPr>
                <w:rFonts w:hint="eastAsia" w:ascii="宋体" w:hAnsi="宋体" w:eastAsia="宋体" w:cs="宋体"/>
                <w:bCs/>
                <w:color w:val="auto"/>
                <w:sz w:val="24"/>
                <w:szCs w:val="24"/>
                <w:lang w:val="en-US" w:eastAsia="zh-CN"/>
              </w:rPr>
              <w:t>2.支付前，</w:t>
            </w:r>
            <w:r>
              <w:rPr>
                <w:rFonts w:hint="eastAsia" w:ascii="宋体" w:hAnsi="宋体" w:eastAsia="宋体" w:cs="宋体"/>
                <w:bCs/>
                <w:color w:val="auto"/>
                <w:sz w:val="24"/>
                <w:szCs w:val="24"/>
                <w:lang w:eastAsia="zh-CN"/>
              </w:rPr>
              <w:t>中标人</w:t>
            </w:r>
            <w:r>
              <w:rPr>
                <w:rFonts w:hint="eastAsia" w:ascii="宋体" w:hAnsi="宋体" w:eastAsia="宋体" w:cs="宋体"/>
                <w:bCs/>
                <w:color w:val="auto"/>
                <w:sz w:val="24"/>
                <w:szCs w:val="24"/>
              </w:rPr>
              <w:t>需开具</w:t>
            </w:r>
            <w:r>
              <w:rPr>
                <w:rFonts w:hint="eastAsia" w:ascii="宋体" w:hAnsi="宋体" w:eastAsia="宋体" w:cs="宋体"/>
                <w:bCs/>
                <w:color w:val="auto"/>
                <w:sz w:val="24"/>
                <w:szCs w:val="24"/>
                <w:lang w:val="en-US" w:eastAsia="zh-CN"/>
              </w:rPr>
              <w:t>对应金额</w:t>
            </w:r>
            <w:r>
              <w:rPr>
                <w:rFonts w:hint="eastAsia" w:ascii="宋体" w:hAnsi="宋体" w:eastAsia="宋体" w:cs="宋体"/>
                <w:bCs/>
                <w:color w:val="auto"/>
                <w:sz w:val="24"/>
                <w:szCs w:val="24"/>
              </w:rPr>
              <w:t>增值税专用发票。</w:t>
            </w:r>
          </w:p>
          <w:p>
            <w:pPr>
              <w:autoSpaceDE w:val="0"/>
              <w:autoSpaceDN w:val="0"/>
              <w:adjustRightInd w:val="0"/>
              <w:spacing w:line="360" w:lineRule="auto"/>
              <w:jc w:val="left"/>
              <w:rPr>
                <w:rFonts w:hint="eastAsia" w:ascii="宋体" w:hAnsi="Times New Roman" w:eastAsia="宋体" w:cs="Times New Roman"/>
                <w:sz w:val="24"/>
                <w:lang w:val="en-US" w:eastAsia="zh-CN" w:bidi="ar-SA"/>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highlight w:val="none"/>
              </w:rPr>
            </w:pPr>
            <w:r>
              <w:rPr>
                <w:rFonts w:hint="eastAsia" w:ascii="宋体" w:hAnsi="宋体" w:eastAsia="宋体" w:cs="宋体"/>
                <w:bCs/>
                <w:color w:val="auto"/>
                <w:sz w:val="24"/>
                <w:szCs w:val="24"/>
                <w:lang w:val="en-US" w:eastAsia="zh-CN"/>
              </w:rPr>
              <w:t xml:space="preserve">1、合同签订起一年。合同到期后，如考核合格、履约良好，在年度预算能保证的前提下，经双方同意，可续签下一年度合同，且续签合同金额不变，最多续签2次，合同一年一签。  </w:t>
            </w:r>
            <w:r>
              <w:rPr>
                <w:rFonts w:hint="eastAsia" w:hAnsi="宋体"/>
                <w:highlight w:val="none"/>
                <w:lang w:val="en-US" w:eastAsia="zh-CN"/>
              </w:rPr>
              <w:t>2</w:t>
            </w:r>
            <w:r>
              <w:rPr>
                <w:rFonts w:hint="eastAsia" w:hAnsi="宋体"/>
                <w:highlight w:val="none"/>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 xml:space="preserve">5 </w:t>
            </w:r>
            <w:r>
              <w:rPr>
                <w:rFonts w:hint="eastAsia" w:hAnsi="宋体"/>
                <w:b/>
                <w:bCs/>
                <w:color w:val="000000"/>
                <w:highlight w:val="none"/>
              </w:rPr>
              <w:t>月</w:t>
            </w:r>
            <w:r>
              <w:rPr>
                <w:rFonts w:hint="eastAsia" w:hAnsi="宋体"/>
                <w:b/>
                <w:bCs/>
                <w:color w:val="000000"/>
                <w:highlight w:val="none"/>
                <w:lang w:val="en-US" w:eastAsia="zh-CN"/>
              </w:rPr>
              <w:t xml:space="preserve"> 22</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lang w:eastAsia="zh-CN"/>
              </w:rPr>
              <w:t>香怡物业</w:t>
            </w:r>
            <w:r>
              <w:rPr>
                <w:rFonts w:hint="eastAsia" w:hAnsi="宋体"/>
                <w:bCs/>
                <w:color w:val="000000"/>
                <w:highlight w:val="none"/>
              </w:rPr>
              <w:t>对答疑进行的澄清、更正或更改，将在网站上及时发布，该公告内容为招标文件的组成部分，对供应商具有同样约束力效力。供应商应主动上网查询。</w:t>
            </w:r>
            <w:r>
              <w:rPr>
                <w:rFonts w:hint="eastAsia" w:hAnsi="宋体"/>
                <w:bCs/>
                <w:color w:val="000000"/>
                <w:highlight w:val="none"/>
                <w:lang w:eastAsia="zh-CN"/>
              </w:rPr>
              <w:t>香怡物业</w:t>
            </w:r>
            <w:r>
              <w:rPr>
                <w:rFonts w:hint="eastAsia" w:hAnsi="宋体"/>
                <w:bCs/>
                <w:color w:val="000000"/>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yellow"/>
                <w:lang w:val="en-US" w:eastAsia="zh-CN"/>
              </w:rPr>
              <w:t>综合评分</w:t>
            </w:r>
            <w:r>
              <w:rPr>
                <w:rFonts w:hint="eastAsia" w:hAnsi="宋体"/>
                <w:color w:val="000000"/>
                <w:highlight w:val="yellow"/>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955"/>
      <w:bookmarkEnd w:id="11"/>
      <w:bookmarkStart w:id="12" w:name="_Hlt509650126"/>
      <w:bookmarkEnd w:id="12"/>
      <w:bookmarkStart w:id="13" w:name="_Hlt526418143"/>
      <w:bookmarkEnd w:id="13"/>
      <w:bookmarkStart w:id="14" w:name="_Hlt509649998"/>
      <w:bookmarkEnd w:id="14"/>
      <w:bookmarkStart w:id="15" w:name="_Hlt509649722"/>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26418153"/>
      <w:bookmarkEnd w:id="18"/>
      <w:bookmarkStart w:id="19" w:name="_Hlt509650690"/>
      <w:bookmarkEnd w:id="19"/>
      <w:bookmarkStart w:id="20" w:name="_Hlt509650116"/>
      <w:bookmarkEnd w:id="20"/>
      <w:bookmarkStart w:id="21" w:name="_Hlt509650103"/>
      <w:bookmarkEnd w:id="21"/>
      <w:bookmarkStart w:id="22" w:name="_Hlt509649669"/>
      <w:bookmarkEnd w:id="22"/>
      <w:bookmarkStart w:id="23" w:name="_Hlt509649678"/>
      <w:bookmarkEnd w:id="23"/>
      <w:bookmarkStart w:id="24" w:name="_Hlt509650932"/>
      <w:bookmarkEnd w:id="24"/>
      <w:bookmarkStart w:id="25" w:name="_Hlt509650961"/>
      <w:bookmarkEnd w:id="25"/>
      <w:bookmarkStart w:id="26" w:name="_Hlt509649330"/>
      <w:bookmarkEnd w:id="26"/>
      <w:bookmarkStart w:id="27" w:name="_Hlt509650936"/>
      <w:bookmarkEnd w:id="27"/>
      <w:bookmarkStart w:id="28" w:name="_Hlt509649645"/>
      <w:bookmarkEnd w:id="28"/>
      <w:bookmarkStart w:id="29" w:name="_Hlt509650929"/>
      <w:bookmarkEnd w:id="29"/>
      <w:bookmarkStart w:id="30" w:name="_Hlt509650333"/>
      <w:bookmarkEnd w:id="30"/>
      <w:bookmarkStart w:id="31" w:name="_Hlt509649795"/>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合肥香怡物业管理有限公司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合肥香怡物业管理有限公司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合肥香怡物业管理有限公司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lang w:eastAsia="zh-CN"/>
        </w:rPr>
        <w:t>香怡物业</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lang w:eastAsia="zh-CN"/>
        </w:rPr>
        <w:t>香怡物业</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lang w:eastAsia="zh-CN"/>
        </w:rPr>
        <w:t>香怡物业</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6"/>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lang w:val="en-US" w:eastAsia="zh-CN"/>
        </w:rPr>
        <w:t>3</w:t>
      </w:r>
      <w:r>
        <w:rPr>
          <w:rFonts w:hint="eastAsia" w:hAnsi="宋体"/>
          <w:color w:val="000000"/>
          <w:highlight w:val="yellow"/>
          <w:u w:val="single"/>
        </w:rPr>
        <w:t>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w:t>
      </w:r>
      <w:r>
        <w:rPr>
          <w:rFonts w:hint="eastAsia" w:hAnsi="宋体"/>
          <w:color w:val="000000"/>
          <w:highlight w:val="none"/>
          <w:lang w:eastAsia="zh-CN"/>
        </w:rPr>
        <w:t>香怡物业</w:t>
      </w:r>
      <w:r>
        <w:rPr>
          <w:rFonts w:hint="eastAsia" w:hAnsi="宋体"/>
          <w:color w:val="000000"/>
          <w:highlight w:val="none"/>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w:t>
      </w:r>
      <w:r>
        <w:rPr>
          <w:rFonts w:hint="eastAsia" w:hAnsi="宋体"/>
          <w:color w:val="000000"/>
          <w:szCs w:val="24"/>
          <w:highlight w:val="none"/>
          <w:lang w:eastAsia="zh-CN"/>
        </w:rPr>
        <w:t>香怡物业</w:t>
      </w:r>
      <w:r>
        <w:rPr>
          <w:rFonts w:hint="eastAsia" w:hAnsi="宋体"/>
          <w:color w:val="000000"/>
          <w:szCs w:val="24"/>
          <w:highlight w:val="none"/>
        </w:rPr>
        <w:t>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1"/>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10342861"/>
      <w:bookmarkEnd w:id="50"/>
      <w:bookmarkStart w:id="51" w:name="_Hlt509649724"/>
      <w:bookmarkEnd w:id="51"/>
      <w:bookmarkStart w:id="52" w:name="_Hlt509650697"/>
      <w:bookmarkEnd w:id="52"/>
      <w:bookmarkStart w:id="53" w:name="_Toc427106476"/>
      <w:bookmarkStart w:id="54" w:name="_Toc527131321"/>
      <w:bookmarkStart w:id="55" w:name="_Toc463041898"/>
      <w:bookmarkStart w:id="56" w:name="_Toc427016287"/>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232"/>
      <w:bookmarkStart w:id="58" w:name="_Toc3029"/>
      <w:bookmarkStart w:id="59" w:name="_Toc24059"/>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2918"/>
      <w:bookmarkStart w:id="61" w:name="_Toc6311"/>
      <w:bookmarkStart w:id="62" w:name="_Toc6773"/>
      <w:bookmarkStart w:id="63" w:name="_Toc22185"/>
      <w:bookmarkStart w:id="64" w:name="_Toc185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1631"/>
      <w:bookmarkStart w:id="66" w:name="_Toc21551"/>
      <w:bookmarkStart w:id="67" w:name="_Toc23292"/>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22618"/>
      <w:bookmarkStart w:id="69" w:name="_Toc1814"/>
      <w:bookmarkStart w:id="70" w:name="_Toc10340"/>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32071"/>
      <w:bookmarkStart w:id="72" w:name="_Toc2846"/>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27250"/>
      <w:bookmarkStart w:id="75" w:name="_Toc21423"/>
      <w:bookmarkStart w:id="76" w:name="_Toc19554"/>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28375"/>
      <w:bookmarkStart w:id="78" w:name="_Toc15583"/>
      <w:bookmarkStart w:id="79" w:name="_Toc16021"/>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15322"/>
      <w:bookmarkStart w:id="81" w:name="_Toc7245"/>
      <w:bookmarkStart w:id="82" w:name="_Toc11173"/>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Toc259093669"/>
      <w:bookmarkStart w:id="85" w:name="_Ref467379214"/>
      <w:bookmarkStart w:id="86" w:name="_Ref467379094"/>
      <w:bookmarkStart w:id="87" w:name="_Ref467379101"/>
      <w:bookmarkStart w:id="88" w:name="_Ref467378499"/>
      <w:bookmarkStart w:id="89" w:name="_Toc19614"/>
      <w:bookmarkStart w:id="90" w:name="_Toc28763"/>
      <w:bookmarkStart w:id="91" w:name="_Ref467379195"/>
      <w:bookmarkStart w:id="92" w:name="_Ref467379225"/>
      <w:bookmarkStart w:id="93" w:name="_Ref467379205"/>
      <w:bookmarkStart w:id="94" w:name="_Ref467378463"/>
      <w:bookmarkStart w:id="95" w:name="_Toc16917"/>
      <w:bookmarkStart w:id="96" w:name="_Toc487900349"/>
      <w:bookmarkStart w:id="97" w:name="_Ref467379109"/>
      <w:bookmarkStart w:id="98" w:name="_Ref467378404"/>
      <w:bookmarkStart w:id="99" w:name="_Toc279701240"/>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279701241"/>
      <w:bookmarkStart w:id="104" w:name="_Toc259093670"/>
      <w:bookmarkStart w:id="105" w:name="_Toc13336"/>
      <w:bookmarkStart w:id="106" w:name="_Toc32504"/>
      <w:bookmarkStart w:id="107" w:name="_Toc487900350"/>
      <w:bookmarkStart w:id="108" w:name="_Toc27635"/>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9829"/>
      <w:bookmarkStart w:id="110" w:name="_Toc487900351"/>
      <w:bookmarkStart w:id="111" w:name="_Toc27853"/>
      <w:bookmarkStart w:id="112" w:name="_Toc279701242"/>
      <w:bookmarkStart w:id="113" w:name="_Toc259093671"/>
      <w:bookmarkStart w:id="114" w:name="_Toc31634"/>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9542"/>
      <w:bookmarkStart w:id="116" w:name="_Toc259093674"/>
      <w:bookmarkStart w:id="117" w:name="_Ref467379527"/>
      <w:bookmarkStart w:id="118" w:name="_Toc279701245"/>
      <w:bookmarkStart w:id="119" w:name="_Ref467379536"/>
      <w:bookmarkStart w:id="120" w:name="_Ref467378591"/>
      <w:bookmarkStart w:id="121" w:name="_Toc487900354"/>
      <w:bookmarkStart w:id="122" w:name="_Ref467378541"/>
      <w:bookmarkStart w:id="123" w:name="_Toc19074"/>
      <w:bookmarkStart w:id="124" w:name="_Toc26182"/>
      <w:bookmarkStart w:id="125" w:name="_Toc30272"/>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Toc259093676"/>
      <w:bookmarkStart w:id="128" w:name="_Ref467379793"/>
      <w:bookmarkStart w:id="129" w:name="_Toc487900357"/>
      <w:bookmarkStart w:id="130" w:name="_Toc279701247"/>
      <w:bookmarkStart w:id="131"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28451"/>
      <w:bookmarkStart w:id="134" w:name="_Toc7836"/>
      <w:bookmarkStart w:id="135" w:name="_Toc19219"/>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Ref467379863"/>
      <w:bookmarkStart w:id="137" w:name="_Ref467379852"/>
      <w:bookmarkStart w:id="138" w:name="_Toc259093677"/>
      <w:bookmarkStart w:id="139" w:name="_Ref467379923"/>
      <w:bookmarkStart w:id="140" w:name="_Toc487900358"/>
      <w:bookmarkStart w:id="141" w:name="_Toc279701248"/>
      <w:bookmarkStart w:id="142" w:name="_Toc774"/>
      <w:bookmarkStart w:id="143" w:name="_Toc16110"/>
      <w:bookmarkStart w:id="144" w:name="_Toc3225"/>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Toc487900364"/>
      <w:bookmarkStart w:id="149" w:name="_Toc279701254"/>
      <w:bookmarkStart w:id="150" w:name="_Ref467378121"/>
      <w:bookmarkStart w:id="151" w:name="_Toc259093683"/>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79701259"/>
      <w:bookmarkStart w:id="154" w:name="_Toc259093688"/>
    </w:p>
    <w:p>
      <w:pPr>
        <w:spacing w:line="360" w:lineRule="auto"/>
        <w:ind w:firstLine="437"/>
        <w:outlineLvl w:val="3"/>
        <w:rPr>
          <w:rFonts w:ascii="宋体" w:hAnsi="宋体" w:cs="@仿宋_GB2312"/>
          <w:b/>
          <w:bCs/>
          <w:color w:val="000000"/>
          <w:sz w:val="24"/>
          <w:szCs w:val="24"/>
          <w:highlight w:val="none"/>
          <w:lang w:val="zh-CN"/>
        </w:rPr>
      </w:pPr>
      <w:bookmarkStart w:id="155" w:name="_Toc22955"/>
      <w:bookmarkStart w:id="156" w:name="_Toc15237"/>
      <w:bookmarkStart w:id="157" w:name="_Toc10366"/>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6508"/>
      <w:bookmarkStart w:id="159" w:name="_Toc14066"/>
      <w:bookmarkStart w:id="160" w:name="_Toc135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30676"/>
      <w:bookmarkStart w:id="162" w:name="_Toc6969"/>
      <w:bookmarkStart w:id="163" w:name="_Toc689"/>
      <w:bookmarkStart w:id="164" w:name="_Toc259093684"/>
      <w:bookmarkStart w:id="165" w:name="_Toc487900365"/>
      <w:bookmarkStart w:id="166" w:name="_Toc279701255"/>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16959"/>
      <w:bookmarkStart w:id="168" w:name="_Toc487900368"/>
      <w:bookmarkStart w:id="169" w:name="_Toc279701258"/>
      <w:bookmarkStart w:id="170" w:name="_Toc8298"/>
      <w:bookmarkStart w:id="171" w:name="_Toc259093687"/>
      <w:bookmarkStart w:id="172" w:name="_Toc7102"/>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15387"/>
      <w:bookmarkStart w:id="174" w:name="_Toc29333"/>
      <w:bookmarkStart w:id="175" w:name="_Toc6134"/>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4563"/>
      <w:bookmarkStart w:id="177" w:name="_Toc1125"/>
      <w:bookmarkStart w:id="178" w:name="_Toc6596"/>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259093692"/>
      <w:bookmarkStart w:id="180" w:name="_Toc12773"/>
      <w:bookmarkStart w:id="181" w:name="_Toc279701263"/>
      <w:bookmarkStart w:id="182" w:name="_Toc10330"/>
      <w:bookmarkStart w:id="183" w:name="_Toc18567"/>
      <w:bookmarkStart w:id="184" w:name="_Toc48790037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279701264"/>
      <w:bookmarkStart w:id="186" w:name="_Toc3148"/>
      <w:bookmarkStart w:id="187" w:name="_Toc259093693"/>
      <w:bookmarkStart w:id="188" w:name="_Toc16673"/>
      <w:bookmarkStart w:id="189" w:name="_Toc12004"/>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6885"/>
      <w:bookmarkStart w:id="192" w:name="_Toc14001"/>
      <w:bookmarkStart w:id="193" w:name="_Toc19890"/>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4"/>
        <w:rPr>
          <w:rFonts w:hint="eastAsia" w:eastAsia="宋体"/>
          <w:lang w:val="en-US" w:eastAsia="zh-CN"/>
        </w:rPr>
      </w:pPr>
    </w:p>
    <w:p>
      <w:pPr>
        <w:pStyle w:val="36"/>
        <w:rPr>
          <w:rFonts w:hint="eastAsia"/>
          <w:lang w:val="en-US" w:eastAsia="zh-CN"/>
        </w:rPr>
      </w:pPr>
    </w:p>
    <w:p>
      <w:pPr>
        <w:rPr>
          <w:rFonts w:hint="eastAsia" w:hAnsi="宋体"/>
          <w:color w:val="000000"/>
          <w:highlight w:val="yellow"/>
        </w:rPr>
      </w:pPr>
      <w:bookmarkStart w:id="195" w:name="_Toc527131323"/>
      <w:bookmarkStart w:id="196" w:name="_Toc527117258"/>
    </w:p>
    <w:bookmarkEnd w:id="195"/>
    <w:bookmarkEnd w:id="196"/>
    <w:p>
      <w:pPr>
        <w:spacing w:line="360" w:lineRule="auto"/>
        <w:jc w:val="center"/>
        <w:outlineLvl w:val="1"/>
        <w:rPr>
          <w:rFonts w:ascii="宋体" w:hAnsi="宋体" w:eastAsia="宋体" w:cs="@仿宋_GB2312"/>
          <w:b/>
          <w:sz w:val="28"/>
          <w:szCs w:val="20"/>
        </w:rPr>
      </w:pPr>
      <w:bookmarkStart w:id="197" w:name="_Toc438648630"/>
      <w:bookmarkStart w:id="198" w:name="_Toc433835936"/>
      <w:r>
        <w:rPr>
          <w:rFonts w:hint="eastAsia" w:ascii="宋体" w:hAnsi="宋体" w:eastAsia="宋体" w:cs="@仿宋_GB2312"/>
          <w:b/>
          <w:sz w:val="28"/>
          <w:szCs w:val="20"/>
        </w:rPr>
        <w:t>采购需求</w:t>
      </w:r>
    </w:p>
    <w:p>
      <w:pPr>
        <w:spacing w:line="360" w:lineRule="auto"/>
        <w:rPr>
          <w:rFonts w:ascii="宋体" w:hAnsi="宋体" w:eastAsia="宋体" w:cs="宋体"/>
          <w:b/>
          <w:sz w:val="24"/>
          <w:szCs w:val="20"/>
        </w:rPr>
      </w:pPr>
      <w:r>
        <w:rPr>
          <w:rFonts w:hint="eastAsia" w:ascii="宋体" w:hAnsi="宋体" w:eastAsia="宋体" w:cs="宋体"/>
          <w:b/>
          <w:sz w:val="24"/>
          <w:szCs w:val="20"/>
        </w:rPr>
        <w:t>前注：</w:t>
      </w:r>
    </w:p>
    <w:p>
      <w:pPr>
        <w:spacing w:line="360" w:lineRule="auto"/>
        <w:ind w:firstLine="438" w:firstLineChars="200"/>
        <w:rPr>
          <w:rFonts w:ascii="宋体" w:hAnsi="宋体" w:eastAsia="宋体" w:cs="宋体"/>
          <w:bCs/>
          <w:sz w:val="24"/>
          <w:szCs w:val="20"/>
        </w:rPr>
      </w:pPr>
      <w:r>
        <w:rPr>
          <w:rFonts w:hint="eastAsia" w:ascii="宋体" w:hAnsi="宋体" w:eastAsia="宋体" w:cs="宋体"/>
          <w:bCs/>
          <w:sz w:val="24"/>
          <w:szCs w:val="20"/>
        </w:rPr>
        <w:t>本采购需求中提出的服务方案仅为参考，如无明确限制，供应商可以进行优化，提供满足采购人实际需要的更优（或者性能实质上不低于的）服务方案，且此方案须经采购小组评审认可。</w:t>
      </w:r>
    </w:p>
    <w:p>
      <w:pPr>
        <w:spacing w:line="360" w:lineRule="auto"/>
        <w:ind w:firstLine="435"/>
        <w:outlineLvl w:val="1"/>
        <w:rPr>
          <w:rFonts w:ascii="宋体" w:hAnsi="宋体" w:eastAsia="宋体" w:cs="宋体"/>
          <w:b/>
          <w:sz w:val="24"/>
          <w:szCs w:val="24"/>
        </w:rPr>
      </w:pPr>
      <w:r>
        <w:rPr>
          <w:rFonts w:hint="eastAsia" w:ascii="宋体" w:hAnsi="宋体" w:eastAsia="宋体" w:cs="宋体"/>
          <w:b/>
          <w:sz w:val="24"/>
          <w:szCs w:val="24"/>
        </w:rPr>
        <w:t>一、采购需求前附表</w:t>
      </w:r>
    </w:p>
    <w:tbl>
      <w:tblPr>
        <w:tblStyle w:val="64"/>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191"/>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7" w:type="pct"/>
            <w:vAlign w:val="center"/>
          </w:tcPr>
          <w:p>
            <w:pPr>
              <w:spacing w:line="360" w:lineRule="auto"/>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145" w:type="pct"/>
            <w:vAlign w:val="center"/>
          </w:tcPr>
          <w:p>
            <w:pPr>
              <w:spacing w:line="360" w:lineRule="auto"/>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条款名称</w:t>
            </w:r>
          </w:p>
        </w:tc>
        <w:tc>
          <w:tcPr>
            <w:tcW w:w="3287" w:type="pct"/>
            <w:vAlign w:val="center"/>
          </w:tcPr>
          <w:p>
            <w:pPr>
              <w:spacing w:line="360" w:lineRule="auto"/>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7" w:type="pct"/>
            <w:vAlign w:val="center"/>
          </w:tcPr>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p>
        </w:tc>
        <w:tc>
          <w:tcPr>
            <w:tcW w:w="1145" w:type="pct"/>
            <w:vAlign w:val="center"/>
          </w:tcPr>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付款方式</w:t>
            </w:r>
          </w:p>
        </w:tc>
        <w:tc>
          <w:tcPr>
            <w:tcW w:w="3287" w:type="pct"/>
            <w:vAlign w:val="center"/>
          </w:tcPr>
          <w:p>
            <w:pPr>
              <w:spacing w:line="360" w:lineRule="auto"/>
              <w:rPr>
                <w:rFonts w:ascii="宋体" w:hAnsi="宋体" w:eastAsia="宋体" w:cs="宋体"/>
                <w:bCs/>
                <w:sz w:val="24"/>
                <w:szCs w:val="24"/>
              </w:rPr>
            </w:pPr>
            <w:r>
              <w:rPr>
                <w:rFonts w:hint="eastAsia" w:ascii="宋体" w:hAnsi="宋体" w:eastAsia="宋体" w:cs="宋体"/>
                <w:bCs/>
                <w:sz w:val="24"/>
                <w:szCs w:val="24"/>
              </w:rPr>
              <w:t>1、服务费用按季度支付。采购人每月组织服务质量考核，根据考核结果和实际维保时间及实际使用配件据实结算，采购人于每季度首月支付上季度服务费用。</w:t>
            </w:r>
          </w:p>
          <w:p>
            <w:pPr>
              <w:spacing w:line="360" w:lineRule="auto"/>
              <w:rPr>
                <w:rFonts w:ascii="宋体" w:hAnsi="宋体" w:eastAsia="宋体" w:cs="宋体"/>
                <w:bCs/>
                <w:sz w:val="24"/>
                <w:szCs w:val="24"/>
              </w:rPr>
            </w:pPr>
            <w:r>
              <w:rPr>
                <w:rFonts w:hint="eastAsia" w:ascii="宋体" w:hAnsi="宋体" w:eastAsia="宋体" w:cs="宋体"/>
                <w:bCs/>
                <w:sz w:val="24"/>
                <w:szCs w:val="24"/>
              </w:rPr>
              <w:t>2、支付前，中标人需开具对应金额增值税专用发票。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67" w:type="pct"/>
            <w:vAlign w:val="center"/>
          </w:tcPr>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w:t>
            </w:r>
          </w:p>
        </w:tc>
        <w:tc>
          <w:tcPr>
            <w:tcW w:w="1145" w:type="pct"/>
            <w:vAlign w:val="center"/>
          </w:tcPr>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服务地点</w:t>
            </w:r>
          </w:p>
        </w:tc>
        <w:tc>
          <w:tcPr>
            <w:tcW w:w="3287" w:type="pct"/>
            <w:vAlign w:val="center"/>
          </w:tcPr>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合肥经开区，招标人指定地点。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7" w:type="pct"/>
            <w:vAlign w:val="center"/>
          </w:tcPr>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w:t>
            </w:r>
          </w:p>
        </w:tc>
        <w:tc>
          <w:tcPr>
            <w:tcW w:w="1145" w:type="pct"/>
            <w:vAlign w:val="center"/>
          </w:tcPr>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服务期限</w:t>
            </w:r>
          </w:p>
        </w:tc>
        <w:tc>
          <w:tcPr>
            <w:tcW w:w="3287" w:type="pct"/>
            <w:vAlign w:val="center"/>
          </w:tcPr>
          <w:p>
            <w:pPr>
              <w:spacing w:line="360" w:lineRule="auto"/>
              <w:rPr>
                <w:rFonts w:ascii="宋体" w:hAnsi="宋体" w:eastAsia="宋体" w:cs="宋体"/>
                <w:bCs/>
                <w:sz w:val="24"/>
                <w:szCs w:val="24"/>
              </w:rPr>
            </w:pPr>
            <w:r>
              <w:rPr>
                <w:rFonts w:hint="eastAsia" w:ascii="宋体" w:hAnsi="宋体" w:eastAsia="宋体" w:cs="宋体"/>
                <w:bCs/>
                <w:sz w:val="24"/>
                <w:szCs w:val="24"/>
              </w:rPr>
              <w:t xml:space="preserve">合同签订后一年。合同到期后，如考核合格、履约良好，在年度预算能保证的前提下，经双方同意，可续签下一年度合同，且续签合同金额不变，最多续签2次，合同一年一签。  </w:t>
            </w:r>
          </w:p>
        </w:tc>
      </w:tr>
    </w:tbl>
    <w:p>
      <w:pPr>
        <w:spacing w:line="360" w:lineRule="auto"/>
        <w:ind w:firstLine="435"/>
        <w:outlineLvl w:val="1"/>
        <w:rPr>
          <w:rFonts w:ascii="宋体" w:hAnsi="宋体" w:eastAsia="宋体" w:cs="宋体"/>
          <w:b/>
          <w:sz w:val="24"/>
          <w:szCs w:val="24"/>
        </w:rPr>
      </w:pPr>
      <w:r>
        <w:rPr>
          <w:rFonts w:hint="eastAsia" w:ascii="宋体" w:hAnsi="宋体" w:eastAsia="宋体" w:cs="宋体"/>
          <w:b/>
          <w:sz w:val="24"/>
          <w:szCs w:val="24"/>
        </w:rPr>
        <w:t>二、项目概况</w:t>
      </w:r>
    </w:p>
    <w:p>
      <w:pPr>
        <w:spacing w:line="360" w:lineRule="auto"/>
        <w:ind w:firstLine="438" w:firstLineChars="200"/>
        <w:rPr>
          <w:rFonts w:hint="eastAsia" w:ascii="宋体" w:hAnsi="宋体" w:eastAsia="宋体" w:cs="宋体"/>
          <w:bCs/>
          <w:sz w:val="24"/>
          <w:szCs w:val="24"/>
          <w:lang w:eastAsia="zh-CN"/>
        </w:rPr>
      </w:pPr>
      <w:r>
        <w:rPr>
          <w:rFonts w:hint="eastAsia" w:ascii="宋体" w:hAnsi="宋体" w:eastAsia="宋体" w:cs="宋体"/>
          <w:bCs/>
          <w:sz w:val="24"/>
          <w:szCs w:val="24"/>
        </w:rPr>
        <w:t>1.项目情况：本项目主要为合肥经开区香怡物业管理的</w:t>
      </w:r>
      <w:r>
        <w:rPr>
          <w:rFonts w:hint="eastAsia" w:ascii="宋体" w:hAnsi="宋体" w:eastAsia="宋体" w:cs="宋体"/>
          <w:bCs/>
          <w:sz w:val="24"/>
          <w:szCs w:val="24"/>
          <w:lang w:val="en-US" w:eastAsia="zh-CN"/>
        </w:rPr>
        <w:t>民</w:t>
      </w:r>
      <w:r>
        <w:rPr>
          <w:rFonts w:hint="default" w:ascii="宋体" w:hAnsi="宋体" w:eastAsia="宋体" w:cs="宋体"/>
          <w:bCs/>
          <w:sz w:val="24"/>
          <w:szCs w:val="24"/>
          <w:lang w:val="en-US" w:eastAsia="zh-CN"/>
        </w:rPr>
        <w:t>悦花园</w:t>
      </w:r>
      <w:r>
        <w:rPr>
          <w:rFonts w:hint="eastAsia" w:ascii="宋体" w:hAnsi="宋体" w:eastAsia="宋体" w:cs="宋体"/>
          <w:bCs/>
          <w:sz w:val="24"/>
          <w:szCs w:val="24"/>
          <w:lang w:val="en-US" w:eastAsia="zh-CN"/>
        </w:rPr>
        <w:t>、海恒</w:t>
      </w:r>
      <w:r>
        <w:rPr>
          <w:rFonts w:hint="eastAsia" w:ascii="宋体" w:hAnsi="宋体" w:eastAsia="宋体" w:cs="宋体"/>
          <w:bCs/>
          <w:sz w:val="24"/>
          <w:szCs w:val="24"/>
          <w:highlight w:val="none"/>
          <w:lang w:val="en-US" w:eastAsia="zh-CN"/>
        </w:rPr>
        <w:t>社区服务中心、</w:t>
      </w:r>
      <w:r>
        <w:rPr>
          <w:rFonts w:hint="default" w:ascii="宋体" w:hAnsi="宋体" w:eastAsia="宋体" w:cs="宋体"/>
          <w:bCs/>
          <w:sz w:val="24"/>
          <w:szCs w:val="24"/>
          <w:highlight w:val="none"/>
          <w:lang w:val="en-US" w:eastAsia="zh-CN"/>
        </w:rPr>
        <w:t>近湖苑</w:t>
      </w:r>
      <w:r>
        <w:rPr>
          <w:rFonts w:hint="eastAsia" w:ascii="宋体" w:hAnsi="宋体" w:eastAsia="宋体" w:cs="宋体"/>
          <w:bCs/>
          <w:sz w:val="24"/>
          <w:szCs w:val="24"/>
          <w:highlight w:val="none"/>
          <w:lang w:val="en-US" w:eastAsia="zh-CN"/>
        </w:rPr>
        <w:t>、</w:t>
      </w:r>
      <w:r>
        <w:rPr>
          <w:rFonts w:hint="default" w:ascii="宋体" w:hAnsi="宋体" w:eastAsia="宋体" w:cs="宋体"/>
          <w:bCs/>
          <w:sz w:val="24"/>
          <w:szCs w:val="24"/>
          <w:highlight w:val="none"/>
          <w:lang w:val="en-US" w:eastAsia="zh-CN"/>
        </w:rPr>
        <w:t>天都苑</w:t>
      </w:r>
      <w:r>
        <w:rPr>
          <w:rFonts w:hint="eastAsia" w:ascii="宋体" w:hAnsi="宋体" w:eastAsia="宋体" w:cs="宋体"/>
          <w:bCs/>
          <w:sz w:val="24"/>
          <w:szCs w:val="24"/>
          <w:highlight w:val="none"/>
          <w:lang w:val="en-US" w:eastAsia="zh-CN"/>
        </w:rPr>
        <w:t>、明珠广场停车场（北）</w:t>
      </w:r>
      <w:r>
        <w:rPr>
          <w:rFonts w:hint="eastAsia" w:ascii="宋体" w:hAnsi="宋体" w:eastAsia="宋体" w:cs="宋体"/>
          <w:bCs/>
          <w:sz w:val="24"/>
          <w:szCs w:val="24"/>
          <w:highlight w:val="none"/>
        </w:rPr>
        <w:t>提供消防设施检测维修保养服务。</w:t>
      </w:r>
      <w:r>
        <w:rPr>
          <w:rFonts w:hint="eastAsia" w:ascii="宋体" w:hAnsi="宋体" w:eastAsia="宋体" w:cs="宋体"/>
          <w:bCs/>
          <w:sz w:val="24"/>
          <w:szCs w:val="24"/>
          <w:highlight w:val="none"/>
          <w:lang w:eastAsia="zh-CN"/>
        </w:rPr>
        <w:t>其中</w:t>
      </w:r>
      <w:r>
        <w:rPr>
          <w:rFonts w:hint="eastAsia" w:ascii="宋体" w:hAnsi="宋体" w:eastAsia="宋体" w:cs="宋体"/>
          <w:bCs/>
          <w:sz w:val="24"/>
          <w:szCs w:val="24"/>
          <w:highlight w:val="none"/>
          <w:lang w:val="en-US" w:eastAsia="zh-CN"/>
        </w:rPr>
        <w:t>民</w:t>
      </w:r>
      <w:r>
        <w:rPr>
          <w:rFonts w:hint="default" w:ascii="宋体" w:hAnsi="宋体" w:eastAsia="宋体" w:cs="宋体"/>
          <w:bCs/>
          <w:sz w:val="24"/>
          <w:szCs w:val="24"/>
          <w:lang w:val="en-US" w:eastAsia="zh-CN"/>
        </w:rPr>
        <w:t>悦花园</w:t>
      </w:r>
      <w:r>
        <w:rPr>
          <w:rFonts w:hint="eastAsia" w:ascii="宋体" w:hAnsi="宋体" w:eastAsia="宋体" w:cs="宋体"/>
          <w:bCs/>
          <w:sz w:val="24"/>
          <w:szCs w:val="24"/>
          <w:lang w:val="en-US" w:eastAsia="zh-CN"/>
        </w:rPr>
        <w:t>建筑面积约22万平方米，海恒社区服务中心建筑面积约1.75万平方米，近湖苑建筑面积约15.1万平方米，天都苑建筑面积约12.3万平方米，</w:t>
      </w:r>
      <w:r>
        <w:rPr>
          <w:rFonts w:hint="eastAsia" w:ascii="宋体" w:hAnsi="宋体" w:eastAsia="宋体" w:cs="宋体"/>
          <w:bCs/>
          <w:sz w:val="24"/>
          <w:szCs w:val="24"/>
          <w:highlight w:val="none"/>
          <w:lang w:val="en-US" w:eastAsia="zh-CN"/>
        </w:rPr>
        <w:t>明珠广场停车场（北）</w:t>
      </w:r>
      <w:r>
        <w:rPr>
          <w:rFonts w:hint="eastAsia" w:ascii="宋体" w:hAnsi="宋体" w:eastAsia="宋体" w:cs="宋体"/>
          <w:bCs/>
          <w:sz w:val="24"/>
          <w:szCs w:val="24"/>
          <w:lang w:val="en-US" w:eastAsia="zh-CN"/>
        </w:rPr>
        <w:t>建筑面积约</w:t>
      </w:r>
      <w:r>
        <w:rPr>
          <w:rFonts w:hint="eastAsia" w:ascii="宋体" w:hAnsi="宋体" w:eastAsia="宋体" w:cs="宋体"/>
          <w:bCs/>
          <w:sz w:val="24"/>
          <w:szCs w:val="24"/>
          <w:highlight w:val="none"/>
          <w:lang w:val="en-US" w:eastAsia="zh-CN"/>
        </w:rPr>
        <w:t>1.43</w:t>
      </w:r>
      <w:r>
        <w:rPr>
          <w:rFonts w:hint="eastAsia" w:ascii="宋体" w:hAnsi="宋体" w:eastAsia="宋体" w:cs="宋体"/>
          <w:bCs/>
          <w:sz w:val="24"/>
          <w:szCs w:val="24"/>
          <w:lang w:val="en-US" w:eastAsia="zh-CN"/>
        </w:rPr>
        <w:t>万平方米</w:t>
      </w:r>
      <w:r>
        <w:rPr>
          <w:rFonts w:hint="eastAsia" w:ascii="宋体" w:hAnsi="宋体" w:eastAsia="宋体" w:cs="宋体"/>
          <w:bCs/>
          <w:sz w:val="24"/>
          <w:szCs w:val="24"/>
          <w:lang w:eastAsia="zh-CN"/>
        </w:rPr>
        <w:t>。</w:t>
      </w:r>
    </w:p>
    <w:p>
      <w:pPr>
        <w:spacing w:line="360" w:lineRule="auto"/>
        <w:ind w:firstLine="438" w:firstLineChars="200"/>
        <w:rPr>
          <w:rFonts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投标人自行勘探现场，以便投标人获得有关投标文件编制和签署合同所需的进一步的资料。投标人踏勘现场自行得出的结论和解释由其自己负责，采购人不因此承担任何责任。现场踏勘的交通、食宿等由投标人自行安排，费用自理。</w:t>
      </w:r>
    </w:p>
    <w:p>
      <w:pPr>
        <w:spacing w:line="360" w:lineRule="auto"/>
        <w:ind w:firstLine="438" w:firstLineChars="200"/>
        <w:rPr>
          <w:rFonts w:ascii="宋体" w:hAnsi="宋体" w:eastAsia="宋体" w:cs="@仿宋_GB2312"/>
          <w:b/>
          <w:bCs/>
          <w:sz w:val="24"/>
          <w:szCs w:val="18"/>
        </w:rPr>
      </w:pPr>
      <w:r>
        <w:rPr>
          <w:rFonts w:hint="eastAsia" w:ascii="宋体" w:hAnsi="宋体" w:eastAsia="宋体" w:cs="@仿宋_GB2312"/>
          <w:b/>
          <w:bCs/>
          <w:sz w:val="24"/>
          <w:szCs w:val="18"/>
        </w:rPr>
        <w:t>三、服务需求</w:t>
      </w:r>
    </w:p>
    <w:p>
      <w:pPr>
        <w:spacing w:line="360" w:lineRule="auto"/>
        <w:ind w:firstLine="438" w:firstLineChars="200"/>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lang w:eastAsia="zh-CN"/>
        </w:rPr>
        <w:t>进场</w:t>
      </w:r>
      <w:r>
        <w:rPr>
          <w:rFonts w:hint="eastAsia" w:ascii="宋体" w:hAnsi="宋体" w:eastAsia="宋体" w:cs="宋体"/>
          <w:b/>
          <w:bCs w:val="0"/>
          <w:sz w:val="24"/>
          <w:szCs w:val="24"/>
        </w:rPr>
        <w:t>检测要求</w:t>
      </w:r>
    </w:p>
    <w:p>
      <w:pPr>
        <w:spacing w:line="360" w:lineRule="auto"/>
        <w:ind w:firstLine="438"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进场</w:t>
      </w:r>
      <w:r>
        <w:rPr>
          <w:rFonts w:hint="eastAsia" w:ascii="宋体" w:hAnsi="宋体" w:eastAsia="宋体" w:cs="宋体"/>
          <w:bCs/>
          <w:color w:val="auto"/>
          <w:sz w:val="24"/>
          <w:szCs w:val="24"/>
          <w:highlight w:val="none"/>
        </w:rPr>
        <w:t>检测要求：</w:t>
      </w:r>
      <w:r>
        <w:rPr>
          <w:rFonts w:hint="eastAsia" w:ascii="宋体" w:hAnsi="宋体" w:eastAsia="宋体" w:cs="宋体"/>
          <w:bCs/>
          <w:color w:val="auto"/>
          <w:sz w:val="24"/>
          <w:szCs w:val="24"/>
          <w:highlight w:val="none"/>
          <w:lang w:eastAsia="zh-CN"/>
        </w:rPr>
        <w:t>采购人按现状移交中标人进行维修、维护；中标人进场时</w:t>
      </w:r>
      <w:r>
        <w:rPr>
          <w:rFonts w:hint="eastAsia" w:ascii="宋体" w:hAnsi="宋体" w:eastAsia="宋体" w:cs="宋体"/>
          <w:bCs/>
          <w:color w:val="auto"/>
          <w:sz w:val="24"/>
          <w:szCs w:val="24"/>
          <w:highlight w:val="none"/>
        </w:rPr>
        <w:t>负责对</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建筑消防设施进行检测</w:t>
      </w:r>
      <w:r>
        <w:rPr>
          <w:rFonts w:hint="eastAsia" w:ascii="宋体" w:hAnsi="宋体" w:eastAsia="宋体" w:cs="宋体"/>
          <w:bCs/>
          <w:color w:val="auto"/>
          <w:sz w:val="24"/>
          <w:szCs w:val="24"/>
          <w:highlight w:val="none"/>
          <w:lang w:eastAsia="zh-CN"/>
        </w:rPr>
        <w:t>、维修、保养，确保消防设施设备符合规范使用标准并正常使用。</w:t>
      </w:r>
    </w:p>
    <w:p>
      <w:pPr>
        <w:spacing w:line="360" w:lineRule="auto"/>
        <w:ind w:firstLine="438"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2.日常</w:t>
      </w:r>
      <w:r>
        <w:rPr>
          <w:rFonts w:hint="eastAsia" w:ascii="宋体" w:hAnsi="宋体" w:eastAsia="宋体" w:cs="宋体"/>
          <w:b/>
          <w:bCs w:val="0"/>
          <w:color w:val="auto"/>
          <w:sz w:val="24"/>
          <w:szCs w:val="24"/>
          <w:highlight w:val="none"/>
        </w:rPr>
        <w:t>维护保养</w:t>
      </w:r>
    </w:p>
    <w:p>
      <w:pPr>
        <w:spacing w:line="360" w:lineRule="auto"/>
        <w:ind w:firstLine="438"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中标人负责对</w:t>
      </w:r>
      <w:r>
        <w:rPr>
          <w:rFonts w:hint="eastAsia" w:ascii="宋体" w:hAnsi="宋体" w:eastAsia="宋体" w:cs="宋体"/>
          <w:bCs/>
          <w:color w:val="auto"/>
          <w:sz w:val="24"/>
          <w:szCs w:val="24"/>
          <w:highlight w:val="none"/>
        </w:rPr>
        <w:t>火灾自动报警系统、消防联动控制系统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自动喷</w:t>
      </w:r>
      <w:r>
        <w:rPr>
          <w:rFonts w:hint="eastAsia" w:ascii="宋体" w:hAnsi="宋体" w:eastAsia="宋体" w:cs="宋体"/>
          <w:bCs/>
          <w:color w:val="auto"/>
          <w:sz w:val="24"/>
          <w:szCs w:val="24"/>
          <w:highlight w:val="none"/>
          <w:lang w:eastAsia="zh-CN"/>
        </w:rPr>
        <w:t>水</w:t>
      </w:r>
      <w:r>
        <w:rPr>
          <w:rFonts w:hint="eastAsia" w:ascii="宋体" w:hAnsi="宋体" w:eastAsia="宋体" w:cs="宋体"/>
          <w:bCs/>
          <w:color w:val="auto"/>
          <w:sz w:val="24"/>
          <w:szCs w:val="24"/>
          <w:highlight w:val="none"/>
        </w:rPr>
        <w:t>灭火系统、</w:t>
      </w:r>
      <w:r>
        <w:rPr>
          <w:rFonts w:hint="eastAsia" w:ascii="宋体" w:hAnsi="宋体" w:eastAsia="宋体" w:cs="宋体"/>
          <w:bCs/>
          <w:color w:val="auto"/>
          <w:sz w:val="24"/>
          <w:szCs w:val="24"/>
          <w:highlight w:val="none"/>
          <w:lang w:eastAsia="zh-CN"/>
        </w:rPr>
        <w:t>机械防排烟系统</w:t>
      </w:r>
      <w:r>
        <w:rPr>
          <w:rFonts w:hint="eastAsia" w:ascii="宋体" w:hAnsi="宋体" w:eastAsia="宋体" w:cs="宋体"/>
          <w:bCs/>
          <w:color w:val="auto"/>
          <w:sz w:val="24"/>
          <w:szCs w:val="24"/>
          <w:highlight w:val="none"/>
        </w:rPr>
        <w:t>、消火栓系统、消防电梯、消防电话</w:t>
      </w:r>
      <w:r>
        <w:rPr>
          <w:rFonts w:hint="eastAsia" w:ascii="宋体" w:hAnsi="宋体" w:eastAsia="宋体" w:cs="宋体"/>
          <w:bCs/>
          <w:color w:val="auto"/>
          <w:sz w:val="24"/>
          <w:szCs w:val="24"/>
          <w:highlight w:val="none"/>
          <w:lang w:eastAsia="zh-CN"/>
        </w:rPr>
        <w:t>、防火分隔系统、</w:t>
      </w:r>
      <w:r>
        <w:rPr>
          <w:rFonts w:hint="eastAsia" w:ascii="宋体" w:hAnsi="宋体" w:eastAsia="宋体" w:cs="宋体"/>
          <w:bCs/>
          <w:color w:val="auto"/>
          <w:sz w:val="24"/>
          <w:szCs w:val="24"/>
          <w:highlight w:val="none"/>
        </w:rPr>
        <w:t>应急照明和疏散指示系统、气体灭火系统</w:t>
      </w:r>
      <w:r>
        <w:rPr>
          <w:rFonts w:hint="eastAsia" w:ascii="宋体" w:hAnsi="宋体" w:eastAsia="宋体" w:cs="宋体"/>
          <w:bCs/>
          <w:color w:val="auto"/>
          <w:sz w:val="24"/>
          <w:szCs w:val="24"/>
          <w:highlight w:val="none"/>
          <w:lang w:eastAsia="zh-CN"/>
        </w:rPr>
        <w:t>、电气火灾监控系统等进行检测、维保、维修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并提供月度、季度、年度各消防系统的测试报告。</w:t>
      </w:r>
    </w:p>
    <w:p>
      <w:pPr>
        <w:spacing w:line="360" w:lineRule="auto"/>
        <w:ind w:firstLine="438"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消防供配电设施、强电电缆电线、各类电机及控制柜由</w:t>
      </w:r>
      <w:r>
        <w:rPr>
          <w:rFonts w:hint="eastAsia" w:ascii="宋体" w:hAnsi="宋体" w:eastAsia="宋体" w:cs="宋体"/>
          <w:bCs/>
          <w:color w:val="auto"/>
          <w:sz w:val="24"/>
          <w:szCs w:val="24"/>
          <w:highlight w:val="none"/>
          <w:lang w:val="en-US" w:eastAsia="zh-CN"/>
        </w:rPr>
        <w:t>中标人进行检查，采购人自行维修处置。</w:t>
      </w:r>
    </w:p>
    <w:p>
      <w:pPr>
        <w:spacing w:line="360" w:lineRule="auto"/>
        <w:ind w:firstLine="438" w:firstLineChars="20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3.维护保养模式</w:t>
      </w:r>
    </w:p>
    <w:p>
      <w:pPr>
        <w:spacing w:line="360" w:lineRule="auto"/>
        <w:ind w:firstLine="438"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中标人按要求对采购人各消防系统进行消防设施维保检测，每月出具消防设施维护保养报告。设备更换及维修所需的材料、辅材费、人工费用等由中标人负责。</w:t>
      </w:r>
    </w:p>
    <w:p>
      <w:pPr>
        <w:spacing w:line="360" w:lineRule="auto"/>
        <w:ind w:firstLine="437"/>
        <w:rPr>
          <w:rFonts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rPr>
        <w:t>四、报价要求</w:t>
      </w:r>
    </w:p>
    <w:p>
      <w:pPr>
        <w:spacing w:line="360" w:lineRule="auto"/>
        <w:ind w:firstLine="437"/>
        <w:rPr>
          <w:rFonts w:hint="eastAsia"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rPr>
        <w:t>1</w:t>
      </w:r>
      <w:r>
        <w:rPr>
          <w:rFonts w:hint="eastAsia" w:ascii="宋体" w:hAnsi="宋体" w:eastAsia="宋体" w:cs="@仿宋_GB2312"/>
          <w:color w:val="auto"/>
          <w:sz w:val="24"/>
          <w:szCs w:val="18"/>
          <w:highlight w:val="none"/>
          <w:lang w:val="en-US" w:eastAsia="zh-CN"/>
        </w:rPr>
        <w:t>.</w:t>
      </w:r>
      <w:r>
        <w:rPr>
          <w:rFonts w:hint="eastAsia" w:ascii="宋体" w:hAnsi="宋体" w:eastAsia="宋体" w:cs="@仿宋_GB2312"/>
          <w:color w:val="auto"/>
          <w:sz w:val="24"/>
          <w:szCs w:val="18"/>
          <w:highlight w:val="none"/>
        </w:rPr>
        <w:t>本项目预算为</w:t>
      </w:r>
      <w:r>
        <w:rPr>
          <w:rFonts w:hint="eastAsia" w:ascii="宋体" w:hAnsi="宋体" w:eastAsia="宋体" w:cs="@仿宋_GB2312"/>
          <w:b/>
          <w:bCs/>
          <w:color w:val="auto"/>
          <w:sz w:val="24"/>
          <w:szCs w:val="18"/>
          <w:highlight w:val="none"/>
          <w:lang w:val="en-US" w:eastAsia="zh-CN"/>
        </w:rPr>
        <w:t>29.6259</w:t>
      </w:r>
      <w:r>
        <w:rPr>
          <w:rFonts w:hint="eastAsia" w:ascii="宋体" w:hAnsi="宋体" w:eastAsia="宋体" w:cs="@仿宋_GB2312"/>
          <w:b/>
          <w:bCs/>
          <w:color w:val="auto"/>
          <w:sz w:val="24"/>
          <w:szCs w:val="18"/>
          <w:highlight w:val="none"/>
        </w:rPr>
        <w:t>万元/年</w:t>
      </w:r>
      <w:r>
        <w:rPr>
          <w:rFonts w:hint="eastAsia" w:ascii="宋体" w:hAnsi="宋体" w:eastAsia="宋体" w:cs="@仿宋_GB2312"/>
          <w:color w:val="auto"/>
          <w:sz w:val="24"/>
          <w:szCs w:val="18"/>
          <w:highlight w:val="none"/>
          <w:lang w:eastAsia="zh-CN"/>
        </w:rPr>
        <w:t>，总价</w:t>
      </w:r>
      <w:r>
        <w:rPr>
          <w:rFonts w:hint="eastAsia" w:ascii="宋体" w:hAnsi="宋体" w:eastAsia="宋体" w:cs="@仿宋_GB2312"/>
          <w:color w:val="auto"/>
          <w:sz w:val="24"/>
          <w:szCs w:val="18"/>
          <w:highlight w:val="none"/>
        </w:rPr>
        <w:t>不得高于本项目预算。本项目须</w:t>
      </w:r>
      <w:r>
        <w:rPr>
          <w:rFonts w:hint="eastAsia" w:ascii="宋体" w:hAnsi="宋体" w:eastAsia="宋体" w:cs="@仿宋_GB2312"/>
          <w:color w:val="auto"/>
          <w:sz w:val="24"/>
          <w:szCs w:val="18"/>
          <w:highlight w:val="none"/>
          <w:lang w:eastAsia="zh-CN"/>
        </w:rPr>
        <w:t>分项报价和报</w:t>
      </w:r>
      <w:r>
        <w:rPr>
          <w:rFonts w:hint="eastAsia" w:ascii="宋体" w:hAnsi="宋体" w:eastAsia="宋体" w:cs="@仿宋_GB2312"/>
          <w:color w:val="auto"/>
          <w:sz w:val="24"/>
          <w:szCs w:val="18"/>
          <w:highlight w:val="none"/>
        </w:rPr>
        <w:t>总价，总价作为价格评审依据，本项目最终结算总金额不超过</w:t>
      </w:r>
      <w:r>
        <w:rPr>
          <w:rFonts w:hint="eastAsia" w:ascii="宋体" w:hAnsi="宋体" w:eastAsia="宋体" w:cs="@仿宋_GB2312"/>
          <w:color w:val="auto"/>
          <w:sz w:val="24"/>
          <w:szCs w:val="18"/>
          <w:highlight w:val="none"/>
          <w:lang w:eastAsia="zh-CN"/>
        </w:rPr>
        <w:t>中标总价</w:t>
      </w:r>
      <w:r>
        <w:rPr>
          <w:rFonts w:hint="eastAsia" w:ascii="宋体" w:hAnsi="宋体" w:eastAsia="宋体" w:cs="@仿宋_GB2312"/>
          <w:color w:val="auto"/>
          <w:sz w:val="24"/>
          <w:szCs w:val="18"/>
          <w:highlight w:val="none"/>
        </w:rPr>
        <w:t>。未按要求报价的投标无效。</w:t>
      </w:r>
    </w:p>
    <w:p>
      <w:pPr>
        <w:spacing w:line="360" w:lineRule="auto"/>
        <w:jc w:val="center"/>
        <w:rPr>
          <w:rFonts w:hint="eastAsia" w:ascii="宋体" w:hAnsi="宋体" w:eastAsia="宋体" w:cs="@仿宋_GB2312"/>
          <w:b/>
          <w:bCs/>
          <w:color w:val="auto"/>
          <w:sz w:val="40"/>
          <w:szCs w:val="24"/>
          <w:highlight w:val="none"/>
          <w:lang w:eastAsia="zh-CN"/>
        </w:rPr>
      </w:pPr>
      <w:r>
        <w:rPr>
          <w:rFonts w:hint="eastAsia" w:ascii="宋体" w:hAnsi="宋体" w:eastAsia="宋体" w:cs="@仿宋_GB2312"/>
          <w:b/>
          <w:bCs/>
          <w:color w:val="auto"/>
          <w:sz w:val="32"/>
          <w:szCs w:val="32"/>
          <w:highlight w:val="none"/>
          <w:lang w:eastAsia="zh-CN"/>
        </w:rPr>
        <w:t>报价单</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824"/>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0" w:type="dxa"/>
            <w:noWrap w:val="0"/>
            <w:vAlign w:val="center"/>
          </w:tcPr>
          <w:p>
            <w:pPr>
              <w:spacing w:line="360" w:lineRule="auto"/>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项目</w:t>
            </w:r>
          </w:p>
        </w:tc>
        <w:tc>
          <w:tcPr>
            <w:tcW w:w="2824" w:type="dxa"/>
            <w:noWrap w:val="0"/>
            <w:vAlign w:val="center"/>
          </w:tcPr>
          <w:p>
            <w:pPr>
              <w:spacing w:line="360" w:lineRule="auto"/>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面积（M</w:t>
            </w:r>
            <w:r>
              <w:rPr>
                <w:rFonts w:hint="eastAsia" w:ascii="宋体" w:hAnsi="宋体" w:eastAsia="宋体" w:cs="宋体"/>
                <w:b/>
                <w:bCs/>
                <w:sz w:val="28"/>
                <w:szCs w:val="24"/>
                <w:vertAlign w:val="superscript"/>
                <w:lang w:val="en-US" w:eastAsia="zh-CN"/>
              </w:rPr>
              <w:t>2</w:t>
            </w:r>
            <w:r>
              <w:rPr>
                <w:rFonts w:hint="eastAsia" w:ascii="宋体" w:hAnsi="宋体" w:eastAsia="宋体" w:cs="宋体"/>
                <w:b/>
                <w:bCs/>
                <w:sz w:val="28"/>
                <w:szCs w:val="24"/>
                <w:vertAlign w:val="baseline"/>
                <w:lang w:val="en-US" w:eastAsia="zh-CN"/>
              </w:rPr>
              <w:t>）</w:t>
            </w:r>
          </w:p>
        </w:tc>
        <w:tc>
          <w:tcPr>
            <w:tcW w:w="3095" w:type="dxa"/>
            <w:noWrap w:val="0"/>
            <w:vAlign w:val="center"/>
          </w:tcPr>
          <w:p>
            <w:pPr>
              <w:spacing w:line="360" w:lineRule="auto"/>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分项报价（万元）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民悦花园</w:t>
            </w:r>
          </w:p>
        </w:tc>
        <w:tc>
          <w:tcPr>
            <w:tcW w:w="2824"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220000</w:t>
            </w:r>
          </w:p>
        </w:tc>
        <w:tc>
          <w:tcPr>
            <w:tcW w:w="3095" w:type="dxa"/>
            <w:noWrap w:val="0"/>
            <w:vAlign w:val="center"/>
          </w:tcPr>
          <w:p>
            <w:pPr>
              <w:spacing w:line="360" w:lineRule="auto"/>
              <w:jc w:val="center"/>
              <w:rPr>
                <w:rFonts w:hint="eastAsia" w:ascii="宋体" w:hAnsi="宋体" w:eastAsia="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4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海恒社区服务中心</w:t>
            </w:r>
          </w:p>
        </w:tc>
        <w:tc>
          <w:tcPr>
            <w:tcW w:w="2824"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17517</w:t>
            </w:r>
          </w:p>
        </w:tc>
        <w:tc>
          <w:tcPr>
            <w:tcW w:w="3095" w:type="dxa"/>
            <w:noWrap w:val="0"/>
            <w:vAlign w:val="center"/>
          </w:tcPr>
          <w:p>
            <w:pPr>
              <w:spacing w:line="360" w:lineRule="auto"/>
              <w:jc w:val="center"/>
              <w:rPr>
                <w:rFonts w:hint="eastAsia" w:ascii="宋体" w:hAnsi="宋体" w:eastAsia="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80"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近湖苑</w:t>
            </w:r>
          </w:p>
        </w:tc>
        <w:tc>
          <w:tcPr>
            <w:tcW w:w="2824"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151000</w:t>
            </w:r>
          </w:p>
        </w:tc>
        <w:tc>
          <w:tcPr>
            <w:tcW w:w="3095" w:type="dxa"/>
            <w:noWrap w:val="0"/>
            <w:vAlign w:val="center"/>
          </w:tcPr>
          <w:p>
            <w:pPr>
              <w:spacing w:line="360" w:lineRule="auto"/>
              <w:jc w:val="center"/>
              <w:rPr>
                <w:rFonts w:hint="eastAsia" w:ascii="宋体" w:hAnsi="宋体" w:eastAsia="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80"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天都苑</w:t>
            </w:r>
          </w:p>
        </w:tc>
        <w:tc>
          <w:tcPr>
            <w:tcW w:w="2824"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123000</w:t>
            </w:r>
          </w:p>
        </w:tc>
        <w:tc>
          <w:tcPr>
            <w:tcW w:w="3095" w:type="dxa"/>
            <w:noWrap w:val="0"/>
            <w:vAlign w:val="center"/>
          </w:tcPr>
          <w:p>
            <w:pPr>
              <w:spacing w:line="360" w:lineRule="auto"/>
              <w:jc w:val="center"/>
              <w:rPr>
                <w:rFonts w:hint="eastAsia" w:ascii="宋体" w:hAnsi="宋体" w:eastAsia="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80"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明珠广场停车场（北）</w:t>
            </w:r>
          </w:p>
        </w:tc>
        <w:tc>
          <w:tcPr>
            <w:tcW w:w="2824" w:type="dxa"/>
            <w:noWrap w:val="0"/>
            <w:vAlign w:val="center"/>
          </w:tcPr>
          <w:p>
            <w:pPr>
              <w:spacing w:line="360" w:lineRule="auto"/>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14279</w:t>
            </w:r>
          </w:p>
        </w:tc>
        <w:tc>
          <w:tcPr>
            <w:tcW w:w="3095" w:type="dxa"/>
            <w:noWrap w:val="0"/>
            <w:vAlign w:val="center"/>
          </w:tcPr>
          <w:p>
            <w:pPr>
              <w:spacing w:line="360" w:lineRule="auto"/>
              <w:jc w:val="center"/>
              <w:rPr>
                <w:rFonts w:hint="eastAsia" w:ascii="宋体" w:hAnsi="宋体" w:eastAsia="宋体" w:cs="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80" w:type="dxa"/>
            <w:noWrap w:val="0"/>
            <w:vAlign w:val="center"/>
          </w:tcPr>
          <w:p>
            <w:pPr>
              <w:spacing w:line="360" w:lineRule="auto"/>
              <w:jc w:val="center"/>
              <w:rPr>
                <w:rFonts w:hint="eastAsia" w:ascii="宋体" w:hAnsi="宋体" w:eastAsia="宋体" w:cs="宋体"/>
                <w:sz w:val="24"/>
                <w:vertAlign w:val="baseline"/>
                <w:lang w:val="en-US" w:eastAsia="zh-CN"/>
              </w:rPr>
            </w:pPr>
            <w:r>
              <w:rPr>
                <w:rFonts w:hint="eastAsia" w:ascii="宋体" w:hAnsi="宋体" w:eastAsia="宋体" w:cs="宋体"/>
                <w:b/>
                <w:bCs/>
                <w:sz w:val="24"/>
                <w:vertAlign w:val="baseline"/>
                <w:lang w:val="en-US" w:eastAsia="zh-CN"/>
              </w:rPr>
              <w:t>总  价</w:t>
            </w:r>
          </w:p>
        </w:tc>
        <w:tc>
          <w:tcPr>
            <w:tcW w:w="2824" w:type="dxa"/>
            <w:noWrap w:val="0"/>
            <w:vAlign w:val="center"/>
          </w:tcPr>
          <w:p>
            <w:pPr>
              <w:spacing w:line="360" w:lineRule="auto"/>
              <w:jc w:val="center"/>
              <w:rPr>
                <w:rFonts w:hint="default" w:ascii="宋体" w:hAnsi="宋体" w:eastAsia="宋体" w:cs="宋体"/>
                <w:sz w:val="24"/>
                <w:vertAlign w:val="baseline"/>
                <w:lang w:val="en-US" w:eastAsia="zh-CN"/>
              </w:rPr>
            </w:pPr>
          </w:p>
        </w:tc>
        <w:tc>
          <w:tcPr>
            <w:tcW w:w="3095" w:type="dxa"/>
            <w:noWrap w:val="0"/>
            <w:vAlign w:val="center"/>
          </w:tcPr>
          <w:p>
            <w:pPr>
              <w:spacing w:line="360" w:lineRule="auto"/>
              <w:jc w:val="center"/>
              <w:rPr>
                <w:rFonts w:hint="eastAsia" w:ascii="宋体" w:hAnsi="宋体" w:eastAsia="宋体" w:cs="宋体"/>
                <w:sz w:val="24"/>
                <w:vertAlign w:val="baseline"/>
                <w:lang w:val="en-US" w:eastAsia="zh-CN"/>
              </w:rPr>
            </w:pPr>
          </w:p>
        </w:tc>
      </w:tr>
    </w:tbl>
    <w:p>
      <w:pPr>
        <w:spacing w:line="360" w:lineRule="auto"/>
        <w:ind w:firstLine="437"/>
        <w:rPr>
          <w:rFonts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lang w:val="en-US" w:eastAsia="zh-CN"/>
        </w:rPr>
        <w:t>2</w:t>
      </w:r>
      <w:r>
        <w:rPr>
          <w:rFonts w:hint="eastAsia" w:ascii="宋体" w:hAnsi="宋体" w:eastAsia="宋体" w:cs="@仿宋_GB2312"/>
          <w:color w:val="auto"/>
          <w:sz w:val="24"/>
          <w:szCs w:val="18"/>
          <w:highlight w:val="none"/>
        </w:rPr>
        <w:t>.投标报价包含维保人员工资、管理费、施工费、交通费、通讯费、福利、社保、劳保费、利润、服务费、合同期内的责任险费用、税费、检验检测费、年检费</w:t>
      </w:r>
      <w:r>
        <w:rPr>
          <w:rFonts w:hint="eastAsia" w:ascii="宋体" w:hAnsi="宋体" w:eastAsia="宋体" w:cs="@仿宋_GB2312"/>
          <w:color w:val="auto"/>
          <w:sz w:val="24"/>
          <w:szCs w:val="18"/>
          <w:highlight w:val="none"/>
          <w:lang w:eastAsia="zh-CN"/>
        </w:rPr>
        <w:t>、</w:t>
      </w:r>
      <w:r>
        <w:rPr>
          <w:rFonts w:hint="eastAsia" w:ascii="宋体" w:hAnsi="宋体" w:eastAsia="宋体" w:cs="@仿宋_GB2312"/>
          <w:color w:val="auto"/>
          <w:sz w:val="24"/>
          <w:szCs w:val="18"/>
          <w:highlight w:val="none"/>
        </w:rPr>
        <w:t>维修费、</w:t>
      </w:r>
      <w:r>
        <w:rPr>
          <w:rFonts w:hint="eastAsia" w:ascii="宋体" w:hAnsi="宋体" w:eastAsia="宋体" w:cs="@仿宋_GB2312"/>
          <w:color w:val="auto"/>
          <w:sz w:val="24"/>
          <w:szCs w:val="18"/>
          <w:highlight w:val="none"/>
          <w:lang w:eastAsia="zh-CN"/>
        </w:rPr>
        <w:t>设备损坏更换费用（包含主机、配件）</w:t>
      </w:r>
      <w:r>
        <w:rPr>
          <w:rFonts w:hint="eastAsia" w:ascii="宋体" w:hAnsi="宋体" w:eastAsia="宋体" w:cs="@仿宋_GB2312"/>
          <w:color w:val="auto"/>
          <w:sz w:val="24"/>
          <w:szCs w:val="18"/>
          <w:highlight w:val="none"/>
        </w:rPr>
        <w:t>等一切费用。</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lang w:val="en-US" w:eastAsia="zh-CN"/>
        </w:rPr>
        <w:t>3</w:t>
      </w:r>
      <w:r>
        <w:rPr>
          <w:rFonts w:hint="eastAsia" w:hAnsi="宋体" w:eastAsia="宋体" w:cs="@仿宋_GB2312"/>
          <w:sz w:val="24"/>
          <w:szCs w:val="18"/>
        </w:rPr>
        <w:t>.中标</w:t>
      </w:r>
      <w:r>
        <w:rPr>
          <w:rFonts w:hint="eastAsia" w:hAnsi="宋体" w:eastAsia="宋体" w:cs="@仿宋_GB2312"/>
          <w:sz w:val="24"/>
          <w:szCs w:val="18"/>
          <w:lang w:eastAsia="zh-CN"/>
        </w:rPr>
        <w:t>总价</w:t>
      </w:r>
      <w:r>
        <w:rPr>
          <w:rFonts w:hint="eastAsia" w:hAnsi="宋体" w:eastAsia="宋体" w:cs="@仿宋_GB2312"/>
          <w:sz w:val="24"/>
          <w:szCs w:val="18"/>
        </w:rPr>
        <w:t>在中标后的合同期内保持不变，即不因市场价格或政策性价格的调整而增减。请投标人报价时综合考虑，合理报价。投标人应自行踏勘现场，如投标人因未及时踏勘现场而导致的中标后无法兑现服务的，自行承担一切后果。</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lang w:val="en-US" w:eastAsia="zh-CN"/>
        </w:rPr>
        <w:t>4</w:t>
      </w:r>
      <w:r>
        <w:rPr>
          <w:rFonts w:hint="eastAsia" w:hAnsi="宋体" w:eastAsia="宋体" w:cs="@仿宋_GB2312"/>
          <w:sz w:val="24"/>
          <w:szCs w:val="18"/>
        </w:rPr>
        <w:t>.中标人应按合肥市行业主管部门的规定办理相关手续。</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color w:val="auto"/>
          <w:sz w:val="24"/>
          <w:szCs w:val="18"/>
          <w:highlight w:val="none"/>
          <w:lang w:val="en-US" w:eastAsia="zh-CN"/>
        </w:rPr>
        <w:t>5</w:t>
      </w:r>
      <w:r>
        <w:rPr>
          <w:rFonts w:hint="eastAsia" w:hAnsi="宋体" w:eastAsia="宋体" w:cs="@仿宋_GB2312"/>
          <w:color w:val="auto"/>
          <w:sz w:val="24"/>
          <w:szCs w:val="18"/>
          <w:highlight w:val="none"/>
        </w:rPr>
        <w:t>.中标人须为本项目购买安全责任险，保</w:t>
      </w:r>
      <w:r>
        <w:rPr>
          <w:rFonts w:hint="eastAsia" w:hAnsi="宋体" w:eastAsia="宋体" w:cs="@仿宋_GB2312"/>
          <w:sz w:val="24"/>
          <w:szCs w:val="18"/>
        </w:rPr>
        <w:t>险费用包含在报价总价中，</w:t>
      </w:r>
      <w:r>
        <w:rPr>
          <w:rFonts w:hint="eastAsia" w:hAnsi="宋体" w:eastAsia="宋体" w:cs="@仿宋_GB2312"/>
          <w:sz w:val="24"/>
          <w:szCs w:val="18"/>
          <w:lang w:eastAsia="zh-CN"/>
        </w:rPr>
        <w:t>采购</w:t>
      </w:r>
      <w:r>
        <w:rPr>
          <w:rFonts w:hint="eastAsia" w:hAnsi="宋体" w:eastAsia="宋体" w:cs="@仿宋_GB2312"/>
          <w:sz w:val="24"/>
          <w:szCs w:val="18"/>
        </w:rPr>
        <w:t>人不再另行支付保险费用，请投标人充分考虑相关风险并进行合理报价。</w:t>
      </w:r>
    </w:p>
    <w:p>
      <w:pPr>
        <w:spacing w:line="360" w:lineRule="auto"/>
        <w:ind w:firstLine="438" w:firstLineChars="200"/>
        <w:rPr>
          <w:rFonts w:ascii="宋体" w:hAnsi="宋体" w:eastAsia="宋体" w:cs="@仿宋_GB2312"/>
          <w:b/>
          <w:bCs/>
          <w:sz w:val="24"/>
          <w:szCs w:val="18"/>
        </w:rPr>
      </w:pPr>
      <w:r>
        <w:rPr>
          <w:rFonts w:hint="eastAsia" w:ascii="宋体" w:hAnsi="宋体" w:eastAsia="宋体" w:cs="@仿宋_GB2312"/>
          <w:b/>
          <w:bCs/>
          <w:sz w:val="24"/>
          <w:szCs w:val="18"/>
        </w:rPr>
        <w:t>五、其他要求</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1.定期检查、保养各种消防设施，及时进行维修工作，保障消防系统处于无故障状态，且满足消防规范要求。</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2.发现有故障后应及时维修或更换。</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3.向采购人提供详细的月、季、年维护保养计划、保养记录以及维修记录，所有材料提交纸质文档，双方负责人签字后交采购人存档。</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4.在巡检过程中，发现有消防隐患或者其他影响消防安全的问题，中标人应及时消除。</w:t>
      </w:r>
    </w:p>
    <w:p>
      <w:pPr>
        <w:pStyle w:val="33"/>
        <w:wordWrap w:val="0"/>
        <w:spacing w:line="360" w:lineRule="auto"/>
        <w:ind w:firstLine="438" w:firstLineChars="200"/>
        <w:rPr>
          <w:rFonts w:hint="eastAsia" w:hAnsi="宋体" w:eastAsia="宋体" w:cs="@仿宋_GB2312"/>
          <w:color w:val="auto"/>
          <w:sz w:val="24"/>
          <w:szCs w:val="18"/>
          <w:lang w:val="en-US" w:eastAsia="zh-CN"/>
        </w:rPr>
      </w:pPr>
      <w:r>
        <w:rPr>
          <w:rFonts w:hint="eastAsia" w:hAnsi="宋体" w:eastAsia="宋体" w:cs="@仿宋_GB2312"/>
          <w:color w:val="auto"/>
          <w:sz w:val="24"/>
          <w:szCs w:val="18"/>
          <w:highlight w:val="yellow"/>
          <w:lang w:val="en-US" w:eastAsia="zh-CN"/>
        </w:rPr>
        <w:t>5.定期盘查常备消防物品数量，根据现场损耗情况及时向采购人反馈，以便采购人及时对常备物品进行补充。</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6.当接到采购人故障报告后，中标人专业维保人员立即赶到现场维修，非工作时间2小时内需到故障现场进行维修工作，24小时内排除故障，如现场无备件，应待备件到场后24小时内排除故障。</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7.维护保养所需的工具、检测仪器及其他必备物品中标人自备。</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8.若维保期间中标人没有及时维修导致消防设施没有发挥其功能，造成消防事故，给采购人造成损失，中标人赔偿损失并承担法律责任。</w:t>
      </w:r>
    </w:p>
    <w:p>
      <w:pPr>
        <w:pStyle w:val="33"/>
        <w:wordWrap w:val="0"/>
        <w:spacing w:line="360" w:lineRule="auto"/>
        <w:ind w:firstLine="438" w:firstLineChars="200"/>
        <w:rPr>
          <w:rFonts w:hint="eastAsia" w:hAnsi="宋体" w:eastAsia="宋体" w:cs="@仿宋_GB2312"/>
          <w:sz w:val="24"/>
          <w:szCs w:val="18"/>
          <w:lang w:val="en-US" w:eastAsia="zh-CN"/>
        </w:rPr>
      </w:pPr>
      <w:r>
        <w:rPr>
          <w:rFonts w:hint="eastAsia" w:hAnsi="宋体" w:eastAsia="宋体" w:cs="@仿宋_GB2312"/>
          <w:sz w:val="24"/>
          <w:szCs w:val="18"/>
          <w:lang w:val="en-US" w:eastAsia="zh-CN"/>
        </w:rPr>
        <w:t>9.采购人提供的图纸和技术资料中标人有保密义务，不得对第三方泄露，否则采购人有权要求中标人赔偿损失。</w:t>
      </w:r>
    </w:p>
    <w:p>
      <w:pPr>
        <w:spacing w:line="360" w:lineRule="auto"/>
        <w:ind w:firstLine="438" w:firstLineChars="200"/>
        <w:rPr>
          <w:rFonts w:ascii="宋体" w:hAnsi="宋体" w:eastAsia="宋体" w:cs="@仿宋_GB2312"/>
          <w:b/>
          <w:bCs/>
          <w:sz w:val="24"/>
          <w:szCs w:val="18"/>
        </w:rPr>
      </w:pPr>
      <w:r>
        <w:rPr>
          <w:rFonts w:hint="eastAsia" w:ascii="宋体" w:hAnsi="宋体" w:eastAsia="宋体" w:cs="@仿宋_GB2312"/>
          <w:b/>
          <w:bCs/>
          <w:sz w:val="24"/>
          <w:szCs w:val="18"/>
        </w:rPr>
        <w:t>六、管理考核</w:t>
      </w:r>
    </w:p>
    <w:p>
      <w:pPr>
        <w:pStyle w:val="33"/>
        <w:wordWrap w:val="0"/>
        <w:spacing w:line="360" w:lineRule="auto"/>
        <w:ind w:firstLine="438" w:firstLineChars="200"/>
        <w:rPr>
          <w:rFonts w:hAnsi="宋体" w:eastAsia="宋体" w:cs="@仿宋_GB2312"/>
          <w:b/>
          <w:bCs/>
          <w:sz w:val="24"/>
          <w:szCs w:val="18"/>
        </w:rPr>
      </w:pPr>
      <w:r>
        <w:rPr>
          <w:rFonts w:hint="eastAsia" w:hAnsi="宋体" w:eastAsia="宋体" w:cs="@仿宋_GB2312"/>
          <w:b/>
          <w:bCs/>
          <w:sz w:val="24"/>
          <w:szCs w:val="18"/>
        </w:rPr>
        <w:t>(一) 考核形式</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lang w:val="en-US" w:eastAsia="zh-CN"/>
        </w:rPr>
        <w:t>1.</w:t>
      </w:r>
      <w:r>
        <w:rPr>
          <w:rFonts w:hint="eastAsia" w:hAnsi="宋体" w:eastAsia="宋体" w:cs="@仿宋_GB2312"/>
          <w:sz w:val="24"/>
          <w:szCs w:val="18"/>
        </w:rPr>
        <w:t>由</w:t>
      </w:r>
      <w:r>
        <w:rPr>
          <w:rFonts w:hint="eastAsia" w:hAnsi="宋体" w:eastAsia="宋体" w:cs="@仿宋_GB2312"/>
          <w:sz w:val="24"/>
          <w:szCs w:val="18"/>
          <w:lang w:eastAsia="zh-CN"/>
        </w:rPr>
        <w:t>采购人</w:t>
      </w:r>
      <w:r>
        <w:rPr>
          <w:rFonts w:hint="eastAsia" w:hAnsi="宋体" w:eastAsia="宋体" w:cs="@仿宋_GB2312"/>
          <w:sz w:val="24"/>
          <w:szCs w:val="18"/>
        </w:rPr>
        <w:t>组织考核工作小组，安排专人(不少于2人) 负责</w:t>
      </w:r>
      <w:r>
        <w:rPr>
          <w:rFonts w:hint="eastAsia" w:hAnsi="宋体" w:eastAsia="宋体" w:cs="@仿宋_GB2312"/>
          <w:sz w:val="24"/>
          <w:szCs w:val="18"/>
          <w:lang w:eastAsia="zh-CN"/>
        </w:rPr>
        <w:t>，</w:t>
      </w:r>
      <w:r>
        <w:rPr>
          <w:rFonts w:hint="eastAsia" w:hAnsi="宋体" w:eastAsia="宋体" w:cs="@仿宋_GB2312"/>
          <w:sz w:val="24"/>
          <w:szCs w:val="18"/>
        </w:rPr>
        <w:t>每月</w:t>
      </w:r>
      <w:r>
        <w:rPr>
          <w:rFonts w:hint="eastAsia" w:hAnsi="宋体" w:eastAsia="宋体" w:cs="@仿宋_GB2312"/>
          <w:sz w:val="24"/>
          <w:szCs w:val="18"/>
          <w:lang w:eastAsia="zh-CN"/>
        </w:rPr>
        <w:t>考核</w:t>
      </w:r>
      <w:r>
        <w:rPr>
          <w:rFonts w:hint="eastAsia" w:hAnsi="宋体" w:eastAsia="宋体" w:cs="@仿宋_GB2312"/>
          <w:sz w:val="24"/>
          <w:szCs w:val="18"/>
        </w:rPr>
        <w:t>一次，对照本文件</w:t>
      </w:r>
      <w:r>
        <w:rPr>
          <w:rFonts w:hint="eastAsia" w:hAnsi="宋体" w:eastAsia="宋体" w:cs="@仿宋_GB2312"/>
          <w:b/>
          <w:bCs/>
          <w:sz w:val="24"/>
          <w:szCs w:val="18"/>
          <w:lang w:eastAsia="zh-CN"/>
        </w:rPr>
        <w:t>考核标准</w:t>
      </w:r>
      <w:r>
        <w:rPr>
          <w:rFonts w:hint="eastAsia" w:hAnsi="宋体" w:eastAsia="宋体" w:cs="@仿宋_GB2312"/>
          <w:sz w:val="24"/>
          <w:szCs w:val="18"/>
        </w:rPr>
        <w:t>，现场评分、亮分，并由中标人对</w:t>
      </w:r>
      <w:r>
        <w:rPr>
          <w:rFonts w:hint="eastAsia" w:hAnsi="宋体" w:eastAsia="宋体" w:cs="@仿宋_GB2312"/>
          <w:sz w:val="24"/>
          <w:szCs w:val="18"/>
          <w:lang w:eastAsia="zh-CN"/>
        </w:rPr>
        <w:t>考核</w:t>
      </w:r>
      <w:r>
        <w:rPr>
          <w:rFonts w:hint="eastAsia" w:hAnsi="宋体" w:eastAsia="宋体" w:cs="@仿宋_GB2312"/>
          <w:sz w:val="24"/>
          <w:szCs w:val="18"/>
        </w:rPr>
        <w:t>结果认可签字。</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lang w:val="en-US" w:eastAsia="zh-CN"/>
        </w:rPr>
        <w:t>2.</w:t>
      </w:r>
      <w:r>
        <w:rPr>
          <w:rFonts w:hint="eastAsia" w:hAnsi="宋体" w:eastAsia="宋体" w:cs="@仿宋_GB2312"/>
          <w:sz w:val="24"/>
          <w:szCs w:val="18"/>
        </w:rPr>
        <w:t>若中标人拒不签字，按照考核检查照片和现场考核人员两人签字为准， 作为考核依据。</w:t>
      </w:r>
    </w:p>
    <w:p>
      <w:pPr>
        <w:pStyle w:val="33"/>
        <w:wordWrap w:val="0"/>
        <w:spacing w:line="360" w:lineRule="auto"/>
        <w:ind w:firstLine="438" w:firstLineChars="200"/>
        <w:rPr>
          <w:rFonts w:hAnsi="宋体" w:eastAsia="宋体" w:cs="@仿宋_GB2312"/>
          <w:b/>
          <w:bCs/>
          <w:sz w:val="24"/>
          <w:szCs w:val="18"/>
        </w:rPr>
      </w:pPr>
      <w:r>
        <w:rPr>
          <w:rFonts w:hint="eastAsia" w:hAnsi="宋体" w:eastAsia="宋体" w:cs="@仿宋_GB2312"/>
          <w:b/>
          <w:bCs/>
          <w:sz w:val="24"/>
          <w:szCs w:val="18"/>
        </w:rPr>
        <w:t xml:space="preserve">(二) </w:t>
      </w:r>
      <w:r>
        <w:rPr>
          <w:rFonts w:hint="eastAsia" w:hAnsi="宋体" w:eastAsia="宋体" w:cs="@仿宋_GB2312"/>
          <w:b/>
          <w:bCs/>
          <w:sz w:val="24"/>
          <w:szCs w:val="18"/>
          <w:lang w:eastAsia="zh-CN"/>
        </w:rPr>
        <w:t>考核</w:t>
      </w:r>
      <w:r>
        <w:rPr>
          <w:rFonts w:hint="eastAsia" w:hAnsi="宋体" w:eastAsia="宋体" w:cs="@仿宋_GB2312"/>
          <w:b/>
          <w:bCs/>
          <w:sz w:val="24"/>
          <w:szCs w:val="18"/>
        </w:rPr>
        <w:t>评定</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rPr>
        <w:t>考核分值为100分</w:t>
      </w:r>
      <w:r>
        <w:rPr>
          <w:rFonts w:hint="eastAsia" w:hAnsi="宋体" w:eastAsia="宋体" w:cs="@仿宋_GB2312"/>
          <w:sz w:val="24"/>
          <w:szCs w:val="18"/>
          <w:lang w:eastAsia="zh-CN"/>
        </w:rPr>
        <w:t>，</w:t>
      </w:r>
      <w:r>
        <w:rPr>
          <w:rFonts w:hint="eastAsia" w:hAnsi="宋体" w:eastAsia="宋体" w:cs="@仿宋_GB2312"/>
          <w:sz w:val="24"/>
          <w:szCs w:val="18"/>
        </w:rPr>
        <w:t>每次考核按照《考核</w:t>
      </w:r>
      <w:r>
        <w:rPr>
          <w:rFonts w:hint="eastAsia" w:hAnsi="宋体" w:eastAsia="宋体" w:cs="@仿宋_GB2312"/>
          <w:sz w:val="24"/>
          <w:szCs w:val="18"/>
          <w:lang w:eastAsia="zh-CN"/>
        </w:rPr>
        <w:t>标准</w:t>
      </w:r>
      <w:r>
        <w:rPr>
          <w:rFonts w:hint="eastAsia" w:hAnsi="宋体" w:eastAsia="宋体" w:cs="@仿宋_GB2312"/>
          <w:sz w:val="24"/>
          <w:szCs w:val="18"/>
        </w:rPr>
        <w:t>》规定进行</w:t>
      </w:r>
      <w:r>
        <w:rPr>
          <w:rFonts w:hint="eastAsia" w:hAnsi="宋体" w:eastAsia="宋体" w:cs="@仿宋_GB2312"/>
          <w:sz w:val="24"/>
          <w:szCs w:val="18"/>
          <w:lang w:eastAsia="zh-CN"/>
        </w:rPr>
        <w:t>考核</w:t>
      </w:r>
      <w:r>
        <w:rPr>
          <w:rFonts w:hint="eastAsia" w:hAnsi="宋体" w:eastAsia="宋体" w:cs="@仿宋_GB2312"/>
          <w:sz w:val="24"/>
          <w:szCs w:val="18"/>
        </w:rPr>
        <w:t>，</w:t>
      </w:r>
      <w:r>
        <w:rPr>
          <w:rFonts w:hint="eastAsia" w:hAnsi="宋体" w:eastAsia="宋体" w:cs="@仿宋_GB2312"/>
          <w:sz w:val="24"/>
          <w:szCs w:val="18"/>
          <w:lang w:eastAsia="zh-CN"/>
        </w:rPr>
        <w:t>考核</w:t>
      </w:r>
      <w:r>
        <w:rPr>
          <w:rFonts w:hint="eastAsia" w:hAnsi="宋体" w:eastAsia="宋体" w:cs="@仿宋_GB2312"/>
          <w:sz w:val="24"/>
          <w:szCs w:val="18"/>
        </w:rPr>
        <w:t>结果作为对中标人支付日常维保服务费用的依据。</w:t>
      </w:r>
    </w:p>
    <w:p>
      <w:pPr>
        <w:pStyle w:val="33"/>
        <w:wordWrap w:val="0"/>
        <w:spacing w:line="360" w:lineRule="auto"/>
        <w:ind w:firstLine="438" w:firstLineChars="200"/>
        <w:rPr>
          <w:rFonts w:hAnsi="宋体" w:eastAsia="宋体" w:cs="@仿宋_GB2312"/>
          <w:b/>
          <w:bCs/>
          <w:sz w:val="24"/>
          <w:szCs w:val="18"/>
        </w:rPr>
      </w:pPr>
      <w:r>
        <w:rPr>
          <w:rFonts w:hint="eastAsia" w:hAnsi="宋体" w:eastAsia="宋体" w:cs="@仿宋_GB2312"/>
          <w:b/>
          <w:bCs/>
          <w:sz w:val="24"/>
          <w:szCs w:val="18"/>
        </w:rPr>
        <w:t>(三) 管理考核</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rPr>
        <w:t>1.每月考核得分≥85分为合格。</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rPr>
        <w:t>2.本项目维保工作受到国家、省、市、区表彰 (凭证书或文件)，随后每 月在得分中分别增加4 分、3 分、2 分、1 分。</w:t>
      </w:r>
    </w:p>
    <w:p>
      <w:pPr>
        <w:pStyle w:val="33"/>
        <w:wordWrap w:val="0"/>
        <w:spacing w:line="360" w:lineRule="auto"/>
        <w:ind w:firstLine="438" w:firstLineChars="200"/>
        <w:rPr>
          <w:rFonts w:hint="eastAsia" w:hAnsi="宋体" w:eastAsia="宋体" w:cs="@仿宋_GB2312"/>
          <w:color w:val="auto"/>
          <w:sz w:val="24"/>
          <w:szCs w:val="18"/>
          <w:lang w:eastAsia="zh-CN"/>
        </w:rPr>
      </w:pPr>
      <w:r>
        <w:rPr>
          <w:rFonts w:hint="eastAsia" w:hAnsi="宋体" w:eastAsia="宋体" w:cs="@仿宋_GB2312"/>
          <w:color w:val="auto"/>
          <w:sz w:val="24"/>
          <w:szCs w:val="18"/>
        </w:rPr>
        <w:t>3.每月考核</w:t>
      </w:r>
      <w:r>
        <w:rPr>
          <w:rFonts w:hint="eastAsia" w:hAnsi="宋体" w:eastAsia="宋体" w:cs="@仿宋_GB2312"/>
          <w:color w:val="auto"/>
          <w:sz w:val="24"/>
          <w:szCs w:val="18"/>
          <w:lang w:eastAsia="zh-CN"/>
        </w:rPr>
        <w:t>产生的处罚金额从服务费中扣除。</w:t>
      </w:r>
    </w:p>
    <w:p>
      <w:pPr>
        <w:pStyle w:val="33"/>
        <w:wordWrap w:val="0"/>
        <w:spacing w:line="360" w:lineRule="auto"/>
        <w:ind w:firstLine="438" w:firstLineChars="200"/>
        <w:rPr>
          <w:rFonts w:hint="eastAsia" w:hAnsi="宋体" w:eastAsia="宋体" w:cs="@仿宋_GB2312"/>
          <w:sz w:val="24"/>
          <w:szCs w:val="18"/>
          <w:lang w:eastAsia="zh-CN"/>
        </w:rPr>
      </w:pPr>
      <w:r>
        <w:rPr>
          <w:rFonts w:hint="eastAsia" w:hAnsi="宋体" w:eastAsia="宋体" w:cs="@仿宋_GB2312"/>
          <w:sz w:val="24"/>
          <w:szCs w:val="18"/>
        </w:rPr>
        <w:t>4.被省、市、区媒体曝光，确属本职工作失误或失职，造成不良影响的， 在当月总分中扣4分</w:t>
      </w:r>
      <w:r>
        <w:rPr>
          <w:rFonts w:hint="eastAsia" w:hAnsi="宋体" w:eastAsia="宋体" w:cs="@仿宋_GB2312"/>
          <w:sz w:val="24"/>
          <w:szCs w:val="18"/>
          <w:lang w:eastAsia="zh-CN"/>
        </w:rPr>
        <w:t>，并处以每起</w:t>
      </w:r>
      <w:r>
        <w:rPr>
          <w:rFonts w:hint="eastAsia" w:hAnsi="宋体" w:eastAsia="宋体" w:cs="@仿宋_GB2312"/>
          <w:sz w:val="24"/>
          <w:szCs w:val="18"/>
        </w:rPr>
        <w:t>1000元</w:t>
      </w:r>
      <w:r>
        <w:rPr>
          <w:rFonts w:hint="eastAsia" w:hAnsi="宋体" w:eastAsia="宋体" w:cs="@仿宋_GB2312"/>
          <w:sz w:val="24"/>
          <w:szCs w:val="18"/>
          <w:lang w:eastAsia="zh-CN"/>
        </w:rPr>
        <w:t>的处罚。</w:t>
      </w:r>
    </w:p>
    <w:p>
      <w:pPr>
        <w:pStyle w:val="33"/>
        <w:wordWrap w:val="0"/>
        <w:spacing w:line="360" w:lineRule="auto"/>
        <w:ind w:firstLine="438" w:firstLineChars="200"/>
        <w:rPr>
          <w:rFonts w:hAnsi="宋体" w:eastAsia="宋体" w:cs="@仿宋_GB2312"/>
          <w:sz w:val="24"/>
          <w:szCs w:val="18"/>
        </w:rPr>
      </w:pPr>
      <w:r>
        <w:rPr>
          <w:rFonts w:hint="eastAsia" w:hAnsi="宋体" w:eastAsia="宋体" w:cs="@仿宋_GB2312"/>
          <w:sz w:val="24"/>
          <w:szCs w:val="18"/>
        </w:rPr>
        <w:t>5.在法定节假日和省、市重大活动期间，因管理不到位，群众反映强烈的， 在当月总分中扣4 分</w:t>
      </w:r>
      <w:r>
        <w:rPr>
          <w:rFonts w:hint="eastAsia" w:hAnsi="宋体" w:eastAsia="宋体" w:cs="@仿宋_GB2312"/>
          <w:sz w:val="24"/>
          <w:szCs w:val="18"/>
          <w:lang w:eastAsia="zh-CN"/>
        </w:rPr>
        <w:t>，并处以每起</w:t>
      </w:r>
      <w:r>
        <w:rPr>
          <w:rFonts w:hint="eastAsia" w:hAnsi="宋体" w:eastAsia="宋体" w:cs="@仿宋_GB2312"/>
          <w:sz w:val="24"/>
          <w:szCs w:val="18"/>
        </w:rPr>
        <w:t>1000元</w:t>
      </w:r>
      <w:r>
        <w:rPr>
          <w:rFonts w:hint="eastAsia" w:hAnsi="宋体" w:eastAsia="宋体" w:cs="@仿宋_GB2312"/>
          <w:sz w:val="24"/>
          <w:szCs w:val="18"/>
          <w:lang w:eastAsia="zh-CN"/>
        </w:rPr>
        <w:t>的处罚。</w:t>
      </w:r>
    </w:p>
    <w:p>
      <w:pPr>
        <w:pStyle w:val="33"/>
        <w:wordWrap w:val="0"/>
        <w:spacing w:line="360" w:lineRule="auto"/>
        <w:ind w:firstLine="438" w:firstLineChars="200"/>
        <w:rPr>
          <w:rFonts w:hint="eastAsia" w:hAnsi="宋体" w:eastAsia="宋体" w:cs="@仿宋_GB2312"/>
          <w:sz w:val="24"/>
          <w:szCs w:val="18"/>
        </w:rPr>
      </w:pPr>
      <w:r>
        <w:rPr>
          <w:rFonts w:hint="eastAsia" w:hAnsi="宋体" w:eastAsia="宋体" w:cs="@仿宋_GB2312"/>
          <w:sz w:val="24"/>
          <w:szCs w:val="18"/>
        </w:rPr>
        <w:t>6.连续两个月考核在85分(不含85分) 以下的，</w:t>
      </w:r>
      <w:r>
        <w:rPr>
          <w:rFonts w:hint="eastAsia" w:hAnsi="宋体" w:eastAsia="宋体" w:cs="@仿宋_GB2312"/>
          <w:sz w:val="24"/>
          <w:szCs w:val="18"/>
          <w:lang w:eastAsia="zh-CN"/>
        </w:rPr>
        <w:t>采购人</w:t>
      </w:r>
      <w:r>
        <w:rPr>
          <w:rFonts w:hint="eastAsia" w:hAnsi="宋体" w:eastAsia="宋体" w:cs="@仿宋_GB2312"/>
          <w:sz w:val="24"/>
          <w:szCs w:val="18"/>
        </w:rPr>
        <w:t>有权解除合同</w:t>
      </w:r>
      <w:r>
        <w:rPr>
          <w:rFonts w:hint="eastAsia" w:hAnsi="宋体" w:eastAsia="宋体" w:cs="@仿宋_GB2312"/>
          <w:sz w:val="24"/>
          <w:szCs w:val="18"/>
          <w:lang w:eastAsia="zh-CN"/>
        </w:rPr>
        <w:t>，</w:t>
      </w:r>
      <w:r>
        <w:rPr>
          <w:rFonts w:hint="eastAsia" w:hAnsi="宋体" w:eastAsia="宋体" w:cs="@仿宋_GB2312"/>
          <w:sz w:val="24"/>
          <w:szCs w:val="18"/>
        </w:rPr>
        <w:t>造成的影响和损失均由中标人承担。</w:t>
      </w:r>
    </w:p>
    <w:p>
      <w:pPr>
        <w:spacing w:line="360" w:lineRule="auto"/>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附件：考核标准</w:t>
      </w:r>
    </w:p>
    <w:p>
      <w:pPr>
        <w:spacing w:line="300" w:lineRule="auto"/>
        <w:rPr>
          <w:rFonts w:hint="eastAsia" w:hAnsi="宋体" w:eastAsia="宋体" w:cs="@仿宋_GB2312"/>
          <w:sz w:val="24"/>
          <w:szCs w:val="18"/>
          <w:lang w:eastAsia="zh-CN"/>
        </w:rPr>
      </w:pPr>
      <w:r>
        <w:rPr>
          <w:rFonts w:hint="eastAsia" w:hAnsi="宋体" w:eastAsia="宋体" w:cs="@仿宋_GB2312"/>
          <w:sz w:val="24"/>
          <w:szCs w:val="18"/>
        </w:rPr>
        <w:t xml:space="preserve">  </w:t>
      </w:r>
      <w:r>
        <w:rPr>
          <w:rFonts w:hint="eastAsia" w:ascii="宋体" w:hAnsi="宋体" w:eastAsia="宋体" w:cs="宋体"/>
          <w:sz w:val="24"/>
          <w:szCs w:val="18"/>
          <w:lang w:val="en-US" w:eastAsia="zh-CN"/>
        </w:rPr>
        <w:t>1.</w:t>
      </w:r>
      <w:r>
        <w:rPr>
          <w:rFonts w:hint="eastAsia" w:hAnsi="宋体" w:eastAsia="宋体" w:cs="@仿宋_GB2312"/>
          <w:sz w:val="24"/>
          <w:szCs w:val="18"/>
        </w:rPr>
        <w:t>火灾自动报警系统</w:t>
      </w:r>
    </w:p>
    <w:tbl>
      <w:tblPr>
        <w:tblStyle w:val="64"/>
        <w:tblW w:w="9603" w:type="dxa"/>
        <w:jc w:val="center"/>
        <w:tblLayout w:type="fixed"/>
        <w:tblCellMar>
          <w:top w:w="15" w:type="dxa"/>
          <w:left w:w="15" w:type="dxa"/>
          <w:bottom w:w="15" w:type="dxa"/>
          <w:right w:w="15" w:type="dxa"/>
        </w:tblCellMar>
      </w:tblPr>
      <w:tblGrid>
        <w:gridCol w:w="746"/>
        <w:gridCol w:w="2857"/>
        <w:gridCol w:w="3027"/>
        <w:gridCol w:w="2973"/>
      </w:tblGrid>
      <w:tr>
        <w:tblPrEx>
          <w:tblCellMar>
            <w:top w:w="15" w:type="dxa"/>
            <w:left w:w="15" w:type="dxa"/>
            <w:bottom w:w="15" w:type="dxa"/>
            <w:right w:w="15" w:type="dxa"/>
          </w:tblCellMar>
        </w:tblPrEx>
        <w:trPr>
          <w:trHeight w:val="228"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序号</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维护保养工作内容</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维护保养标准</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24"/>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1612"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22"/>
              </w:rPr>
            </w:pPr>
            <w:r>
              <w:rPr>
                <w:rFonts w:hint="eastAsia" w:hAnsi="宋体" w:eastAsia="宋体" w:cs="@仿宋_GB2312"/>
                <w:sz w:val="22"/>
                <w:szCs w:val="22"/>
              </w:rPr>
              <w:t>1</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每月检查控制主机各项功能是否正常</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 xml:space="preserve">主机外观完好、整洁，保证控制主机自检、复位、消音、火灾报警、故障报警、打印等各项功能正常工作，信号输入、输出模块运行状态正常，火灾显示器运行状态正常  </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default" w:hAnsi="宋体" w:eastAsia="宋体" w:cs="@仿宋_GB2312"/>
                <w:sz w:val="22"/>
                <w:szCs w:val="22"/>
                <w:lang w:val="en-US"/>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912"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22"/>
              </w:rPr>
            </w:pPr>
            <w:r>
              <w:rPr>
                <w:rFonts w:hint="eastAsia" w:hAnsi="宋体" w:eastAsia="宋体" w:cs="@仿宋_GB2312"/>
                <w:sz w:val="22"/>
                <w:szCs w:val="22"/>
              </w:rPr>
              <w:t>2</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每年用测试仪分区域分批次测试温感、烟感、红外等探测器火灾报警和故障报警功能（覆盖率≥50%）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探测器动作灵敏、报警准确</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r>
        <w:tblPrEx>
          <w:tblCellMar>
            <w:top w:w="15" w:type="dxa"/>
            <w:left w:w="15" w:type="dxa"/>
            <w:bottom w:w="15" w:type="dxa"/>
            <w:right w:w="15" w:type="dxa"/>
          </w:tblCellMar>
        </w:tblPrEx>
        <w:trPr>
          <w:trHeight w:val="827"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22"/>
              </w:rPr>
            </w:pPr>
            <w:r>
              <w:rPr>
                <w:rFonts w:hint="eastAsia" w:hAnsi="宋体" w:eastAsia="宋体" w:cs="@仿宋_GB2312"/>
                <w:sz w:val="22"/>
                <w:szCs w:val="22"/>
              </w:rPr>
              <w:t>3</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每月对火灾声光报警装置进行检查、测试</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火灾声光报警装置正常</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1020"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22"/>
              </w:rPr>
            </w:pPr>
            <w:r>
              <w:rPr>
                <w:rFonts w:hint="eastAsia" w:hAnsi="宋体" w:eastAsia="宋体" w:cs="@仿宋_GB2312"/>
                <w:sz w:val="22"/>
                <w:szCs w:val="22"/>
              </w:rPr>
              <w:t>4</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每季检查所有手动报警按钮是否遗漏、损坏、遮挡，测试所有手动报警按钮报警功能</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手动报警按钮无缺漏、损坏或遮挡，手动报警按钮动作灵敏、报警准确</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1020"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22"/>
              </w:rPr>
            </w:pPr>
            <w:r>
              <w:rPr>
                <w:rFonts w:hint="eastAsia" w:hAnsi="宋体" w:eastAsia="宋体" w:cs="@仿宋_GB2312"/>
                <w:sz w:val="22"/>
                <w:szCs w:val="22"/>
              </w:rPr>
              <w:t>5</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每季对备用电源进行1-2次冲放电试验、1次主备电源切换试验</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主、备电源自动切换功能正常</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r>
        <w:tblPrEx>
          <w:tblCellMar>
            <w:top w:w="15" w:type="dxa"/>
            <w:left w:w="15" w:type="dxa"/>
            <w:bottom w:w="15" w:type="dxa"/>
            <w:right w:w="15" w:type="dxa"/>
          </w:tblCellMar>
        </w:tblPrEx>
        <w:trPr>
          <w:trHeight w:val="625"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22"/>
                <w:lang w:val="en-US" w:eastAsia="zh-CN"/>
              </w:rPr>
            </w:pPr>
            <w:r>
              <w:rPr>
                <w:rFonts w:hint="eastAsia" w:hAnsi="宋体" w:eastAsia="宋体" w:cs="@仿宋_GB2312"/>
                <w:sz w:val="22"/>
                <w:szCs w:val="22"/>
                <w:lang w:val="en-US" w:eastAsia="zh-CN"/>
              </w:rPr>
              <w:t>6</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每季检查消防主机所有接线端子是否松动、破损和脱落</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sz w:val="22"/>
                <w:szCs w:val="22"/>
              </w:rPr>
              <w:t>主机设备的所有接线牢固，无松动、破损和脱落</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left"/>
              <w:rPr>
                <w:rFonts w:hint="eastAsia" w:hAnsi="宋体" w:eastAsia="宋体" w:cs="@仿宋_GB2312"/>
                <w:sz w:val="22"/>
                <w:szCs w:val="22"/>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lang w:val="en-US" w:eastAsia="zh-CN"/>
        </w:rPr>
        <w:t>2.</w:t>
      </w:r>
      <w:r>
        <w:rPr>
          <w:rFonts w:hint="eastAsia" w:hAnsi="宋体" w:eastAsia="宋体" w:cs="@仿宋_GB2312"/>
          <w:sz w:val="24"/>
          <w:szCs w:val="18"/>
        </w:rPr>
        <w:t>自动喷</w:t>
      </w:r>
      <w:r>
        <w:rPr>
          <w:rFonts w:hint="eastAsia" w:hAnsi="宋体" w:eastAsia="宋体" w:cs="@仿宋_GB2312"/>
          <w:sz w:val="24"/>
          <w:szCs w:val="18"/>
          <w:lang w:eastAsia="zh-CN"/>
        </w:rPr>
        <w:t>水</w:t>
      </w:r>
      <w:r>
        <w:rPr>
          <w:rFonts w:hint="eastAsia" w:hAnsi="宋体" w:eastAsia="宋体" w:cs="@仿宋_GB2312"/>
          <w:sz w:val="24"/>
          <w:szCs w:val="18"/>
        </w:rPr>
        <w:t>灭火系统</w:t>
      </w:r>
    </w:p>
    <w:tbl>
      <w:tblPr>
        <w:tblStyle w:val="64"/>
        <w:tblW w:w="9585" w:type="dxa"/>
        <w:tblInd w:w="-549" w:type="dxa"/>
        <w:tblLayout w:type="fixed"/>
        <w:tblCellMar>
          <w:top w:w="15" w:type="dxa"/>
          <w:left w:w="15" w:type="dxa"/>
          <w:bottom w:w="15" w:type="dxa"/>
          <w:right w:w="15" w:type="dxa"/>
        </w:tblCellMar>
      </w:tblPr>
      <w:tblGrid>
        <w:gridCol w:w="750"/>
        <w:gridCol w:w="2835"/>
        <w:gridCol w:w="3000"/>
        <w:gridCol w:w="3000"/>
      </w:tblGrid>
      <w:tr>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维护保养工作内容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ascii="宋体" w:hAnsi="宋体" w:eastAsia="宋体" w:cs="@仿宋_GB2312"/>
                <w:b/>
                <w:bCs/>
                <w:kern w:val="2"/>
                <w:sz w:val="24"/>
                <w:szCs w:val="18"/>
                <w:lang w:val="en-US" w:eastAsia="zh-CN" w:bidi="ar-SA"/>
              </w:rPr>
            </w:pPr>
            <w:r>
              <w:rPr>
                <w:rFonts w:hint="eastAsia" w:ascii="宋体" w:hAnsi="宋体" w:eastAsia="宋体" w:cs="@仿宋_GB2312"/>
                <w:b/>
                <w:bCs/>
                <w:kern w:val="2"/>
                <w:sz w:val="24"/>
                <w:szCs w:val="18"/>
                <w:lang w:val="en-US" w:eastAsia="zh-CN" w:bidi="ar-SA"/>
              </w:rPr>
              <w:t>维护保养标准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54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每月检查喷淋头是否完好</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喷淋头完好，无滴漏</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127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35" w:type="dxa"/>
            <w:tcBorders>
              <w:top w:val="single" w:color="000000" w:sz="4" w:space="0"/>
              <w:left w:val="single" w:color="000000" w:sz="4" w:space="0"/>
              <w:bottom w:val="single" w:color="000000" w:sz="4" w:space="0"/>
              <w:right w:val="single" w:color="000000" w:sz="4" w:space="0"/>
            </w:tcBorders>
            <w:noWrap w:val="0"/>
            <w:vAlign w:val="top"/>
          </w:tcPr>
          <w:p>
            <w:pPr>
              <w:pStyle w:val="33"/>
              <w:wordWrap w:val="0"/>
              <w:spacing w:line="240" w:lineRule="auto"/>
              <w:jc w:val="both"/>
              <w:rPr>
                <w:rFonts w:hint="eastAsia" w:hAnsi="宋体" w:eastAsia="宋体" w:cs="@仿宋_GB2312"/>
                <w:sz w:val="22"/>
                <w:szCs w:val="16"/>
              </w:rPr>
            </w:pPr>
            <w:r>
              <w:rPr>
                <w:rFonts w:hint="eastAsia" w:hAnsi="宋体" w:eastAsia="宋体" w:cs="@仿宋_GB2312"/>
                <w:sz w:val="22"/>
                <w:szCs w:val="16"/>
              </w:rPr>
              <w:t>每月检查报警阀组外观，试验排水阀排水功能，检查压力开关、水力警铃、水流指示器报警功能</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pStyle w:val="33"/>
              <w:wordWrap w:val="0"/>
              <w:spacing w:line="240" w:lineRule="auto"/>
              <w:jc w:val="both"/>
              <w:rPr>
                <w:rFonts w:hint="eastAsia" w:hAnsi="宋体" w:eastAsia="宋体" w:cs="@仿宋_GB2312"/>
                <w:sz w:val="22"/>
                <w:szCs w:val="16"/>
              </w:rPr>
            </w:pPr>
            <w:r>
              <w:rPr>
                <w:rFonts w:hint="eastAsia" w:hAnsi="宋体" w:eastAsia="宋体" w:cs="@仿宋_GB2312"/>
                <w:sz w:val="22"/>
                <w:szCs w:val="16"/>
              </w:rPr>
              <w:t xml:space="preserve">报警阀组外观完好，排水功能正常，水力警铃、压力开关、水流指示器动作灵敏，消防控制室报警联动正常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97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ind w:firstLine="398" w:firstLineChars="200"/>
              <w:jc w:val="center"/>
              <w:rPr>
                <w:rFonts w:hint="eastAsia" w:hAnsi="宋体" w:eastAsia="宋体" w:cs="@仿宋_GB2312"/>
                <w:sz w:val="22"/>
                <w:szCs w:val="16"/>
              </w:rPr>
            </w:pPr>
          </w:p>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喷淋管网各个阀门是否处于正常工作状态，阀体是否完好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各阀门在正常开关位置，阀体无损坏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89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lang w:eastAsia="zh-CN"/>
              </w:rPr>
            </w:pPr>
            <w:r>
              <w:rPr>
                <w:rFonts w:hint="eastAsia" w:hAnsi="宋体" w:eastAsia="宋体" w:cs="@仿宋_GB2312"/>
                <w:sz w:val="22"/>
                <w:szCs w:val="16"/>
              </w:rPr>
              <w:t>每月对喷淋系统管网进行</w:t>
            </w:r>
            <w:r>
              <w:rPr>
                <w:rFonts w:hint="eastAsia" w:hAnsi="宋体" w:eastAsia="宋体" w:cs="@仿宋_GB2312"/>
                <w:sz w:val="22"/>
                <w:szCs w:val="16"/>
                <w:lang w:eastAsia="zh-CN"/>
              </w:rPr>
              <w:t>抽检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喷淋管网外观完好，无变形、无锈蚀和渗透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3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每季对喷淋管网进行末端放水试验</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试验压力符合规范要求</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3</w:t>
      </w:r>
      <w:r>
        <w:rPr>
          <w:rFonts w:hint="eastAsia" w:hAnsi="宋体" w:eastAsia="宋体" w:cs="@仿宋_GB2312"/>
          <w:sz w:val="24"/>
          <w:szCs w:val="18"/>
          <w:lang w:val="en-US" w:eastAsia="zh-CN"/>
        </w:rPr>
        <w:t>.</w:t>
      </w:r>
      <w:r>
        <w:rPr>
          <w:rFonts w:hint="eastAsia" w:hAnsi="宋体" w:eastAsia="宋体" w:cs="@仿宋_GB2312"/>
          <w:sz w:val="24"/>
          <w:szCs w:val="18"/>
        </w:rPr>
        <w:t>防火分隔系统</w:t>
      </w:r>
    </w:p>
    <w:tbl>
      <w:tblPr>
        <w:tblStyle w:val="64"/>
        <w:tblW w:w="9585" w:type="dxa"/>
        <w:tblInd w:w="-564" w:type="dxa"/>
        <w:tblLayout w:type="fixed"/>
        <w:tblCellMar>
          <w:top w:w="15" w:type="dxa"/>
          <w:left w:w="15" w:type="dxa"/>
          <w:bottom w:w="15" w:type="dxa"/>
          <w:right w:w="15" w:type="dxa"/>
        </w:tblCellMar>
      </w:tblPr>
      <w:tblGrid>
        <w:gridCol w:w="780"/>
        <w:gridCol w:w="2835"/>
        <w:gridCol w:w="2985"/>
        <w:gridCol w:w="2985"/>
      </w:tblGrid>
      <w:tr>
        <w:tblPrEx>
          <w:tblCellMar>
            <w:top w:w="15" w:type="dxa"/>
            <w:left w:w="15" w:type="dxa"/>
            <w:bottom w:w="15" w:type="dxa"/>
            <w:right w:w="15" w:type="dxa"/>
          </w:tblCellMar>
        </w:tblPrEx>
        <w:trPr>
          <w:trHeight w:val="489"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sz w:val="24"/>
                <w:szCs w:val="18"/>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每年测试所有防火卷帘门烟、温感报警器联动功能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防火卷帘门联动动作正常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4"/>
                <w:szCs w:val="18"/>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r>
        <w:tblPrEx>
          <w:tblCellMar>
            <w:top w:w="15" w:type="dxa"/>
            <w:left w:w="15" w:type="dxa"/>
            <w:bottom w:w="15" w:type="dxa"/>
            <w:right w:w="15" w:type="dxa"/>
          </w:tblCellMar>
        </w:tblPrEx>
        <w:trPr>
          <w:trHeight w:val="1386"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sz w:val="24"/>
                <w:szCs w:val="18"/>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w:t>
            </w:r>
            <w:r>
              <w:rPr>
                <w:rFonts w:hint="eastAsia" w:hAnsi="宋体" w:eastAsia="宋体" w:cs="@仿宋_GB2312"/>
                <w:sz w:val="22"/>
                <w:szCs w:val="16"/>
                <w:lang w:eastAsia="zh-CN"/>
              </w:rPr>
              <w:t>季</w:t>
            </w:r>
            <w:r>
              <w:rPr>
                <w:rFonts w:hint="eastAsia" w:hAnsi="宋体" w:eastAsia="宋体" w:cs="@仿宋_GB2312"/>
                <w:sz w:val="22"/>
                <w:szCs w:val="16"/>
              </w:rPr>
              <w:t>检查所有防火卷帘门外观及配件完整性，测试所有防火卷帘门现场手动、远程起降功能是否正常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防火卷帘外观无破损，现场和远程控制卷帘起、降功能正常，升降平稳，无卡死、停顿现象</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4"/>
                <w:szCs w:val="18"/>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r>
        <w:tblPrEx>
          <w:tblCellMar>
            <w:top w:w="15" w:type="dxa"/>
            <w:left w:w="15" w:type="dxa"/>
            <w:bottom w:w="15" w:type="dxa"/>
            <w:right w:w="15" w:type="dxa"/>
          </w:tblCellMar>
        </w:tblPrEx>
        <w:trPr>
          <w:trHeight w:val="1096"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sz w:val="24"/>
                <w:szCs w:val="18"/>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防火疏散门外观及配件完整性、启闭功能及密封性能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外观无破损，开、关正常，密封性能符合要求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4"/>
                <w:szCs w:val="18"/>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81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sz w:val="24"/>
                <w:szCs w:val="18"/>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防火疏散门门吸联动功能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门吸联动功能正常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4"/>
                <w:szCs w:val="18"/>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815"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sz w:val="24"/>
                <w:szCs w:val="18"/>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w:t>
            </w:r>
            <w:r>
              <w:rPr>
                <w:rFonts w:hint="eastAsia" w:hAnsi="宋体" w:eastAsia="宋体" w:cs="@仿宋_GB2312"/>
                <w:sz w:val="22"/>
                <w:szCs w:val="16"/>
                <w:lang w:eastAsia="zh-CN"/>
              </w:rPr>
              <w:t>季</w:t>
            </w:r>
            <w:r>
              <w:rPr>
                <w:rFonts w:hint="eastAsia" w:hAnsi="宋体" w:eastAsia="宋体" w:cs="@仿宋_GB2312"/>
                <w:sz w:val="22"/>
                <w:szCs w:val="16"/>
              </w:rPr>
              <w:t>检查防火墙外观、防火封堵外观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防火墙上无不符合规范的孔洞，防火封堵紧密填实</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4"/>
                <w:szCs w:val="18"/>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bl>
    <w:p>
      <w:pPr>
        <w:pStyle w:val="33"/>
        <w:wordWrap w:val="0"/>
        <w:spacing w:line="360" w:lineRule="auto"/>
        <w:ind w:firstLine="438" w:firstLineChars="200"/>
        <w:rPr>
          <w:rFonts w:hint="eastAsia" w:hAnsi="宋体" w:eastAsia="宋体" w:cs="@仿宋_GB2312"/>
          <w:sz w:val="24"/>
          <w:szCs w:val="18"/>
        </w:rPr>
      </w:pPr>
    </w:p>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4</w:t>
      </w:r>
      <w:r>
        <w:rPr>
          <w:rFonts w:hint="eastAsia" w:hAnsi="宋体" w:eastAsia="宋体" w:cs="@仿宋_GB2312"/>
          <w:sz w:val="24"/>
          <w:szCs w:val="18"/>
          <w:lang w:val="en-US" w:eastAsia="zh-CN"/>
        </w:rPr>
        <w:t>.</w:t>
      </w:r>
      <w:r>
        <w:rPr>
          <w:rFonts w:hint="eastAsia" w:hAnsi="宋体" w:eastAsia="宋体" w:cs="@仿宋_GB2312"/>
          <w:sz w:val="24"/>
          <w:szCs w:val="18"/>
        </w:rPr>
        <w:t>消防电话</w:t>
      </w:r>
    </w:p>
    <w:tbl>
      <w:tblPr>
        <w:tblStyle w:val="64"/>
        <w:tblpPr w:leftFromText="180" w:rightFromText="180" w:vertAnchor="text" w:horzAnchor="page" w:tblpX="1237" w:tblpY="132"/>
        <w:tblOverlap w:val="never"/>
        <w:tblW w:w="9585" w:type="dxa"/>
        <w:tblInd w:w="0" w:type="dxa"/>
        <w:tblLayout w:type="fixed"/>
        <w:tblCellMar>
          <w:top w:w="15" w:type="dxa"/>
          <w:left w:w="15" w:type="dxa"/>
          <w:bottom w:w="15" w:type="dxa"/>
          <w:right w:w="15" w:type="dxa"/>
        </w:tblCellMar>
      </w:tblPr>
      <w:tblGrid>
        <w:gridCol w:w="780"/>
        <w:gridCol w:w="2835"/>
        <w:gridCol w:w="2985"/>
        <w:gridCol w:w="2985"/>
      </w:tblGrid>
      <w:tr>
        <w:tblPrEx>
          <w:tblCellMar>
            <w:top w:w="15" w:type="dxa"/>
            <w:left w:w="15" w:type="dxa"/>
            <w:bottom w:w="15" w:type="dxa"/>
            <w:right w:w="15" w:type="dxa"/>
          </w:tblCellMar>
        </w:tblPrEx>
        <w:trPr>
          <w:trHeight w:val="493"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573"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每月检查消防专用电话、插孔是否完好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外观完好、清洁</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894"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消防专用电话、插孔的通讯是否畅通，语音是否清晰、响亮</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lang w:eastAsia="zh-CN"/>
              </w:rPr>
            </w:pPr>
            <w:r>
              <w:rPr>
                <w:rFonts w:hint="eastAsia" w:hAnsi="宋体" w:eastAsia="宋体" w:cs="@仿宋_GB2312"/>
                <w:sz w:val="22"/>
                <w:szCs w:val="16"/>
              </w:rPr>
              <w:t>通讯畅通，语音清晰、响亮</w:t>
            </w:r>
            <w:r>
              <w:rPr>
                <w:rFonts w:hint="eastAsia" w:hAnsi="宋体" w:eastAsia="宋体" w:cs="@仿宋_GB2312"/>
                <w:sz w:val="22"/>
                <w:szCs w:val="16"/>
                <w:lang w:eastAsia="zh-CN"/>
              </w:rPr>
              <w:t>，全年覆盖</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测试</w:t>
            </w:r>
            <w:r>
              <w:rPr>
                <w:rFonts w:hint="eastAsia" w:hAnsi="宋体" w:eastAsia="宋体" w:cs="@仿宋_GB2312"/>
                <w:sz w:val="22"/>
                <w:szCs w:val="16"/>
              </w:rPr>
              <w:t>消防控制室外线电话的拨打功能</w:t>
            </w:r>
          </w:p>
        </w:tc>
        <w:tc>
          <w:tcPr>
            <w:tcW w:w="2985"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通讯畅通，语音清晰、响亮</w:t>
            </w:r>
          </w:p>
        </w:tc>
        <w:tc>
          <w:tcPr>
            <w:tcW w:w="2985"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5</w:t>
      </w:r>
      <w:r>
        <w:rPr>
          <w:rFonts w:hint="eastAsia" w:hAnsi="宋体" w:eastAsia="宋体" w:cs="@仿宋_GB2312"/>
          <w:sz w:val="24"/>
          <w:szCs w:val="18"/>
          <w:lang w:val="en-US" w:eastAsia="zh-CN"/>
        </w:rPr>
        <w:t>.</w:t>
      </w:r>
      <w:r>
        <w:rPr>
          <w:rFonts w:hint="eastAsia" w:hAnsi="宋体" w:eastAsia="宋体" w:cs="@仿宋_GB2312"/>
          <w:sz w:val="24"/>
          <w:szCs w:val="18"/>
        </w:rPr>
        <w:t xml:space="preserve">消防广播                              </w:t>
      </w:r>
    </w:p>
    <w:tbl>
      <w:tblPr>
        <w:tblStyle w:val="64"/>
        <w:tblW w:w="9570" w:type="dxa"/>
        <w:tblInd w:w="-549" w:type="dxa"/>
        <w:tblLayout w:type="fixed"/>
        <w:tblCellMar>
          <w:top w:w="15" w:type="dxa"/>
          <w:left w:w="15" w:type="dxa"/>
          <w:bottom w:w="15" w:type="dxa"/>
          <w:right w:w="15" w:type="dxa"/>
        </w:tblCellMar>
      </w:tblPr>
      <w:tblGrid>
        <w:gridCol w:w="750"/>
        <w:gridCol w:w="2850"/>
        <w:gridCol w:w="2985"/>
        <w:gridCol w:w="2985"/>
      </w:tblGrid>
      <w:tr>
        <w:tblPrEx>
          <w:tblCellMar>
            <w:top w:w="15" w:type="dxa"/>
            <w:left w:w="15" w:type="dxa"/>
            <w:bottom w:w="15" w:type="dxa"/>
            <w:right w:w="15" w:type="dxa"/>
          </w:tblCellMar>
        </w:tblPrEx>
        <w:trPr>
          <w:trHeight w:val="22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hAnsi="宋体" w:eastAsia="宋体" w:cs="@仿宋_GB2312"/>
                <w:b/>
                <w:bCs/>
                <w:sz w:val="24"/>
                <w:szCs w:val="18"/>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b/>
                <w:bCs/>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94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每月测试消防广播主机的功能是否正常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主机功能正常，紧急切换功能正常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扬声器外观，测试扬声器音量、音质</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扬声器外观完好，声音响亮、清晰</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6</w:t>
      </w:r>
      <w:r>
        <w:rPr>
          <w:rFonts w:hint="eastAsia" w:hAnsi="宋体" w:eastAsia="宋体" w:cs="@仿宋_GB2312"/>
          <w:sz w:val="24"/>
          <w:szCs w:val="18"/>
          <w:lang w:val="en-US" w:eastAsia="zh-CN"/>
        </w:rPr>
        <w:t>.</w:t>
      </w:r>
      <w:r>
        <w:rPr>
          <w:rFonts w:hint="eastAsia" w:hAnsi="宋体" w:eastAsia="宋体" w:cs="@仿宋_GB2312"/>
          <w:sz w:val="24"/>
          <w:szCs w:val="18"/>
        </w:rPr>
        <w:t>应急照明及疏散指示标识系统</w:t>
      </w:r>
    </w:p>
    <w:tbl>
      <w:tblPr>
        <w:tblStyle w:val="64"/>
        <w:tblW w:w="9570" w:type="dxa"/>
        <w:tblInd w:w="-549" w:type="dxa"/>
        <w:tblLayout w:type="fixed"/>
        <w:tblCellMar>
          <w:top w:w="15" w:type="dxa"/>
          <w:left w:w="15" w:type="dxa"/>
          <w:bottom w:w="15" w:type="dxa"/>
          <w:right w:w="15" w:type="dxa"/>
        </w:tblCellMar>
      </w:tblPr>
      <w:tblGrid>
        <w:gridCol w:w="750"/>
        <w:gridCol w:w="2850"/>
        <w:gridCol w:w="2985"/>
        <w:gridCol w:w="2985"/>
      </w:tblGrid>
      <w:tr>
        <w:tblPrEx>
          <w:tblCellMar>
            <w:top w:w="15" w:type="dxa"/>
            <w:left w:w="15" w:type="dxa"/>
            <w:bottom w:w="15" w:type="dxa"/>
            <w:right w:w="15" w:type="dxa"/>
          </w:tblCellMar>
        </w:tblPrEx>
        <w:trPr>
          <w:trHeight w:val="22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93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应急照明灯及疏散指示标识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应急照明灯、疏散指示标识外观无破损、工作状态正常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93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每季对应急照明及疏散指示标识进行主备电切换测试，查看应急灯照度和持续照度时间是否符合要求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主备电切换功能正常，切换备电后，应急灯照度和持续照亮时间符合规范要求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7</w:t>
      </w:r>
      <w:r>
        <w:rPr>
          <w:rFonts w:hint="eastAsia" w:hAnsi="宋体" w:eastAsia="宋体" w:cs="@仿宋_GB2312"/>
          <w:sz w:val="24"/>
          <w:szCs w:val="18"/>
          <w:lang w:val="en-US" w:eastAsia="zh-CN"/>
        </w:rPr>
        <w:t>.</w:t>
      </w:r>
      <w:r>
        <w:rPr>
          <w:rFonts w:hint="eastAsia" w:hAnsi="宋体" w:eastAsia="宋体" w:cs="@仿宋_GB2312"/>
          <w:sz w:val="24"/>
          <w:szCs w:val="18"/>
        </w:rPr>
        <w:t>消火栓</w:t>
      </w:r>
    </w:p>
    <w:tbl>
      <w:tblPr>
        <w:tblStyle w:val="64"/>
        <w:tblW w:w="9570" w:type="dxa"/>
        <w:tblInd w:w="-549" w:type="dxa"/>
        <w:tblLayout w:type="fixed"/>
        <w:tblCellMar>
          <w:top w:w="15" w:type="dxa"/>
          <w:left w:w="15" w:type="dxa"/>
          <w:bottom w:w="15" w:type="dxa"/>
          <w:right w:w="15" w:type="dxa"/>
        </w:tblCellMar>
      </w:tblPr>
      <w:tblGrid>
        <w:gridCol w:w="750"/>
        <w:gridCol w:w="2850"/>
        <w:gridCol w:w="2985"/>
        <w:gridCol w:w="2985"/>
      </w:tblGrid>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66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每月抽检消防栓外观及配件完整情况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 xml:space="preserve">消防栓外观无损坏、配件完整 </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7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每半年测试全部消防栓静压</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测试的消防栓压力符合规范要求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每月至少试射一次消火栓（防区最不利点）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消防栓喷射时充实水柱符合规范要求、测试动压符合规范要求</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125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每月测试消防栓报警联动功能是否正常</w:t>
            </w:r>
          </w:p>
        </w:tc>
        <w:tc>
          <w:tcPr>
            <w:tcW w:w="2985"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试验消防栓报警按钮，各项联动设施动作，消防控制室有报警信号显示</w:t>
            </w:r>
          </w:p>
        </w:tc>
        <w:tc>
          <w:tcPr>
            <w:tcW w:w="2985"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w:t>
            </w:r>
            <w:r>
              <w:rPr>
                <w:rFonts w:hint="eastAsia" w:hAnsi="宋体" w:eastAsia="宋体" w:cs="@仿宋_GB2312"/>
                <w:sz w:val="22"/>
                <w:szCs w:val="16"/>
                <w:lang w:eastAsia="zh-CN"/>
              </w:rPr>
              <w:t>抽检</w:t>
            </w:r>
            <w:r>
              <w:rPr>
                <w:rFonts w:hint="eastAsia" w:hAnsi="宋体" w:eastAsia="宋体" w:cs="@仿宋_GB2312"/>
                <w:sz w:val="22"/>
                <w:szCs w:val="16"/>
              </w:rPr>
              <w:t>各阀门是否处于正常工作状态，阀体是否完好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各阀门在正常开关状态，阀体无破损、漏水</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95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每月对消防栓系统管网进行</w:t>
            </w:r>
            <w:r>
              <w:rPr>
                <w:rFonts w:hint="eastAsia" w:hAnsi="宋体" w:eastAsia="宋体" w:cs="@仿宋_GB2312"/>
                <w:sz w:val="22"/>
                <w:szCs w:val="16"/>
                <w:lang w:eastAsia="zh-CN"/>
              </w:rPr>
              <w:t>外观</w:t>
            </w:r>
            <w:r>
              <w:rPr>
                <w:rFonts w:hint="eastAsia" w:hAnsi="宋体" w:eastAsia="宋体" w:cs="@仿宋_GB2312"/>
                <w:sz w:val="22"/>
                <w:szCs w:val="16"/>
              </w:rPr>
              <w:t>检查</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消防栓系统管网完好，无变形、锈蚀和渗漏</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5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每月检查水泵接合器</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水泵接合器外观完好，配置齐全，无变形、渗漏、缺损</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8</w:t>
      </w:r>
      <w:r>
        <w:rPr>
          <w:rFonts w:hint="eastAsia" w:hAnsi="宋体" w:eastAsia="宋体" w:cs="@仿宋_GB2312"/>
          <w:sz w:val="24"/>
          <w:szCs w:val="18"/>
          <w:lang w:val="en-US" w:eastAsia="zh-CN"/>
        </w:rPr>
        <w:t>.</w:t>
      </w:r>
      <w:r>
        <w:rPr>
          <w:rFonts w:hint="eastAsia" w:hAnsi="宋体" w:eastAsia="宋体" w:cs="@仿宋_GB2312"/>
          <w:sz w:val="24"/>
          <w:szCs w:val="18"/>
        </w:rPr>
        <w:t>防排烟系统</w:t>
      </w:r>
    </w:p>
    <w:tbl>
      <w:tblPr>
        <w:tblStyle w:val="64"/>
        <w:tblW w:w="9600" w:type="dxa"/>
        <w:tblInd w:w="-549" w:type="dxa"/>
        <w:tblLayout w:type="fixed"/>
        <w:tblCellMar>
          <w:top w:w="15" w:type="dxa"/>
          <w:left w:w="15" w:type="dxa"/>
          <w:bottom w:w="15" w:type="dxa"/>
          <w:right w:w="15" w:type="dxa"/>
        </w:tblCellMar>
      </w:tblPr>
      <w:tblGrid>
        <w:gridCol w:w="750"/>
        <w:gridCol w:w="2850"/>
        <w:gridCol w:w="3000"/>
        <w:gridCol w:w="3000"/>
      </w:tblGrid>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维护保养工作内容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维护保养标准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93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每月检查排烟风机、排烟阀及控制柜运行状态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风机运行稳定，无异常震动、噪声，风量、风压满足要求，排烟阀开关灵活，密闭性好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3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 xml:space="preserve">每月测试排烟风机手动/自动启停动作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手动/自动启停动作正常</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w:t>
            </w:r>
            <w:r>
              <w:rPr>
                <w:rFonts w:hint="eastAsia" w:hAnsi="宋体" w:eastAsia="宋体" w:cs="@仿宋_GB2312"/>
                <w:sz w:val="22"/>
                <w:szCs w:val="16"/>
                <w:lang w:eastAsia="zh-CN"/>
              </w:rPr>
              <w:t>月抽查</w:t>
            </w:r>
            <w:r>
              <w:rPr>
                <w:rFonts w:hint="eastAsia" w:hAnsi="宋体" w:eastAsia="宋体" w:cs="@仿宋_GB2312"/>
                <w:sz w:val="22"/>
                <w:szCs w:val="16"/>
              </w:rPr>
              <w:t>防火阀及联动功能是否正常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防火阀阀体完好，联动动作正常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w:t>
            </w:r>
            <w:r>
              <w:rPr>
                <w:rFonts w:hint="eastAsia" w:hAnsi="宋体" w:eastAsia="宋体" w:cs="@仿宋_GB2312"/>
                <w:sz w:val="22"/>
                <w:szCs w:val="16"/>
                <w:lang w:eastAsia="zh-CN"/>
              </w:rPr>
              <w:t>季</w:t>
            </w:r>
            <w:r>
              <w:rPr>
                <w:rFonts w:hint="eastAsia" w:hAnsi="宋体" w:eastAsia="宋体" w:cs="@仿宋_GB2312"/>
                <w:sz w:val="22"/>
                <w:szCs w:val="16"/>
              </w:rPr>
              <w:t>测试排烟风机、排烟阀联动功能是否正常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default" w:hAnsi="宋体" w:eastAsia="宋体" w:cs="@仿宋_GB2312"/>
                <w:sz w:val="22"/>
                <w:szCs w:val="16"/>
                <w:lang w:val="en-US" w:eastAsia="zh-CN"/>
              </w:rPr>
            </w:pPr>
            <w:r>
              <w:rPr>
                <w:rFonts w:hint="eastAsia" w:hAnsi="宋体" w:eastAsia="宋体" w:cs="@仿宋_GB2312"/>
                <w:sz w:val="22"/>
                <w:szCs w:val="16"/>
              </w:rPr>
              <w:t>联动功能正常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2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每月对风管进行外观检查</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风管无变形、损伤</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9</w:t>
      </w:r>
      <w:r>
        <w:rPr>
          <w:rFonts w:hint="eastAsia" w:hAnsi="宋体" w:eastAsia="宋体" w:cs="@仿宋_GB2312"/>
          <w:sz w:val="24"/>
          <w:szCs w:val="18"/>
          <w:lang w:val="en-US" w:eastAsia="zh-CN"/>
        </w:rPr>
        <w:t>.</w:t>
      </w:r>
      <w:r>
        <w:rPr>
          <w:rFonts w:hint="eastAsia" w:hAnsi="宋体" w:eastAsia="宋体" w:cs="@仿宋_GB2312"/>
          <w:sz w:val="24"/>
          <w:szCs w:val="18"/>
        </w:rPr>
        <w:t xml:space="preserve">消防供水设施      </w:t>
      </w:r>
    </w:p>
    <w:tbl>
      <w:tblPr>
        <w:tblStyle w:val="64"/>
        <w:tblW w:w="9600" w:type="dxa"/>
        <w:tblInd w:w="-549" w:type="dxa"/>
        <w:tblLayout w:type="fixed"/>
        <w:tblCellMar>
          <w:top w:w="15" w:type="dxa"/>
          <w:left w:w="15" w:type="dxa"/>
          <w:bottom w:w="15" w:type="dxa"/>
          <w:right w:w="15" w:type="dxa"/>
        </w:tblCellMar>
      </w:tblPr>
      <w:tblGrid>
        <w:gridCol w:w="765"/>
        <w:gridCol w:w="2835"/>
        <w:gridCol w:w="3000"/>
        <w:gridCol w:w="3000"/>
      </w:tblGrid>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维护保养工作内容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维护保养标准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9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每月核对消防水池/消防水塔/消防水箱储水状态，检查消防水塔/消防水箱自动进水功能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高/低水位报警正常，消防水塔/消防水箱自动进水功能正常</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每月检查消防水泵及控制柜运行状态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消防水泵和控制柜运行正常</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每月检查消防水池/水箱/水塔进口阀门、出口阀门、水泵进出口阀门状态</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阀门开关状态正常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每月测试泵房水泵远程/本地启泵功能</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远程/本地启泵正常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每季测试稳压泵、增加泵、气压水罐工作状态</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模拟系统渗漏，测试稳压泵、增压泵及气压水罐稳压、增压能力</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01"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6</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每季测试泄压装置动作</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泄压阀动作正常</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r>
        <w:tblPrEx>
          <w:tblCellMar>
            <w:top w:w="15" w:type="dxa"/>
            <w:left w:w="15" w:type="dxa"/>
            <w:bottom w:w="15" w:type="dxa"/>
            <w:right w:w="15" w:type="dxa"/>
          </w:tblCellMar>
        </w:tblPrEx>
        <w:trPr>
          <w:trHeight w:val="78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7</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每年进行喷淋、消火栓、水幕供水系统水流量测试</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流量测试满足要求</w:t>
            </w:r>
          </w:p>
        </w:tc>
        <w:tc>
          <w:tcPr>
            <w:tcW w:w="3000" w:type="dxa"/>
            <w:tcBorders>
              <w:top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1</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，并扣除服务费200元。</w:t>
            </w:r>
          </w:p>
        </w:tc>
      </w:tr>
    </w:tbl>
    <w:p>
      <w:pPr>
        <w:pStyle w:val="33"/>
        <w:wordWrap w:val="0"/>
        <w:spacing w:line="360" w:lineRule="auto"/>
        <w:rPr>
          <w:rFonts w:hint="eastAsia" w:hAnsi="宋体" w:eastAsia="宋体" w:cs="@仿宋_GB2312"/>
          <w:sz w:val="24"/>
          <w:szCs w:val="18"/>
        </w:rPr>
      </w:pPr>
      <w:r>
        <w:rPr>
          <w:rFonts w:hint="eastAsia" w:hAnsi="宋体" w:eastAsia="宋体" w:cs="@仿宋_GB2312"/>
          <w:sz w:val="24"/>
          <w:szCs w:val="18"/>
        </w:rPr>
        <w:t>10</w:t>
      </w:r>
      <w:r>
        <w:rPr>
          <w:rFonts w:hint="eastAsia" w:hAnsi="宋体" w:eastAsia="宋体" w:cs="@仿宋_GB2312"/>
          <w:sz w:val="24"/>
          <w:szCs w:val="18"/>
          <w:lang w:val="en-US" w:eastAsia="zh-CN"/>
        </w:rPr>
        <w:t>.</w:t>
      </w:r>
      <w:r>
        <w:rPr>
          <w:rFonts w:hint="eastAsia" w:hAnsi="宋体" w:eastAsia="宋体" w:cs="@仿宋_GB2312"/>
          <w:sz w:val="24"/>
          <w:szCs w:val="18"/>
        </w:rPr>
        <w:t>二氧化碳气体灭火系统</w:t>
      </w:r>
    </w:p>
    <w:tbl>
      <w:tblPr>
        <w:tblStyle w:val="64"/>
        <w:tblW w:w="9585" w:type="dxa"/>
        <w:tblInd w:w="-549" w:type="dxa"/>
        <w:tblLayout w:type="fixed"/>
        <w:tblCellMar>
          <w:top w:w="15" w:type="dxa"/>
          <w:left w:w="15" w:type="dxa"/>
          <w:bottom w:w="15" w:type="dxa"/>
          <w:right w:w="15" w:type="dxa"/>
        </w:tblCellMar>
      </w:tblPr>
      <w:tblGrid>
        <w:gridCol w:w="765"/>
        <w:gridCol w:w="2850"/>
        <w:gridCol w:w="2985"/>
        <w:gridCol w:w="2985"/>
      </w:tblGrid>
      <w:tr>
        <w:trPr>
          <w:trHeight w:val="625"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维护保养工作内容</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hAnsi="宋体" w:eastAsia="宋体" w:cs="@仿宋_GB2312"/>
                <w:b/>
                <w:bCs/>
                <w:sz w:val="24"/>
                <w:szCs w:val="18"/>
              </w:rPr>
              <w:t>维护保养标准</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360" w:lineRule="auto"/>
              <w:jc w:val="center"/>
              <w:rPr>
                <w:rFonts w:hint="eastAsia" w:hAnsi="宋体" w:eastAsia="宋体" w:cs="@仿宋_GB2312"/>
                <w:sz w:val="24"/>
                <w:szCs w:val="18"/>
              </w:rPr>
            </w:pPr>
            <w:r>
              <w:rPr>
                <w:rFonts w:hint="eastAsia" w:ascii="宋体" w:hAnsi="宋体" w:eastAsia="宋体" w:cs="@仿宋_GB2312"/>
                <w:b/>
                <w:bCs/>
                <w:kern w:val="2"/>
                <w:sz w:val="24"/>
                <w:szCs w:val="18"/>
                <w:lang w:val="en-US" w:eastAsia="zh-CN" w:bidi="ar-SA"/>
              </w:rPr>
              <w:t>扣分标准</w:t>
            </w:r>
          </w:p>
        </w:tc>
      </w:tr>
      <w:tr>
        <w:tblPrEx>
          <w:tblCellMar>
            <w:top w:w="15" w:type="dxa"/>
            <w:left w:w="15" w:type="dxa"/>
            <w:bottom w:w="15" w:type="dxa"/>
            <w:right w:w="15" w:type="dxa"/>
          </w:tblCellMar>
        </w:tblPrEx>
        <w:trPr>
          <w:trHeight w:val="9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每月对灭火剂储存容器、驱动气瓶、探测器、选择阀、单向阀、电磁阀、集流器、喷嘴、管网等全部系统组件进行外观检查</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灭火剂称重合格，灭火剂和驱动储存容器压力在正常范围，铅封完好，无组件变形和其他机械损伤，表面无锈蚀</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93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每季测试烟感、光感等探测器报警功能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探测器动作灵敏、报警准确</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78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每季测试手动启动、停止功能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手动启动、停止正常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r>
        <w:tblPrEx>
          <w:tblCellMar>
            <w:top w:w="15" w:type="dxa"/>
            <w:left w:w="15" w:type="dxa"/>
            <w:bottom w:w="15" w:type="dxa"/>
            <w:right w:w="15" w:type="dxa"/>
          </w:tblCellMar>
        </w:tblPrEx>
        <w:trPr>
          <w:trHeight w:val="104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jc w:val="center"/>
              <w:rPr>
                <w:rFonts w:hint="eastAsia" w:hAnsi="宋体" w:eastAsia="宋体" w:cs="@仿宋_GB2312"/>
                <w:sz w:val="22"/>
                <w:szCs w:val="16"/>
              </w:rPr>
            </w:pPr>
            <w:r>
              <w:rPr>
                <w:rFonts w:hint="eastAsia" w:hAnsi="宋体" w:eastAsia="宋体" w:cs="@仿宋_GB2312"/>
                <w:sz w:val="22"/>
                <w:szCs w:val="16"/>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每季对防护区进行一次模拟启动试验</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sz w:val="22"/>
                <w:szCs w:val="16"/>
              </w:rPr>
              <w:t>报警、联动动作正常，试验合格</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pStyle w:val="33"/>
              <w:wordWrap w:val="0"/>
              <w:spacing w:line="240" w:lineRule="auto"/>
              <w:rPr>
                <w:rFonts w:hint="eastAsia" w:hAnsi="宋体" w:eastAsia="宋体" w:cs="@仿宋_GB2312"/>
                <w:sz w:val="22"/>
                <w:szCs w:val="16"/>
              </w:rPr>
            </w:pPr>
            <w:r>
              <w:rPr>
                <w:rFonts w:hint="eastAsia" w:hAnsi="宋体" w:eastAsia="宋体" w:cs="@仿宋_GB2312"/>
                <w:kern w:val="2"/>
                <w:sz w:val="22"/>
                <w:szCs w:val="16"/>
                <w:lang w:val="en-US" w:eastAsia="zh-CN" w:bidi="ar-SA"/>
              </w:rPr>
              <w:t>任一处未达标准</w:t>
            </w:r>
            <w:r>
              <w:rPr>
                <w:rFonts w:hint="eastAsia" w:ascii="宋体" w:hAnsi="宋体" w:eastAsia="宋体" w:cs="@仿宋_GB2312"/>
                <w:kern w:val="2"/>
                <w:sz w:val="22"/>
                <w:szCs w:val="16"/>
                <w:lang w:val="en-US" w:eastAsia="zh-CN" w:bidi="ar-SA"/>
              </w:rPr>
              <w:t>，扣考核评分</w:t>
            </w:r>
            <w:r>
              <w:rPr>
                <w:rFonts w:hint="eastAsia" w:hAnsi="宋体" w:eastAsia="宋体" w:cs="@仿宋_GB2312"/>
                <w:kern w:val="2"/>
                <w:sz w:val="22"/>
                <w:szCs w:val="16"/>
                <w:lang w:val="en-US" w:eastAsia="zh-CN" w:bidi="ar-SA"/>
              </w:rPr>
              <w:t>0.5</w:t>
            </w:r>
            <w:r>
              <w:rPr>
                <w:rFonts w:hint="eastAsia" w:ascii="宋体" w:hAnsi="宋体" w:eastAsia="宋体" w:cs="@仿宋_GB2312"/>
                <w:kern w:val="2"/>
                <w:sz w:val="22"/>
                <w:szCs w:val="16"/>
                <w:lang w:val="en-US" w:eastAsia="zh-CN" w:bidi="ar-SA"/>
              </w:rPr>
              <w:t>分</w:t>
            </w:r>
            <w:r>
              <w:rPr>
                <w:rFonts w:hint="eastAsia" w:hAnsi="宋体" w:eastAsia="宋体" w:cs="@仿宋_GB2312"/>
                <w:kern w:val="2"/>
                <w:sz w:val="22"/>
                <w:szCs w:val="16"/>
                <w:lang w:val="en-US" w:eastAsia="zh-CN" w:bidi="ar-SA"/>
              </w:rPr>
              <w:t>，并扣除服务费100元。</w:t>
            </w:r>
          </w:p>
        </w:tc>
      </w:tr>
    </w:tbl>
    <w:p>
      <w:pPr>
        <w:spacing w:line="360" w:lineRule="auto"/>
        <w:ind w:firstLine="438" w:firstLineChars="200"/>
        <w:rPr>
          <w:rFonts w:ascii="宋体" w:hAnsi="宋体" w:eastAsia="宋体" w:cs="@仿宋_GB2312"/>
          <w:b/>
          <w:bCs/>
          <w:sz w:val="24"/>
          <w:szCs w:val="18"/>
        </w:rPr>
      </w:pPr>
      <w:r>
        <w:rPr>
          <w:rFonts w:hint="eastAsia" w:ascii="宋体" w:hAnsi="宋体" w:eastAsia="宋体" w:cs="@仿宋_GB2312"/>
          <w:b/>
          <w:bCs/>
          <w:sz w:val="24"/>
          <w:szCs w:val="18"/>
        </w:rPr>
        <w:t>七、评审方法和标准</w:t>
      </w:r>
    </w:p>
    <w:p>
      <w:pPr>
        <w:pStyle w:val="33"/>
        <w:wordWrap w:val="0"/>
        <w:spacing w:line="360" w:lineRule="auto"/>
        <w:ind w:firstLine="438" w:firstLineChars="200"/>
        <w:rPr>
          <w:rFonts w:hint="eastAsia" w:hAnsi="宋体" w:eastAsia="宋体" w:cs="@仿宋_GB2312"/>
          <w:sz w:val="24"/>
          <w:szCs w:val="18"/>
        </w:rPr>
      </w:pPr>
      <w:r>
        <w:rPr>
          <w:rFonts w:hint="eastAsia" w:hAnsi="宋体" w:eastAsia="宋体" w:cs="@仿宋_GB2312"/>
          <w:sz w:val="24"/>
          <w:szCs w:val="18"/>
        </w:rPr>
        <w:t>本项目采用综合评分，满分为100分，其中：技术资信占总分值的权重为70%，商务部分占总分值的权重为30%。具体评分细则如下：</w:t>
      </w:r>
    </w:p>
    <w:p>
      <w:pPr>
        <w:pStyle w:val="33"/>
        <w:wordWrap w:val="0"/>
        <w:spacing w:line="360" w:lineRule="auto"/>
        <w:ind w:firstLine="438" w:firstLineChars="200"/>
        <w:rPr>
          <w:rFonts w:hint="eastAsia" w:ascii="宋体" w:hAnsi="宋体" w:eastAsia="宋体" w:cs="@仿宋_GB2312"/>
          <w:b/>
          <w:bCs/>
          <w:sz w:val="24"/>
          <w:szCs w:val="18"/>
          <w:lang w:eastAsia="zh-CN"/>
        </w:rPr>
      </w:pPr>
      <w:r>
        <w:rPr>
          <w:rFonts w:hint="eastAsia" w:ascii="宋体" w:hAnsi="宋体" w:eastAsia="宋体" w:cs="@仿宋_GB2312"/>
          <w:b/>
          <w:bCs/>
          <w:sz w:val="24"/>
          <w:szCs w:val="18"/>
          <w:lang w:val="en-US" w:eastAsia="zh-CN"/>
        </w:rPr>
        <w:t>1.</w:t>
      </w:r>
      <w:r>
        <w:rPr>
          <w:rFonts w:hint="eastAsia" w:ascii="宋体" w:hAnsi="宋体" w:eastAsia="宋体" w:cs="@仿宋_GB2312"/>
          <w:b/>
          <w:bCs/>
          <w:sz w:val="24"/>
          <w:szCs w:val="18"/>
        </w:rPr>
        <w:t>技术部分详细评审</w:t>
      </w:r>
      <w:bookmarkStart w:id="199" w:name="_Hlk514734883"/>
      <w:r>
        <w:rPr>
          <w:rFonts w:hint="eastAsia" w:ascii="宋体" w:hAnsi="宋体" w:eastAsia="宋体" w:cs="@仿宋_GB2312"/>
          <w:b/>
          <w:bCs/>
          <w:sz w:val="24"/>
          <w:szCs w:val="18"/>
        </w:rPr>
        <w:t>指标如下：</w:t>
      </w:r>
      <w:bookmarkEnd w:id="199"/>
    </w:p>
    <w:tbl>
      <w:tblPr>
        <w:tblStyle w:val="64"/>
        <w:tblW w:w="5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42"/>
        <w:gridCol w:w="719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4"/>
            <w:noWrap w:val="0"/>
            <w:vAlign w:val="center"/>
          </w:tcPr>
          <w:p>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76" w:type="pct"/>
            <w:noWrap w:val="0"/>
            <w:vAlign w:val="center"/>
          </w:tcPr>
          <w:p>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序号</w:t>
            </w:r>
          </w:p>
        </w:tc>
        <w:tc>
          <w:tcPr>
            <w:tcW w:w="763" w:type="pct"/>
            <w:noWrap w:val="0"/>
            <w:vAlign w:val="center"/>
          </w:tcPr>
          <w:p>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指标</w:t>
            </w:r>
          </w:p>
        </w:tc>
        <w:tc>
          <w:tcPr>
            <w:tcW w:w="3344" w:type="pct"/>
            <w:noWrap w:val="0"/>
            <w:vAlign w:val="center"/>
          </w:tcPr>
          <w:p>
            <w:pPr>
              <w:keepNext w:val="0"/>
              <w:keepLines w:val="0"/>
              <w:pageBreakBefore w:val="0"/>
              <w:kinsoku/>
              <w:overflowPunct/>
              <w:topLinePunct w:val="0"/>
              <w:bidi w:val="0"/>
              <w:adjustRightInd w:val="0"/>
              <w:snapToGrid w:val="0"/>
              <w:spacing w:line="400" w:lineRule="exact"/>
              <w:ind w:firstLine="398" w:firstLineChars="200"/>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指标描述</w:t>
            </w:r>
          </w:p>
        </w:tc>
        <w:tc>
          <w:tcPr>
            <w:tcW w:w="516" w:type="pct"/>
            <w:noWrap w:val="0"/>
            <w:vAlign w:val="center"/>
          </w:tcPr>
          <w:p>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分值</w:t>
            </w:r>
          </w:p>
          <w:p>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1</w:t>
            </w:r>
          </w:p>
        </w:tc>
        <w:tc>
          <w:tcPr>
            <w:tcW w:w="763" w:type="pct"/>
            <w:noWrap w:val="0"/>
            <w:vAlign w:val="center"/>
          </w:tcPr>
          <w:p>
            <w:pPr>
              <w:keepNext w:val="0"/>
              <w:keepLines w:val="0"/>
              <w:pageBreakBefore w:val="0"/>
              <w:kinsoku/>
              <w:overflowPunct/>
              <w:topLinePunct w:val="0"/>
              <w:bidi w:val="0"/>
              <w:spacing w:before="24" w:after="24"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投标人认证体系</w:t>
            </w:r>
          </w:p>
        </w:tc>
        <w:tc>
          <w:tcPr>
            <w:tcW w:w="3344" w:type="pct"/>
            <w:noWrap w:val="0"/>
            <w:vAlign w:val="center"/>
          </w:tcPr>
          <w:p>
            <w:pPr>
              <w:keepNext w:val="0"/>
              <w:keepLines w:val="0"/>
              <w:pageBreakBefore w:val="0"/>
              <w:kinsoku/>
              <w:overflowPunct/>
              <w:topLinePunct w:val="0"/>
              <w:bidi w:val="0"/>
              <w:spacing w:before="24" w:after="24"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投标人具有经中国国家认证认可监督管理委员会认可的认证机构颁发的有效的质量管理体系认证证书、环境管理体系认证证书、职业健康安全管理体系证书，每提供一项证书得</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分，满分为</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分。</w:t>
            </w:r>
          </w:p>
          <w:p>
            <w:pPr>
              <w:keepNext w:val="0"/>
              <w:keepLines w:val="0"/>
              <w:pageBreakBefore w:val="0"/>
              <w:kinsoku/>
              <w:overflowPunct/>
              <w:topLinePunct w:val="0"/>
              <w:bidi w:val="0"/>
              <w:spacing w:before="24" w:after="24"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注：响应文件中同时提供证书扫描件及全国认证认可信息公共服务平台官网证书信息查询截图</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6</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eastAsia="zh-CN"/>
              </w:rPr>
            </w:pPr>
            <w:r>
              <w:rPr>
                <w:rFonts w:hint="eastAsia" w:ascii="宋体" w:hAnsi="宋体" w:eastAsia="宋体" w:cs="宋体"/>
                <w:color w:val="000000"/>
                <w:sz w:val="22"/>
                <w:szCs w:val="21"/>
                <w:lang w:val="en-US" w:eastAsia="zh-CN"/>
              </w:rPr>
              <w:t>2</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人员配备</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1.投标人拟为本项目配备的</w:t>
            </w:r>
            <w:r>
              <w:rPr>
                <w:rFonts w:hint="eastAsia" w:ascii="宋体" w:hAnsi="宋体" w:eastAsia="宋体" w:cs="宋体"/>
                <w:color w:val="000000"/>
                <w:sz w:val="22"/>
                <w:szCs w:val="21"/>
                <w:lang w:eastAsia="zh-CN"/>
              </w:rPr>
              <w:t>项目</w:t>
            </w:r>
            <w:r>
              <w:rPr>
                <w:rFonts w:hint="eastAsia" w:ascii="宋体" w:hAnsi="宋体" w:eastAsia="宋体" w:cs="宋体"/>
                <w:color w:val="000000"/>
                <w:sz w:val="22"/>
                <w:szCs w:val="21"/>
              </w:rPr>
              <w:t>负责人(1人)：</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具有一级注册消防工程师证书</w:t>
            </w:r>
            <w:r>
              <w:rPr>
                <w:rFonts w:hint="eastAsia" w:ascii="宋体" w:hAnsi="宋体" w:eastAsia="宋体" w:cs="宋体"/>
                <w:color w:val="000000"/>
                <w:sz w:val="22"/>
                <w:szCs w:val="21"/>
                <w:lang w:eastAsia="zh-CN"/>
              </w:rPr>
              <w:t>的</w:t>
            </w:r>
            <w:r>
              <w:rPr>
                <w:rFonts w:hint="eastAsia" w:ascii="宋体" w:hAnsi="宋体" w:eastAsia="宋体" w:cs="宋体"/>
                <w:color w:val="000000"/>
                <w:sz w:val="22"/>
                <w:szCs w:val="21"/>
              </w:rPr>
              <w:t>，得2分；</w:t>
            </w:r>
          </w:p>
          <w:p>
            <w:pPr>
              <w:pStyle w:val="63"/>
              <w:keepNext w:val="0"/>
              <w:keepLines w:val="0"/>
              <w:pageBreakBefore w:val="0"/>
              <w:tabs>
                <w:tab w:val="left" w:pos="0"/>
                <w:tab w:val="left" w:pos="993"/>
                <w:tab w:val="left" w:pos="1134"/>
              </w:tabs>
              <w:kinsoku/>
              <w:overflowPunct/>
              <w:topLinePunct w:val="0"/>
              <w:bidi w:val="0"/>
              <w:spacing w:line="400" w:lineRule="exact"/>
              <w:ind w:left="0" w:leftChars="0" w:firstLine="0" w:firstLineChars="0"/>
              <w:textAlignment w:val="auto"/>
              <w:rPr>
                <w:rFonts w:hint="eastAsia" w:ascii="宋体" w:hAnsi="宋体" w:eastAsia="宋体" w:cs="宋体"/>
                <w:color w:val="000000"/>
                <w:kern w:val="2"/>
                <w:sz w:val="22"/>
                <w:szCs w:val="21"/>
                <w:lang w:val="en-US" w:eastAsia="zh-CN" w:bidi="ar-SA"/>
              </w:rPr>
            </w:pPr>
            <w:r>
              <w:rPr>
                <w:rFonts w:hint="eastAsia" w:ascii="宋体" w:hAnsi="宋体" w:eastAsia="宋体" w:cs="宋体"/>
                <w:color w:val="000000"/>
                <w:kern w:val="2"/>
                <w:sz w:val="22"/>
                <w:szCs w:val="21"/>
                <w:lang w:val="en-US" w:eastAsia="zh-CN" w:bidi="ar-SA"/>
              </w:rPr>
              <w:t>2.投标人拟为本项目配备的技术负责人(1人)：</w:t>
            </w:r>
          </w:p>
          <w:p>
            <w:pPr>
              <w:pStyle w:val="63"/>
              <w:keepNext w:val="0"/>
              <w:keepLines w:val="0"/>
              <w:pageBreakBefore w:val="0"/>
              <w:tabs>
                <w:tab w:val="left" w:pos="0"/>
                <w:tab w:val="left" w:pos="993"/>
                <w:tab w:val="left" w:pos="1134"/>
              </w:tabs>
              <w:kinsoku/>
              <w:overflowPunct/>
              <w:topLinePunct w:val="0"/>
              <w:bidi w:val="0"/>
              <w:spacing w:line="400" w:lineRule="exact"/>
              <w:ind w:left="0" w:leftChars="0" w:firstLine="0" w:firstLineChars="0"/>
              <w:textAlignment w:val="auto"/>
              <w:rPr>
                <w:rFonts w:hint="default" w:ascii="宋体" w:hAnsi="宋体" w:eastAsia="宋体" w:cs="宋体"/>
                <w:color w:val="000000"/>
                <w:kern w:val="2"/>
                <w:sz w:val="22"/>
                <w:szCs w:val="21"/>
                <w:lang w:val="en-US" w:eastAsia="zh-CN" w:bidi="ar-SA"/>
              </w:rPr>
            </w:pPr>
            <w:r>
              <w:rPr>
                <w:rFonts w:hint="eastAsia" w:ascii="宋体" w:hAnsi="宋体" w:eastAsia="宋体" w:cs="宋体"/>
                <w:color w:val="000000"/>
                <w:kern w:val="2"/>
                <w:sz w:val="22"/>
                <w:szCs w:val="21"/>
                <w:lang w:val="en-US" w:eastAsia="zh-CN" w:bidi="ar-SA"/>
              </w:rPr>
              <w:t>具有一级注册消防工程师证书的，得2分；</w:t>
            </w:r>
          </w:p>
          <w:p>
            <w:pPr>
              <w:pStyle w:val="63"/>
              <w:keepNext w:val="0"/>
              <w:keepLines w:val="0"/>
              <w:pageBreakBefore w:val="0"/>
              <w:tabs>
                <w:tab w:val="left" w:pos="0"/>
                <w:tab w:val="left" w:pos="993"/>
                <w:tab w:val="left" w:pos="1134"/>
              </w:tabs>
              <w:kinsoku/>
              <w:overflowPunct/>
              <w:topLinePunct w:val="0"/>
              <w:bidi w:val="0"/>
              <w:spacing w:line="400" w:lineRule="exact"/>
              <w:ind w:left="0" w:leftChars="0" w:firstLine="0" w:firstLineChars="0"/>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lang w:val="en-US" w:eastAsia="zh-CN"/>
              </w:rPr>
              <w:t>3</w:t>
            </w:r>
            <w:r>
              <w:rPr>
                <w:rFonts w:hint="eastAsia" w:ascii="宋体" w:hAnsi="宋体" w:eastAsia="宋体" w:cs="宋体"/>
                <w:color w:val="000000"/>
                <w:sz w:val="22"/>
                <w:szCs w:val="21"/>
              </w:rPr>
              <w:t>.投标人拟为本项目配备的维保团队作业人员须具有</w:t>
            </w:r>
            <w:r>
              <w:rPr>
                <w:rFonts w:hint="eastAsia" w:ascii="宋体" w:hAnsi="宋体" w:eastAsia="宋体" w:cs="宋体"/>
                <w:color w:val="000000"/>
                <w:sz w:val="22"/>
                <w:szCs w:val="21"/>
                <w:lang w:val="en-US" w:eastAsia="zh-CN"/>
              </w:rPr>
              <w:t>中级消防员</w:t>
            </w:r>
            <w:r>
              <w:rPr>
                <w:rFonts w:hint="eastAsia" w:ascii="宋体" w:hAnsi="宋体" w:eastAsia="宋体" w:cs="宋体"/>
                <w:color w:val="000000"/>
                <w:sz w:val="22"/>
                <w:szCs w:val="21"/>
                <w:lang w:eastAsia="zh-CN"/>
              </w:rPr>
              <w:t>资格</w:t>
            </w:r>
            <w:r>
              <w:rPr>
                <w:rFonts w:hint="eastAsia" w:ascii="宋体" w:hAnsi="宋体" w:eastAsia="宋体" w:cs="宋体"/>
                <w:color w:val="000000"/>
                <w:sz w:val="22"/>
                <w:szCs w:val="21"/>
                <w:lang w:val="en-US" w:eastAsia="zh-CN"/>
              </w:rPr>
              <w:t>的</w:t>
            </w:r>
            <w:r>
              <w:rPr>
                <w:rFonts w:hint="eastAsia" w:ascii="宋体" w:hAnsi="宋体" w:eastAsia="宋体" w:cs="宋体"/>
                <w:color w:val="000000"/>
                <w:sz w:val="22"/>
                <w:szCs w:val="21"/>
              </w:rPr>
              <w:t>，</w:t>
            </w:r>
            <w:r>
              <w:rPr>
                <w:rFonts w:hint="eastAsia" w:ascii="宋体" w:hAnsi="宋体" w:eastAsia="宋体" w:cs="宋体"/>
                <w:color w:val="000000"/>
                <w:sz w:val="22"/>
                <w:szCs w:val="21"/>
                <w:lang w:val="en-US" w:eastAsia="zh-CN"/>
              </w:rPr>
              <w:t>每提供1人得</w:t>
            </w:r>
            <w:r>
              <w:rPr>
                <w:rFonts w:hint="eastAsia" w:ascii="宋体" w:hAnsi="宋体" w:eastAsia="宋体" w:cs="宋体"/>
                <w:color w:val="000000"/>
                <w:sz w:val="22"/>
                <w:szCs w:val="21"/>
              </w:rPr>
              <w:t xml:space="preserve"> </w:t>
            </w:r>
            <w:r>
              <w:rPr>
                <w:rFonts w:hint="eastAsia" w:ascii="宋体" w:hAnsi="宋体" w:eastAsia="宋体" w:cs="宋体"/>
                <w:color w:val="000000"/>
                <w:sz w:val="22"/>
                <w:szCs w:val="21"/>
                <w:lang w:val="en-US" w:eastAsia="zh-CN"/>
              </w:rPr>
              <w:t>1</w:t>
            </w:r>
            <w:r>
              <w:rPr>
                <w:rFonts w:hint="eastAsia" w:ascii="宋体" w:hAnsi="宋体" w:eastAsia="宋体" w:cs="宋体"/>
                <w:color w:val="000000"/>
                <w:sz w:val="22"/>
                <w:szCs w:val="21"/>
              </w:rPr>
              <w:t>分</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lang w:val="en-US" w:eastAsia="zh-CN"/>
              </w:rPr>
              <w:t>满分6分。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1）响应文件中提供上述人员名单（格式自拟）；（2）响应文件中同时提供上述人员证书的扫描件及投标人为上述人员缴纳的近6个月内（任意连续3个月即可）社保证明材料扫描件，具体形式要求详见投标人须知前附表。</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0-1</w:t>
            </w:r>
            <w:r>
              <w:rPr>
                <w:rFonts w:hint="eastAsia" w:ascii="宋体" w:hAnsi="宋体" w:eastAsia="宋体" w:cs="宋体"/>
                <w:b/>
                <w:color w:val="000000"/>
                <w:sz w:val="22"/>
                <w:szCs w:val="21"/>
                <w:lang w:val="en-US" w:eastAsia="zh-CN"/>
              </w:rPr>
              <w:t>0</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eastAsia="zh-CN"/>
              </w:rPr>
            </w:pPr>
            <w:r>
              <w:rPr>
                <w:rFonts w:hint="eastAsia" w:ascii="宋体" w:hAnsi="宋体" w:eastAsia="宋体" w:cs="宋体"/>
                <w:color w:val="000000"/>
                <w:sz w:val="22"/>
                <w:szCs w:val="21"/>
                <w:lang w:val="en-US" w:eastAsia="zh-CN"/>
              </w:rPr>
              <w:t>3</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投标人</w:t>
            </w:r>
          </w:p>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业绩</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lang w:eastAsia="zh-CN"/>
              </w:rPr>
            </w:pPr>
            <w:r>
              <w:rPr>
                <w:rFonts w:hint="eastAsia" w:ascii="宋体" w:hAnsi="宋体" w:eastAsia="宋体" w:cs="宋体"/>
                <w:color w:val="000000"/>
                <w:sz w:val="22"/>
                <w:szCs w:val="21"/>
              </w:rPr>
              <w:t>自20</w:t>
            </w:r>
            <w:r>
              <w:rPr>
                <w:rFonts w:hint="eastAsia" w:ascii="宋体" w:hAnsi="宋体" w:eastAsia="宋体" w:cs="宋体"/>
                <w:color w:val="000000"/>
                <w:sz w:val="22"/>
                <w:szCs w:val="21"/>
                <w:lang w:val="en-US" w:eastAsia="zh-CN"/>
              </w:rPr>
              <w:t>21</w:t>
            </w:r>
            <w:r>
              <w:rPr>
                <w:rFonts w:hint="eastAsia" w:ascii="宋体" w:hAnsi="宋体" w:eastAsia="宋体" w:cs="宋体"/>
                <w:color w:val="000000"/>
                <w:sz w:val="22"/>
                <w:szCs w:val="21"/>
              </w:rPr>
              <w:t>年1月1日以来</w:t>
            </w:r>
            <w:r>
              <w:rPr>
                <w:rFonts w:hint="eastAsia" w:ascii="宋体" w:hAnsi="宋体" w:eastAsia="宋体" w:cs="宋体"/>
                <w:b/>
                <w:color w:val="000000"/>
                <w:sz w:val="22"/>
                <w:szCs w:val="21"/>
              </w:rPr>
              <w:t>（以合同签订时间为准）</w:t>
            </w:r>
            <w:r>
              <w:rPr>
                <w:rFonts w:hint="eastAsia" w:ascii="宋体" w:hAnsi="宋体" w:eastAsia="宋体" w:cs="宋体"/>
                <w:color w:val="000000"/>
                <w:sz w:val="22"/>
                <w:szCs w:val="21"/>
              </w:rPr>
              <w:t>，投标人具有</w:t>
            </w:r>
            <w:r>
              <w:rPr>
                <w:rFonts w:hint="eastAsia" w:ascii="宋体" w:hAnsi="宋体" w:eastAsia="宋体" w:cs="宋体"/>
                <w:color w:val="000000"/>
                <w:sz w:val="22"/>
                <w:szCs w:val="21"/>
                <w:lang w:eastAsia="zh-CN"/>
              </w:rPr>
              <w:t>：</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1.单</w:t>
            </w:r>
            <w:r>
              <w:rPr>
                <w:rFonts w:hint="eastAsia" w:ascii="宋体" w:hAnsi="宋体" w:eastAsia="宋体" w:cs="宋体"/>
                <w:color w:val="000000"/>
                <w:sz w:val="22"/>
                <w:szCs w:val="21"/>
                <w:lang w:eastAsia="zh-CN"/>
              </w:rPr>
              <w:t>个</w:t>
            </w:r>
            <w:r>
              <w:rPr>
                <w:rFonts w:hint="eastAsia" w:ascii="宋体" w:hAnsi="宋体" w:eastAsia="宋体" w:cs="宋体"/>
                <w:color w:val="000000"/>
                <w:sz w:val="22"/>
                <w:szCs w:val="21"/>
              </w:rPr>
              <w:t>合同金额20万以上消防维保业绩的，每提供一个得</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分，本小项满分</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.单</w:t>
            </w:r>
            <w:r>
              <w:rPr>
                <w:rFonts w:hint="eastAsia" w:ascii="宋体" w:hAnsi="宋体" w:eastAsia="宋体" w:cs="宋体"/>
                <w:color w:val="000000"/>
                <w:sz w:val="22"/>
                <w:szCs w:val="21"/>
                <w:lang w:eastAsia="zh-CN"/>
              </w:rPr>
              <w:t>个</w:t>
            </w:r>
            <w:r>
              <w:rPr>
                <w:rFonts w:hint="eastAsia" w:ascii="宋体" w:hAnsi="宋体" w:eastAsia="宋体" w:cs="宋体"/>
                <w:color w:val="000000"/>
                <w:sz w:val="22"/>
                <w:szCs w:val="21"/>
              </w:rPr>
              <w:t>合同金额10万元以上消防维修施工改造业绩的，每提供一个得</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分</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rPr>
              <w:t>本小项满分</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lang w:val="en-US" w:eastAsia="zh-CN"/>
              </w:rPr>
              <w:t>3</w:t>
            </w:r>
            <w:r>
              <w:rPr>
                <w:rFonts w:hint="eastAsia" w:ascii="宋体" w:hAnsi="宋体" w:eastAsia="宋体" w:cs="宋体"/>
                <w:color w:val="000000"/>
                <w:sz w:val="22"/>
                <w:szCs w:val="21"/>
              </w:rPr>
              <w:t>.单</w:t>
            </w:r>
            <w:r>
              <w:rPr>
                <w:rFonts w:hint="eastAsia" w:ascii="宋体" w:hAnsi="宋体" w:eastAsia="宋体" w:cs="宋体"/>
                <w:color w:val="000000"/>
                <w:sz w:val="22"/>
                <w:szCs w:val="21"/>
                <w:lang w:eastAsia="zh-CN"/>
              </w:rPr>
              <w:t>个</w:t>
            </w:r>
            <w:r>
              <w:rPr>
                <w:rFonts w:hint="eastAsia" w:ascii="宋体" w:hAnsi="宋体" w:eastAsia="宋体" w:cs="宋体"/>
                <w:color w:val="000000"/>
                <w:sz w:val="22"/>
                <w:szCs w:val="21"/>
              </w:rPr>
              <w:t>合同金额10万元以上消防评估业绩的，每提供一个得2分，本小项满分</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同一业绩仅计一次分，本项累计满分为12分。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注：（1）正在履约中或已履约完成的项目业绩，均予以认可；（2）响应文件中提供业绩合同扫描件，若合同中无法体现投标人名称、合同签订时间、电梯维保数量等关键评审因素的，须另附业主单位 (或合同甲方)出具的相关证明材料扫描件（须加盖业主单位（合同甲方）公章）。</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eastAsia="zh-CN"/>
              </w:rPr>
            </w:pPr>
            <w:r>
              <w:rPr>
                <w:rFonts w:hint="eastAsia" w:ascii="宋体" w:hAnsi="宋体" w:eastAsia="宋体" w:cs="宋体"/>
                <w:color w:val="000000"/>
                <w:sz w:val="22"/>
                <w:szCs w:val="21"/>
                <w:lang w:val="en-US" w:eastAsia="zh-CN"/>
              </w:rPr>
              <w:t>4</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项目分析</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投标人根据本项目特点和实际需求，自行组织现场勘察，针对本项目提出相应的项目分析报告，内容包括但不限于：项目现场状况、</w:t>
            </w:r>
            <w:r>
              <w:rPr>
                <w:rFonts w:hint="eastAsia" w:ascii="宋体" w:hAnsi="宋体" w:eastAsia="宋体" w:cs="宋体"/>
                <w:color w:val="000000"/>
                <w:sz w:val="22"/>
                <w:szCs w:val="21"/>
                <w:lang w:eastAsia="zh-CN"/>
              </w:rPr>
              <w:t>消防设备</w:t>
            </w:r>
            <w:r>
              <w:rPr>
                <w:rFonts w:hint="eastAsia" w:ascii="宋体" w:hAnsi="宋体" w:eastAsia="宋体" w:cs="宋体"/>
                <w:color w:val="000000"/>
                <w:sz w:val="22"/>
                <w:szCs w:val="21"/>
              </w:rPr>
              <w:t>运行状况、重难点分析、服务愿景等主要方面。根据投标人提供的项目分析报告进行综合评审：</w:t>
            </w:r>
          </w:p>
          <w:p>
            <w:pPr>
              <w:keepNext w:val="0"/>
              <w:keepLines w:val="0"/>
              <w:pageBreakBefore w:val="0"/>
              <w:kinsoku/>
              <w:overflowPunct/>
              <w:topLinePunct w:val="0"/>
              <w:bidi w:val="0"/>
              <w:spacing w:line="400" w:lineRule="exact"/>
              <w:textAlignment w:val="auto"/>
              <w:rPr>
                <w:rFonts w:hint="eastAsia" w:ascii="宋体" w:hAnsi="宋体" w:eastAsia="宋体" w:cs="宋体"/>
                <w:bCs/>
                <w:color w:val="000000"/>
                <w:sz w:val="22"/>
                <w:szCs w:val="21"/>
              </w:rPr>
            </w:pPr>
            <w:r>
              <w:rPr>
                <w:rFonts w:hint="eastAsia" w:ascii="宋体" w:hAnsi="宋体" w:eastAsia="宋体" w:cs="宋体"/>
                <w:bCs/>
                <w:color w:val="000000"/>
                <w:sz w:val="22"/>
                <w:szCs w:val="21"/>
              </w:rPr>
              <w:t>1.项目分析全面性、合理性强的，得</w:t>
            </w:r>
            <w:r>
              <w:rPr>
                <w:rFonts w:hint="eastAsia" w:ascii="宋体" w:hAnsi="宋体" w:eastAsia="宋体" w:cs="宋体"/>
                <w:bCs/>
                <w:color w:val="000000"/>
                <w:sz w:val="22"/>
                <w:szCs w:val="21"/>
                <w:lang w:val="en-US" w:eastAsia="zh-CN"/>
              </w:rPr>
              <w:t>6</w:t>
            </w:r>
            <w:r>
              <w:rPr>
                <w:rFonts w:hint="eastAsia" w:ascii="宋体" w:hAnsi="宋体" w:eastAsia="宋体" w:cs="宋体"/>
                <w:bCs/>
                <w:color w:val="000000"/>
                <w:sz w:val="22"/>
                <w:szCs w:val="21"/>
              </w:rPr>
              <w:t>＜F≤</w:t>
            </w:r>
            <w:r>
              <w:rPr>
                <w:rFonts w:hint="eastAsia" w:ascii="宋体" w:hAnsi="宋体" w:eastAsia="宋体" w:cs="宋体"/>
                <w:bCs/>
                <w:color w:val="000000"/>
                <w:sz w:val="22"/>
                <w:szCs w:val="21"/>
                <w:lang w:val="en-US" w:eastAsia="zh-CN"/>
              </w:rPr>
              <w:t>8</w:t>
            </w:r>
            <w:r>
              <w:rPr>
                <w:rFonts w:hint="eastAsia" w:ascii="宋体" w:hAnsi="宋体" w:eastAsia="宋体" w:cs="宋体"/>
                <w:bCs/>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bCs/>
                <w:color w:val="000000"/>
                <w:sz w:val="22"/>
                <w:szCs w:val="21"/>
              </w:rPr>
            </w:pPr>
            <w:r>
              <w:rPr>
                <w:rFonts w:hint="eastAsia" w:ascii="宋体" w:hAnsi="宋体" w:eastAsia="宋体" w:cs="宋体"/>
                <w:bCs/>
                <w:color w:val="000000"/>
                <w:sz w:val="22"/>
                <w:szCs w:val="21"/>
              </w:rPr>
              <w:t>2.项目分析全面性、合理性较强的，得3＜F≤</w:t>
            </w:r>
            <w:r>
              <w:rPr>
                <w:rFonts w:hint="eastAsia" w:ascii="宋体" w:hAnsi="宋体" w:eastAsia="宋体" w:cs="宋体"/>
                <w:bCs/>
                <w:color w:val="000000"/>
                <w:sz w:val="22"/>
                <w:szCs w:val="21"/>
                <w:lang w:val="en-US" w:eastAsia="zh-CN"/>
              </w:rPr>
              <w:t>6</w:t>
            </w:r>
            <w:r>
              <w:rPr>
                <w:rFonts w:hint="eastAsia" w:ascii="宋体" w:hAnsi="宋体" w:eastAsia="宋体" w:cs="宋体"/>
                <w:bCs/>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bCs/>
                <w:color w:val="000000"/>
                <w:sz w:val="22"/>
                <w:szCs w:val="21"/>
              </w:rPr>
            </w:pPr>
            <w:r>
              <w:rPr>
                <w:rFonts w:hint="eastAsia" w:ascii="宋体" w:hAnsi="宋体" w:eastAsia="宋体" w:cs="宋体"/>
                <w:bCs/>
                <w:color w:val="000000"/>
                <w:sz w:val="22"/>
                <w:szCs w:val="21"/>
              </w:rPr>
              <w:t>3.项目分析全面性、合理性一般的，得0＜F≤3分；</w:t>
            </w:r>
          </w:p>
          <w:p>
            <w:pPr>
              <w:keepNext w:val="0"/>
              <w:keepLines w:val="0"/>
              <w:pageBreakBefore w:val="0"/>
              <w:kinsoku/>
              <w:overflowPunct/>
              <w:topLinePunct w:val="0"/>
              <w:bidi w:val="0"/>
              <w:spacing w:line="400" w:lineRule="exact"/>
              <w:textAlignment w:val="auto"/>
              <w:rPr>
                <w:rFonts w:hint="eastAsia" w:ascii="宋体" w:hAnsi="宋体" w:eastAsia="宋体" w:cs="宋体"/>
                <w:bCs/>
                <w:color w:val="000000"/>
                <w:sz w:val="22"/>
                <w:szCs w:val="21"/>
              </w:rPr>
            </w:pPr>
            <w:r>
              <w:rPr>
                <w:rFonts w:hint="eastAsia" w:ascii="宋体" w:hAnsi="宋体" w:eastAsia="宋体" w:cs="宋体"/>
                <w:bCs/>
                <w:color w:val="000000"/>
                <w:sz w:val="22"/>
                <w:szCs w:val="21"/>
              </w:rPr>
              <w:t>4.项目分析内容较差或未提供相关内容的，本项不得分。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bCs/>
                <w:color w:val="000000"/>
                <w:sz w:val="22"/>
                <w:szCs w:val="21"/>
              </w:rPr>
              <w:t>注：F为投标人此项得分。</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8</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eastAsia="zh-CN"/>
              </w:rPr>
            </w:pPr>
            <w:r>
              <w:rPr>
                <w:rFonts w:hint="eastAsia" w:ascii="宋体" w:hAnsi="宋体" w:eastAsia="宋体" w:cs="宋体"/>
                <w:color w:val="000000"/>
                <w:sz w:val="22"/>
                <w:szCs w:val="21"/>
                <w:lang w:val="en-US" w:eastAsia="zh-CN"/>
              </w:rPr>
              <w:t>5</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8"/>
                <w:szCs w:val="24"/>
              </w:rPr>
            </w:pPr>
            <w:r>
              <w:rPr>
                <w:rFonts w:hint="eastAsia" w:ascii="宋体" w:hAnsi="宋体" w:eastAsia="宋体" w:cs="宋体"/>
                <w:b/>
                <w:bCs/>
                <w:color w:val="auto"/>
                <w:sz w:val="22"/>
                <w:szCs w:val="22"/>
              </w:rPr>
              <w:t>消防专业整体维护保养技术方案</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投标人根据本项目特点和实际需求，</w:t>
            </w:r>
            <w:r>
              <w:rPr>
                <w:rFonts w:hint="eastAsia" w:ascii="宋体" w:hAnsi="宋体" w:eastAsia="宋体" w:cs="宋体"/>
                <w:color w:val="000000"/>
                <w:sz w:val="22"/>
                <w:szCs w:val="21"/>
                <w:lang w:eastAsia="zh-CN"/>
              </w:rPr>
              <w:t>提供</w:t>
            </w:r>
            <w:r>
              <w:rPr>
                <w:rFonts w:hint="eastAsia" w:ascii="宋体" w:hAnsi="宋体" w:eastAsia="宋体" w:cs="宋体"/>
                <w:color w:val="000000"/>
                <w:sz w:val="22"/>
                <w:szCs w:val="21"/>
              </w:rPr>
              <w:t>明确的服务方案、工作流程等。根据投标人提供的方案进行综合评审：</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1.方案全面性、合理性、可行性和可操作性强的，得</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8</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2.方案全面性、合理性、可行性和可操作性较强的，得3＜F≤</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3.方案全面性、合理性、可行性和可操作性一般的，得0＜F≤3分；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4.方案内容较差或未提供相关内容的，本项不得分。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注：F为投标人此项得分。</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8</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76" w:type="pct"/>
            <w:noWrap w:val="0"/>
            <w:vAlign w:val="center"/>
          </w:tcPr>
          <w:p>
            <w:pPr>
              <w:keepNext w:val="0"/>
              <w:keepLines w:val="0"/>
              <w:pageBreakBefore w:val="0"/>
              <w:kinsoku/>
              <w:wordWrap w:val="0"/>
              <w:overflowPunct/>
              <w:topLinePunct w:val="0"/>
              <w:autoSpaceDE w:val="0"/>
              <w:autoSpaceDN w:val="0"/>
              <w:bidi w:val="0"/>
              <w:spacing w:line="400" w:lineRule="exact"/>
              <w:jc w:val="center"/>
              <w:textAlignment w:val="auto"/>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6</w:t>
            </w:r>
          </w:p>
        </w:tc>
        <w:tc>
          <w:tcPr>
            <w:tcW w:w="763" w:type="pct"/>
            <w:noWrap w:val="0"/>
            <w:vAlign w:val="center"/>
          </w:tcPr>
          <w:p>
            <w:pPr>
              <w:keepNext w:val="0"/>
              <w:keepLines w:val="0"/>
              <w:pageBreakBefore w:val="0"/>
              <w:kinsoku/>
              <w:wordWrap w:val="0"/>
              <w:overflowPunct/>
              <w:topLinePunct w:val="0"/>
              <w:autoSpaceDE w:val="0"/>
              <w:autoSpaceDN w:val="0"/>
              <w:bidi w:val="0"/>
              <w:spacing w:line="400" w:lineRule="exact"/>
              <w:jc w:val="center"/>
              <w:textAlignment w:val="auto"/>
              <w:rPr>
                <w:rFonts w:hint="eastAsia" w:ascii="宋体" w:hAnsi="宋体" w:eastAsia="宋体" w:cs="宋体"/>
                <w:b/>
                <w:bCs/>
                <w:color w:val="auto"/>
                <w:sz w:val="20"/>
                <w:szCs w:val="20"/>
                <w:lang w:eastAsia="zh-CN"/>
              </w:rPr>
            </w:pPr>
            <w:r>
              <w:rPr>
                <w:rFonts w:hint="eastAsia" w:ascii="宋体" w:hAnsi="宋体" w:eastAsia="宋体" w:cs="宋体"/>
                <w:b/>
                <w:bCs/>
                <w:color w:val="auto"/>
                <w:sz w:val="22"/>
                <w:szCs w:val="22"/>
              </w:rPr>
              <w:t>隐患管理及消防档案管理方案</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投标人根据本项目特点和实际需求，</w:t>
            </w:r>
            <w:r>
              <w:rPr>
                <w:rFonts w:hint="eastAsia" w:ascii="宋体" w:hAnsi="宋体" w:eastAsia="宋体" w:cs="宋体"/>
                <w:color w:val="000000"/>
                <w:sz w:val="22"/>
                <w:szCs w:val="21"/>
                <w:lang w:eastAsia="zh-CN"/>
              </w:rPr>
              <w:t>提供明确的消防隐患管理及处置流程、沟通反馈机制、消防维保档案管理及要求等。</w:t>
            </w:r>
            <w:r>
              <w:rPr>
                <w:rFonts w:hint="eastAsia" w:ascii="宋体" w:hAnsi="宋体" w:eastAsia="宋体" w:cs="宋体"/>
                <w:color w:val="000000"/>
                <w:sz w:val="22"/>
                <w:szCs w:val="21"/>
              </w:rPr>
              <w:t>根据投标人提供的方案进行综合评审：</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1.方案全面性、合理性、可行性和可操作性强的，得</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2.方案全面性、合理性、可行性和可操作性较强的，得</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3.方案全面性、合理性、可行性和可操作性一般的，得0＜F≤</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4.方案内容较差或未提供相关内容的，本项不得分。</w:t>
            </w:r>
          </w:p>
          <w:p>
            <w:pPr>
              <w:keepNext w:val="0"/>
              <w:keepLines w:val="0"/>
              <w:pageBreakBefore w:val="0"/>
              <w:kinsoku/>
              <w:overflowPunct/>
              <w:topLinePunct w:val="0"/>
              <w:bidi w:val="0"/>
              <w:spacing w:line="400" w:lineRule="exact"/>
              <w:textAlignment w:val="auto"/>
              <w:rPr>
                <w:rFonts w:hint="eastAsia" w:ascii="宋体" w:hAnsi="宋体" w:eastAsia="宋体" w:cs="宋体"/>
                <w:color w:val="auto"/>
                <w:sz w:val="20"/>
                <w:szCs w:val="22"/>
              </w:rPr>
            </w:pPr>
            <w:r>
              <w:rPr>
                <w:rFonts w:hint="eastAsia" w:ascii="宋体" w:hAnsi="宋体" w:eastAsia="宋体" w:cs="宋体"/>
                <w:b/>
                <w:color w:val="000000"/>
                <w:sz w:val="22"/>
                <w:szCs w:val="21"/>
              </w:rPr>
              <w:t>注：F为投标人此项得分。</w:t>
            </w:r>
          </w:p>
        </w:tc>
        <w:tc>
          <w:tcPr>
            <w:tcW w:w="516" w:type="pct"/>
            <w:noWrap w:val="0"/>
            <w:vAlign w:val="center"/>
          </w:tcPr>
          <w:p>
            <w:pPr>
              <w:keepNext w:val="0"/>
              <w:keepLines w:val="0"/>
              <w:pageBreakBefore w:val="0"/>
              <w:kinsoku/>
              <w:wordWrap w:val="0"/>
              <w:overflowPunct/>
              <w:topLinePunct w:val="0"/>
              <w:autoSpaceDE w:val="0"/>
              <w:autoSpaceDN w:val="0"/>
              <w:bidi w:val="0"/>
              <w:spacing w:line="400" w:lineRule="exact"/>
              <w:jc w:val="center"/>
              <w:textAlignment w:val="auto"/>
              <w:rPr>
                <w:rStyle w:val="333"/>
                <w:rFonts w:hint="eastAsia" w:ascii="宋体" w:hAnsi="宋体" w:eastAsia="宋体" w:cs="宋体"/>
                <w:color w:val="auto"/>
                <w:sz w:val="20"/>
                <w:szCs w:val="20"/>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6</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eastAsia="zh-CN"/>
              </w:rPr>
            </w:pPr>
            <w:r>
              <w:rPr>
                <w:rFonts w:hint="eastAsia" w:ascii="宋体" w:hAnsi="宋体" w:eastAsia="宋体" w:cs="宋体"/>
                <w:color w:val="000000"/>
                <w:sz w:val="22"/>
                <w:szCs w:val="21"/>
                <w:lang w:val="en-US" w:eastAsia="zh-CN"/>
              </w:rPr>
              <w:t>7</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项目维保应急抢修方案</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投标人根据本项目特点和实际需求，</w:t>
            </w:r>
            <w:r>
              <w:rPr>
                <w:rFonts w:hint="eastAsia" w:ascii="宋体" w:hAnsi="宋体" w:eastAsia="宋体" w:cs="宋体"/>
                <w:color w:val="000000"/>
                <w:sz w:val="22"/>
                <w:szCs w:val="21"/>
                <w:lang w:eastAsia="zh-CN"/>
              </w:rPr>
              <w:t>提供</w:t>
            </w:r>
            <w:r>
              <w:rPr>
                <w:rFonts w:hint="eastAsia" w:ascii="宋体" w:hAnsi="宋体" w:eastAsia="宋体" w:cs="宋体"/>
                <w:color w:val="000000"/>
                <w:sz w:val="22"/>
                <w:szCs w:val="21"/>
              </w:rPr>
              <w:t>消防维保过程中应急抢修方案，</w:t>
            </w:r>
            <w:r>
              <w:rPr>
                <w:rFonts w:hint="eastAsia" w:ascii="宋体" w:hAnsi="宋体" w:eastAsia="宋体" w:cs="宋体"/>
                <w:color w:val="000000"/>
                <w:sz w:val="22"/>
                <w:szCs w:val="21"/>
                <w:lang w:eastAsia="zh-CN"/>
              </w:rPr>
              <w:t>明确</w:t>
            </w:r>
            <w:r>
              <w:rPr>
                <w:rFonts w:hint="eastAsia" w:ascii="宋体" w:hAnsi="宋体" w:eastAsia="宋体" w:cs="宋体"/>
                <w:color w:val="000000"/>
                <w:sz w:val="22"/>
                <w:szCs w:val="21"/>
              </w:rPr>
              <w:t>反应时效，处理质量。根据投标人提供的</w:t>
            </w:r>
            <w:r>
              <w:rPr>
                <w:rFonts w:hint="eastAsia" w:ascii="宋体" w:hAnsi="宋体" w:eastAsia="宋体" w:cs="宋体"/>
                <w:color w:val="000000"/>
                <w:sz w:val="22"/>
                <w:szCs w:val="21"/>
                <w:lang w:eastAsia="zh-CN"/>
              </w:rPr>
              <w:t>方案</w:t>
            </w:r>
            <w:r>
              <w:rPr>
                <w:rFonts w:hint="eastAsia" w:ascii="宋体" w:hAnsi="宋体" w:eastAsia="宋体" w:cs="宋体"/>
                <w:color w:val="000000"/>
                <w:sz w:val="22"/>
                <w:szCs w:val="21"/>
              </w:rPr>
              <w:t>进行综合评审：</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1.方案全面性、合理性、可行性和可操作性强的，得</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8</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2.方案全面性、合理性、可行性和可操作性较强的，得3＜F≤</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3.方案全面性、合理性、可行性和可操作性一般的，得0＜F≤3分；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4.方案内容较差或未提供相关内容的，本项不得分。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注：F为投标人此项得分。</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8</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val="en-US" w:eastAsia="zh-CN"/>
              </w:rPr>
            </w:pPr>
            <w:r>
              <w:rPr>
                <w:rFonts w:hint="eastAsia" w:ascii="宋体" w:hAnsi="宋体" w:eastAsia="宋体" w:cs="宋体"/>
                <w:color w:val="000000"/>
                <w:sz w:val="22"/>
                <w:szCs w:val="21"/>
                <w:lang w:val="en-US" w:eastAsia="zh-CN"/>
              </w:rPr>
              <w:t>8</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工作安全、质量、进度保障方案</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投标人根据本项目特点和实际需求，</w:t>
            </w:r>
            <w:r>
              <w:rPr>
                <w:rFonts w:hint="eastAsia" w:ascii="宋体" w:hAnsi="宋体" w:eastAsia="宋体" w:cs="宋体"/>
                <w:color w:val="000000"/>
                <w:sz w:val="22"/>
                <w:szCs w:val="21"/>
                <w:lang w:eastAsia="zh-CN"/>
              </w:rPr>
              <w:t>提供</w:t>
            </w:r>
            <w:r>
              <w:rPr>
                <w:rFonts w:hint="eastAsia" w:ascii="宋体" w:hAnsi="宋体" w:eastAsia="宋体" w:cs="宋体"/>
                <w:color w:val="000000"/>
                <w:sz w:val="22"/>
                <w:szCs w:val="21"/>
              </w:rPr>
              <w:t>日常消防维保过程中工作安全、质量、进度的保障方案</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rPr>
              <w:t>根据投标人提供的</w:t>
            </w:r>
            <w:r>
              <w:rPr>
                <w:rFonts w:hint="eastAsia" w:ascii="宋体" w:hAnsi="宋体" w:eastAsia="宋体" w:cs="宋体"/>
                <w:color w:val="000000"/>
                <w:sz w:val="22"/>
                <w:szCs w:val="21"/>
                <w:lang w:eastAsia="zh-CN"/>
              </w:rPr>
              <w:t>方案</w:t>
            </w:r>
            <w:r>
              <w:rPr>
                <w:rFonts w:hint="eastAsia" w:ascii="宋体" w:hAnsi="宋体" w:eastAsia="宋体" w:cs="宋体"/>
                <w:color w:val="000000"/>
                <w:sz w:val="22"/>
                <w:szCs w:val="21"/>
              </w:rPr>
              <w:t>进行综合评审：</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 方案全面性、合理性、可行性和可操作性强的，得</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2.方案全面性、合理性、可行性和可操作性较强的，得</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3.方案全面性、合理性、可行性和可操作性一般的，得0＜F≤</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4.方案内容较差或未提供相关内容的，本项不得分。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注：F为投标人此项得分。</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6</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lang w:val="en-US" w:eastAsia="zh-CN"/>
              </w:rPr>
            </w:pPr>
            <w:r>
              <w:rPr>
                <w:rFonts w:hint="eastAsia" w:ascii="宋体" w:hAnsi="宋体" w:eastAsia="宋体" w:cs="宋体"/>
                <w:color w:val="000000"/>
                <w:sz w:val="22"/>
                <w:szCs w:val="21"/>
                <w:lang w:val="en-US" w:eastAsia="zh-CN"/>
              </w:rPr>
              <w:t>9</w:t>
            </w: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重大活动、接待、检查组织方案和现场管理方案</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投标人根据本项目特点和实际需求，</w:t>
            </w:r>
            <w:r>
              <w:rPr>
                <w:rFonts w:hint="eastAsia" w:ascii="宋体" w:hAnsi="宋体" w:eastAsia="宋体" w:cs="宋体"/>
                <w:color w:val="000000"/>
                <w:sz w:val="22"/>
                <w:szCs w:val="21"/>
                <w:lang w:eastAsia="zh-CN"/>
              </w:rPr>
              <w:t>提供</w:t>
            </w:r>
            <w:r>
              <w:rPr>
                <w:rFonts w:hint="eastAsia" w:ascii="宋体" w:hAnsi="宋体" w:eastAsia="宋体" w:cs="宋体"/>
                <w:color w:val="000000"/>
                <w:sz w:val="22"/>
                <w:szCs w:val="21"/>
              </w:rPr>
              <w:t>重大活动、接待、检查等事项期间人力组织措施方案和现场管理方案</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rPr>
              <w:t>根据投标人提供的</w:t>
            </w:r>
            <w:r>
              <w:rPr>
                <w:rFonts w:hint="eastAsia" w:ascii="宋体" w:hAnsi="宋体" w:eastAsia="宋体" w:cs="宋体"/>
                <w:color w:val="000000"/>
                <w:sz w:val="22"/>
                <w:szCs w:val="21"/>
                <w:lang w:eastAsia="zh-CN"/>
              </w:rPr>
              <w:t>方案</w:t>
            </w:r>
            <w:r>
              <w:rPr>
                <w:rFonts w:hint="eastAsia" w:ascii="宋体" w:hAnsi="宋体" w:eastAsia="宋体" w:cs="宋体"/>
                <w:color w:val="000000"/>
                <w:sz w:val="22"/>
                <w:szCs w:val="21"/>
              </w:rPr>
              <w:t>进行综合评审：</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1. 方案全面性、合理性、可行性和可操作性强的，得</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6</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2.方案全面性、合理性、可行性和可操作性较强的，得</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＜F≤</w:t>
            </w:r>
            <w:r>
              <w:rPr>
                <w:rFonts w:hint="eastAsia" w:ascii="宋体" w:hAnsi="宋体" w:eastAsia="宋体" w:cs="宋体"/>
                <w:color w:val="000000"/>
                <w:sz w:val="22"/>
                <w:szCs w:val="21"/>
                <w:lang w:val="en-US" w:eastAsia="zh-CN"/>
              </w:rPr>
              <w:t>4</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3.方案全面性、合理性、可行性和可操作性一般的，得0＜F≤</w:t>
            </w:r>
            <w:r>
              <w:rPr>
                <w:rFonts w:hint="eastAsia" w:ascii="宋体" w:hAnsi="宋体" w:eastAsia="宋体" w:cs="宋体"/>
                <w:color w:val="000000"/>
                <w:sz w:val="22"/>
                <w:szCs w:val="21"/>
                <w:lang w:val="en-US" w:eastAsia="zh-CN"/>
              </w:rPr>
              <w:t>2</w:t>
            </w:r>
            <w:r>
              <w:rPr>
                <w:rFonts w:hint="eastAsia" w:ascii="宋体" w:hAnsi="宋体" w:eastAsia="宋体" w:cs="宋体"/>
                <w:color w:val="000000"/>
                <w:sz w:val="22"/>
                <w:szCs w:val="21"/>
              </w:rPr>
              <w:t>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sz w:val="22"/>
                <w:szCs w:val="21"/>
              </w:rPr>
            </w:pPr>
            <w:r>
              <w:rPr>
                <w:rFonts w:hint="eastAsia" w:ascii="宋体" w:hAnsi="宋体" w:eastAsia="宋体" w:cs="宋体"/>
                <w:color w:val="000000"/>
                <w:sz w:val="22"/>
                <w:szCs w:val="21"/>
              </w:rPr>
              <w:t>4.方案内容较差或未提供相关内容的，本项不得分。</w:t>
            </w:r>
          </w:p>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注：F为投标人此项得分。</w:t>
            </w: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0-</w:t>
            </w:r>
            <w:r>
              <w:rPr>
                <w:rFonts w:hint="eastAsia" w:ascii="宋体" w:hAnsi="宋体" w:eastAsia="宋体" w:cs="宋体"/>
                <w:b/>
                <w:color w:val="000000"/>
                <w:sz w:val="22"/>
                <w:szCs w:val="21"/>
                <w:lang w:val="en-US" w:eastAsia="zh-CN"/>
              </w:rPr>
              <w:t>6</w:t>
            </w:r>
            <w:r>
              <w:rPr>
                <w:rFonts w:hint="eastAsia" w:ascii="宋体" w:hAnsi="宋体" w:eastAsia="宋体" w:cs="宋体"/>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000000"/>
                <w:sz w:val="22"/>
                <w:szCs w:val="21"/>
              </w:rPr>
            </w:pPr>
          </w:p>
        </w:tc>
        <w:tc>
          <w:tcPr>
            <w:tcW w:w="763"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合计</w:t>
            </w:r>
          </w:p>
        </w:tc>
        <w:tc>
          <w:tcPr>
            <w:tcW w:w="3344" w:type="pct"/>
            <w:noWrap w:val="0"/>
            <w:vAlign w:val="center"/>
          </w:tcPr>
          <w:p>
            <w:pPr>
              <w:keepNext w:val="0"/>
              <w:keepLines w:val="0"/>
              <w:pageBreakBefore w:val="0"/>
              <w:kinsoku/>
              <w:overflowPunct/>
              <w:topLinePunct w:val="0"/>
              <w:bidi w:val="0"/>
              <w:spacing w:line="400" w:lineRule="exact"/>
              <w:textAlignment w:val="auto"/>
              <w:rPr>
                <w:rFonts w:hint="eastAsia" w:ascii="宋体" w:hAnsi="宋体" w:eastAsia="宋体" w:cs="宋体"/>
                <w:b/>
                <w:color w:val="000000"/>
                <w:sz w:val="22"/>
                <w:szCs w:val="21"/>
              </w:rPr>
            </w:pPr>
          </w:p>
        </w:tc>
        <w:tc>
          <w:tcPr>
            <w:tcW w:w="516" w:type="pct"/>
            <w:noWrap w:val="0"/>
            <w:vAlign w:val="center"/>
          </w:tcPr>
          <w:p>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000000"/>
                <w:sz w:val="22"/>
                <w:szCs w:val="21"/>
              </w:rPr>
            </w:pPr>
            <w:r>
              <w:rPr>
                <w:rFonts w:hint="eastAsia" w:ascii="宋体" w:hAnsi="宋体" w:eastAsia="宋体" w:cs="宋体"/>
                <w:b/>
                <w:color w:val="000000"/>
                <w:sz w:val="22"/>
                <w:szCs w:val="21"/>
              </w:rPr>
              <w:t>70分</w:t>
            </w:r>
          </w:p>
        </w:tc>
      </w:tr>
    </w:tbl>
    <w:p>
      <w:pPr>
        <w:spacing w:line="360" w:lineRule="auto"/>
        <w:ind w:firstLine="438"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商务部分得分计算</w:t>
      </w:r>
    </w:p>
    <w:p>
      <w:pPr>
        <w:adjustRightInd w:val="0"/>
        <w:snapToGrid w:val="0"/>
        <w:spacing w:line="360" w:lineRule="auto"/>
        <w:ind w:right="-10" w:firstLine="384" w:firstLineChars="175"/>
        <w:rPr>
          <w:rFonts w:hint="eastAsia" w:ascii="宋体" w:hAnsi="宋体" w:eastAsia="宋体" w:cs="宋体"/>
          <w:bCs/>
          <w:color w:val="000000"/>
          <w:sz w:val="24"/>
          <w:szCs w:val="24"/>
        </w:rPr>
      </w:pPr>
      <w:r>
        <w:rPr>
          <w:rFonts w:hint="eastAsia" w:ascii="宋体" w:hAnsi="宋体" w:eastAsia="宋体" w:cs="宋体"/>
          <w:bCs/>
          <w:color w:val="000000"/>
          <w:sz w:val="24"/>
          <w:szCs w:val="24"/>
        </w:rPr>
        <w:t>依据通过初审的有效投标人名单，其投标人的商务部分得分按照以下方式计算：</w:t>
      </w:r>
    </w:p>
    <w:tbl>
      <w:tblPr>
        <w:tblStyle w:val="64"/>
        <w:tblW w:w="5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993"/>
        <w:gridCol w:w="615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pct"/>
            <w:noWrap w:val="0"/>
            <w:vAlign w:val="center"/>
          </w:tcPr>
          <w:p>
            <w:pPr>
              <w:spacing w:line="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商务部分</w:t>
            </w:r>
          </w:p>
        </w:tc>
        <w:tc>
          <w:tcPr>
            <w:tcW w:w="462" w:type="pct"/>
            <w:noWrap w:val="0"/>
            <w:vAlign w:val="center"/>
          </w:tcPr>
          <w:p>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最终投标报价</w:t>
            </w:r>
          </w:p>
        </w:tc>
        <w:tc>
          <w:tcPr>
            <w:tcW w:w="2864" w:type="pc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价格分统一采用有效最低价法，即满足磋商文件要求且最终报价最低的投标报价为评标基准价，其价格分为满分。其他投标人的价格分统一按照下列公式计算：投标报价得分＝（评标基准价/最终报价）×</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％×100</w:t>
            </w:r>
          </w:p>
        </w:tc>
        <w:tc>
          <w:tcPr>
            <w:tcW w:w="803" w:type="pct"/>
            <w:noWrap w:val="0"/>
            <w:vAlign w:val="center"/>
          </w:tcPr>
          <w:p>
            <w:pPr>
              <w:widowControl/>
              <w:spacing w:line="0" w:lineRule="atLeas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0-</w:t>
            </w:r>
            <w:r>
              <w:rPr>
                <w:rFonts w:hint="eastAsia" w:ascii="宋体" w:hAnsi="宋体" w:eastAsia="宋体" w:cs="宋体"/>
                <w:b/>
                <w:color w:val="000000"/>
                <w:kern w:val="0"/>
                <w:sz w:val="24"/>
                <w:szCs w:val="24"/>
                <w:u w:val="single"/>
              </w:rPr>
              <w:t>30</w:t>
            </w:r>
            <w:r>
              <w:rPr>
                <w:rFonts w:hint="eastAsia" w:ascii="宋体" w:hAnsi="宋体" w:eastAsia="宋体" w:cs="宋体"/>
                <w:b/>
                <w:color w:val="000000"/>
                <w:kern w:val="0"/>
                <w:sz w:val="24"/>
                <w:szCs w:val="24"/>
              </w:rPr>
              <w:t>分</w:t>
            </w:r>
          </w:p>
        </w:tc>
      </w:tr>
    </w:tbl>
    <w:p>
      <w:pPr>
        <w:pStyle w:val="24"/>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p>
    <w:p>
      <w:pPr>
        <w:pStyle w:val="2"/>
        <w:spacing w:before="480" w:after="260" w:line="500" w:lineRule="exact"/>
        <w:jc w:val="both"/>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rPr>
          <w:rFonts w:hint="eastAsia" w:hAnsi="宋体"/>
          <w:color w:val="000000"/>
        </w:rPr>
      </w:pPr>
    </w:p>
    <w:p>
      <w:pPr>
        <w:pStyle w:val="2"/>
        <w:spacing w:before="480" w:after="260" w:line="500" w:lineRule="exact"/>
        <w:jc w:val="both"/>
        <w:rPr>
          <w:rFonts w:hint="eastAsia" w:hAnsi="宋体"/>
          <w:color w:val="000000"/>
        </w:rPr>
      </w:pPr>
    </w:p>
    <w:p>
      <w:pPr>
        <w:pStyle w:val="2"/>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2774249"/>
      <w:bookmarkStart w:id="202" w:name="_Toc461056631"/>
      <w:bookmarkStart w:id="203" w:name="_Toc461053086"/>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after="156" w:afterLines="50" w:line="360" w:lineRule="auto"/>
        <w:jc w:val="left"/>
        <w:rPr>
          <w:rFonts w:hint="eastAsia" w:hAnsi="宋体"/>
          <w:b/>
          <w:color w:val="000000"/>
          <w:szCs w:val="28"/>
        </w:rPr>
      </w:pPr>
      <w:r>
        <w:rPr>
          <w:rFonts w:hint="eastAsia" w:hAnsi="宋体"/>
          <w:b/>
          <w:color w:val="000000"/>
          <w:szCs w:val="28"/>
        </w:rPr>
        <w:t>项目名称：</w:t>
      </w:r>
      <w:r>
        <w:rPr>
          <w:rFonts w:hint="eastAsia" w:hAnsi="宋体"/>
          <w:b/>
          <w:color w:val="000000"/>
          <w:szCs w:val="28"/>
          <w:lang w:eastAsia="zh-CN"/>
        </w:rPr>
        <w:t>2024合肥经开区香怡物业消防设施检测维修保养服务</w:t>
      </w:r>
      <w:r>
        <w:rPr>
          <w:rFonts w:hint="eastAsia" w:hAnsi="宋体"/>
          <w:b/>
          <w:color w:val="000000"/>
          <w:szCs w:val="28"/>
        </w:rPr>
        <w:t>项目</w:t>
      </w:r>
    </w:p>
    <w:p>
      <w:pPr>
        <w:snapToGrid w:val="0"/>
        <w:spacing w:after="156" w:afterLines="50" w:line="360" w:lineRule="auto"/>
        <w:jc w:val="left"/>
        <w:rPr>
          <w:rFonts w:hint="eastAsia" w:hAnsi="宋体" w:eastAsia="宋体"/>
          <w:b/>
          <w:color w:val="000000"/>
          <w:szCs w:val="28"/>
          <w:lang w:val="en-US" w:eastAsia="zh-CN"/>
        </w:rPr>
      </w:pPr>
      <w:r>
        <w:rPr>
          <w:rFonts w:hint="eastAsia" w:hAnsi="宋体"/>
          <w:b/>
          <w:color w:val="000000"/>
          <w:szCs w:val="28"/>
        </w:rPr>
        <w:t>编号：</w:t>
      </w:r>
      <w:r>
        <w:rPr>
          <w:rFonts w:hint="eastAsia" w:hAnsi="宋体"/>
          <w:b/>
          <w:color w:val="000000"/>
          <w:szCs w:val="28"/>
          <w:lang w:eastAsia="zh-CN"/>
        </w:rPr>
        <w:t>GYGSZB-2024012</w:t>
      </w:r>
    </w:p>
    <w:p>
      <w:pPr>
        <w:snapToGrid w:val="0"/>
        <w:spacing w:after="156" w:afterLines="50" w:line="360" w:lineRule="auto"/>
        <w:jc w:val="left"/>
        <w:rPr>
          <w:rFonts w:hAnsi="宋体"/>
          <w:b/>
          <w:bCs/>
          <w:color w:val="000000"/>
          <w:szCs w:val="28"/>
          <w:u w:val="singl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pStyle w:val="63"/>
              <w:rPr>
                <w:rFonts w:hint="default"/>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ind w:firstLine="437"/>
              <w:rPr>
                <w:rFonts w:hint="default" w:hAnsi="宋体" w:eastAsia="宋体"/>
                <w:b/>
                <w:color w:val="000000"/>
                <w:lang w:val="en-US" w:eastAsia="zh-CN"/>
              </w:rPr>
            </w:pPr>
            <w:r>
              <w:rPr>
                <w:rFonts w:hint="eastAsia" w:ascii="宋体" w:hAnsi="宋体" w:eastAsia="宋体" w:cs="@仿宋_GB2312"/>
                <w:sz w:val="24"/>
                <w:szCs w:val="18"/>
              </w:rPr>
              <w:t>本项目须</w:t>
            </w:r>
            <w:r>
              <w:rPr>
                <w:rFonts w:hint="eastAsia" w:ascii="宋体" w:hAnsi="宋体" w:eastAsia="宋体" w:cs="@仿宋_GB2312"/>
                <w:sz w:val="24"/>
                <w:szCs w:val="18"/>
                <w:lang w:eastAsia="zh-CN"/>
              </w:rPr>
              <w:t>分项报价和报</w:t>
            </w:r>
            <w:r>
              <w:rPr>
                <w:rFonts w:hint="eastAsia" w:ascii="宋体" w:hAnsi="宋体" w:eastAsia="宋体" w:cs="@仿宋_GB2312"/>
                <w:sz w:val="24"/>
                <w:szCs w:val="18"/>
              </w:rPr>
              <w:t>总价，总价作为价格评审依据，本项目最终结算总金额不超过</w:t>
            </w:r>
            <w:r>
              <w:rPr>
                <w:rFonts w:hint="eastAsia" w:ascii="宋体" w:hAnsi="宋体" w:eastAsia="宋体" w:cs="@仿宋_GB2312"/>
                <w:sz w:val="24"/>
                <w:szCs w:val="18"/>
                <w:lang w:eastAsia="zh-CN"/>
              </w:rPr>
              <w:t>中标总价</w:t>
            </w:r>
            <w:r>
              <w:rPr>
                <w:rFonts w:hint="eastAsia" w:ascii="宋体" w:hAnsi="宋体" w:eastAsia="宋体" w:cs="@仿宋_GB2312"/>
                <w:sz w:val="24"/>
                <w:szCs w:val="18"/>
              </w:rPr>
              <w:t>。未按要求报价的投标无效。</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197"/>
    <w:bookmarkEnd w:id="198"/>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w:t>
    </w:r>
    <w:r>
      <w:rPr>
        <w:rFonts w:hint="eastAsia"/>
        <w:lang w:val="en-US" w:eastAsia="zh-CN"/>
      </w:rPr>
      <w:t>香怡物业管理</w:t>
    </w:r>
    <w:r>
      <w:rPr>
        <w:rFonts w:hint="eastAsia"/>
        <w:lang w:eastAsia="zh-CN"/>
      </w:rPr>
      <w:t>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65B9"/>
    <w:rsid w:val="167A7DAC"/>
    <w:rsid w:val="17726828"/>
    <w:rsid w:val="184247A3"/>
    <w:rsid w:val="18465535"/>
    <w:rsid w:val="198B5630"/>
    <w:rsid w:val="1AEC4059"/>
    <w:rsid w:val="1B023953"/>
    <w:rsid w:val="1B7531B5"/>
    <w:rsid w:val="1CCE4908"/>
    <w:rsid w:val="1D7734E2"/>
    <w:rsid w:val="1E212D2C"/>
    <w:rsid w:val="1FAF6052"/>
    <w:rsid w:val="200D2E52"/>
    <w:rsid w:val="21FD3AEA"/>
    <w:rsid w:val="220F56F1"/>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C456847"/>
    <w:rsid w:val="3D1B1DE9"/>
    <w:rsid w:val="3E0C652E"/>
    <w:rsid w:val="3E503843"/>
    <w:rsid w:val="3F4F1107"/>
    <w:rsid w:val="3FCD41BD"/>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2324AB"/>
    <w:rsid w:val="4F9E443B"/>
    <w:rsid w:val="4FB2415F"/>
    <w:rsid w:val="503D1CD1"/>
    <w:rsid w:val="50595446"/>
    <w:rsid w:val="50EB7180"/>
    <w:rsid w:val="51075C5A"/>
    <w:rsid w:val="51A21F3D"/>
    <w:rsid w:val="51A74E82"/>
    <w:rsid w:val="51DF573D"/>
    <w:rsid w:val="525F1ECA"/>
    <w:rsid w:val="52F12FDC"/>
    <w:rsid w:val="52F77142"/>
    <w:rsid w:val="53112AB6"/>
    <w:rsid w:val="537D5B1F"/>
    <w:rsid w:val="53885680"/>
    <w:rsid w:val="57A82F18"/>
    <w:rsid w:val="59503A2E"/>
    <w:rsid w:val="59771907"/>
    <w:rsid w:val="599F2EC1"/>
    <w:rsid w:val="59E5547D"/>
    <w:rsid w:val="5A144CF0"/>
    <w:rsid w:val="5A246F8E"/>
    <w:rsid w:val="5B4D74F0"/>
    <w:rsid w:val="5E661FE6"/>
    <w:rsid w:val="5ED72AC2"/>
    <w:rsid w:val="5F9C06A7"/>
    <w:rsid w:val="612A4F36"/>
    <w:rsid w:val="62A819D0"/>
    <w:rsid w:val="62C124BF"/>
    <w:rsid w:val="62EC7940"/>
    <w:rsid w:val="638C1840"/>
    <w:rsid w:val="639826A5"/>
    <w:rsid w:val="643F2933"/>
    <w:rsid w:val="64D65719"/>
    <w:rsid w:val="65CD5731"/>
    <w:rsid w:val="65DF0A5F"/>
    <w:rsid w:val="670717DE"/>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E9026F6"/>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3"/>
    <w:autoRedefine/>
    <w:qFormat/>
    <w:uiPriority w:val="0"/>
    <w:pPr>
      <w:keepNext/>
      <w:outlineLvl w:val="4"/>
    </w:pPr>
    <w:rPr>
      <w:rFonts w:hAnsi="Arial"/>
      <w:bCs/>
      <w:kern w:val="2"/>
      <w:sz w:val="28"/>
    </w:rPr>
  </w:style>
  <w:style w:type="paragraph" w:styleId="7">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4"/>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2"/>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6"/>
    <w:autoRedefine/>
    <w:qFormat/>
    <w:uiPriority w:val="0"/>
    <w:rPr>
      <w:rFonts w:ascii="仿宋_GB2312" w:eastAsia="仿宋_GB2312"/>
      <w:sz w:val="28"/>
    </w:rPr>
  </w:style>
  <w:style w:type="paragraph" w:styleId="23">
    <w:name w:val="Body Text 3"/>
    <w:basedOn w:val="1"/>
    <w:link w:val="131"/>
    <w:autoRedefine/>
    <w:qFormat/>
    <w:uiPriority w:val="0"/>
    <w:rPr>
      <w:rFonts w:ascii="黑体" w:hAnsi="Arial" w:eastAsia="黑体"/>
      <w:b/>
      <w:sz w:val="28"/>
    </w:rPr>
  </w:style>
  <w:style w:type="paragraph" w:styleId="24">
    <w:name w:val="Body Text"/>
    <w:basedOn w:val="1"/>
    <w:link w:val="176"/>
    <w:autoRedefine/>
    <w:qFormat/>
    <w:uiPriority w:val="0"/>
    <w:rPr>
      <w:rFonts w:hAnsi="Arial"/>
      <w:kern w:val="2"/>
      <w:sz w:val="28"/>
    </w:rPr>
  </w:style>
  <w:style w:type="paragraph" w:styleId="25">
    <w:name w:val="Body Text Indent"/>
    <w:basedOn w:val="1"/>
    <w:next w:val="26"/>
    <w:link w:val="77"/>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3"/>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5"/>
    <w:autoRedefine/>
    <w:qFormat/>
    <w:uiPriority w:val="0"/>
    <w:rPr>
      <w:rFonts w:ascii="Times New Roman"/>
      <w:b/>
      <w:kern w:val="2"/>
      <w:sz w:val="28"/>
    </w:rPr>
  </w:style>
  <w:style w:type="paragraph" w:styleId="37">
    <w:name w:val="Body Text Indent 2"/>
    <w:basedOn w:val="1"/>
    <w:link w:val="179"/>
    <w:autoRedefine/>
    <w:qFormat/>
    <w:uiPriority w:val="0"/>
    <w:pPr>
      <w:ind w:left="630" w:firstLine="645"/>
    </w:pPr>
    <w:rPr>
      <w:rFonts w:ascii="Arial" w:hAnsi="Arial" w:eastAsia="仿宋_GB2312"/>
      <w:sz w:val="32"/>
    </w:rPr>
  </w:style>
  <w:style w:type="paragraph" w:styleId="38">
    <w:name w:val="Balloon Text"/>
    <w:basedOn w:val="1"/>
    <w:link w:val="88"/>
    <w:autoRedefine/>
    <w:qFormat/>
    <w:uiPriority w:val="99"/>
    <w:rPr>
      <w:sz w:val="18"/>
      <w:szCs w:val="18"/>
    </w:rPr>
  </w:style>
  <w:style w:type="paragraph" w:styleId="39">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9"/>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1"/>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83"/>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firstLine="420"/>
    </w:p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25"/>
    <w:autoRedefine/>
    <w:qFormat/>
    <w:uiPriority w:val="0"/>
    <w:rPr>
      <w:rFonts w:ascii="楷体_GB2312" w:eastAsia="楷体_GB2312"/>
      <w:kern w:val="2"/>
      <w:sz w:val="32"/>
    </w:rPr>
  </w:style>
  <w:style w:type="character" w:customStyle="1" w:styleId="78">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8"/>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4"/>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6"/>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0"/>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3"/>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18"/>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2"/>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7"/>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9"/>
    <w:autoRedefine/>
    <w:qFormat/>
    <w:uiPriority w:val="0"/>
    <w:rPr>
      <w:rFonts w:ascii="Arial" w:hAnsi="Arial" w:eastAsia="黑体"/>
      <w:sz w:val="24"/>
      <w:szCs w:val="24"/>
      <w:lang w:val="en-US" w:eastAsia="zh-CN" w:bidi="ar-SA"/>
    </w:rPr>
  </w:style>
  <w:style w:type="character" w:customStyle="1" w:styleId="131">
    <w:name w:val="正文文本 3 Char"/>
    <w:link w:val="23"/>
    <w:autoRedefine/>
    <w:qFormat/>
    <w:uiPriority w:val="0"/>
    <w:rPr>
      <w:rFonts w:ascii="黑体" w:hAnsi="Arial" w:eastAsia="黑体"/>
      <w:b/>
      <w:sz w:val="28"/>
    </w:rPr>
  </w:style>
  <w:style w:type="character" w:customStyle="1" w:styleId="132">
    <w:name w:val="批注文字 Char"/>
    <w:link w:val="20"/>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5"/>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4"/>
    <w:autoRedefine/>
    <w:qFormat/>
    <w:uiPriority w:val="0"/>
    <w:rPr>
      <w:rFonts w:ascii="宋体" w:eastAsia="宋体"/>
      <w:b/>
      <w:bCs/>
      <w:kern w:val="2"/>
      <w:sz w:val="32"/>
      <w:szCs w:val="32"/>
      <w:lang w:val="en-US" w:eastAsia="zh-CN" w:bidi="ar-SA"/>
    </w:rPr>
  </w:style>
  <w:style w:type="character" w:customStyle="1" w:styleId="147">
    <w:name w:val="标题 9 Char"/>
    <w:link w:val="10"/>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5"/>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0"/>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3"/>
    <w:next w:val="30"/>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3"/>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0"/>
    <w:autoRedefine/>
    <w:qFormat/>
    <w:uiPriority w:val="0"/>
    <w:rPr>
      <w:rFonts w:ascii="Cambria" w:hAnsi="Cambria"/>
      <w:b/>
      <w:bCs/>
      <w:kern w:val="2"/>
      <w:sz w:val="32"/>
      <w:szCs w:val="32"/>
      <w:lang w:bidi="ar-SA"/>
    </w:rPr>
  </w:style>
  <w:style w:type="character" w:customStyle="1" w:styleId="170">
    <w:name w:val="脚注文本 Char"/>
    <w:link w:val="48"/>
    <w:autoRedefine/>
    <w:qFormat/>
    <w:uiPriority w:val="0"/>
    <w:rPr>
      <w:rFonts w:ascii="Calibri" w:hAnsi="Calibri"/>
      <w:bCs/>
      <w:sz w:val="18"/>
    </w:rPr>
  </w:style>
  <w:style w:type="character" w:customStyle="1" w:styleId="171">
    <w:name w:val="标题 1 Char"/>
    <w:link w:val="2"/>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6"/>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4"/>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7"/>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1"/>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39"/>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3"/>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 w:type="character" w:customStyle="1" w:styleId="333">
    <w:name w:val="样式 仿宋"/>
    <w:autoRedefine/>
    <w:qFormat/>
    <w:uiPriority w:val="0"/>
    <w:rPr>
      <w:rFonts w:ascii="仿宋" w:hAnsi="仿宋" w:eastAsia="仿宋" w:cs="Times New Roman"/>
      <w:kern w:val="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19</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2024-05-17T01:55:03Z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