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int="eastAsia" w:ascii="黑体" w:hAnsi="黑体" w:eastAsia="黑体"/>
          <w:b/>
          <w:bCs/>
          <w:shadow/>
          <w:color w:val="000000"/>
          <w:spacing w:val="-40"/>
          <w:sz w:val="52"/>
          <w:szCs w:val="52"/>
          <w:highlight w:val="none"/>
          <w:lang w:eastAsia="zh-CN"/>
        </w:rPr>
      </w:pPr>
      <w:r>
        <w:rPr>
          <w:rFonts w:hint="eastAsia" w:ascii="黑体" w:hAnsi="黑体" w:eastAsia="黑体"/>
          <w:b/>
          <w:bCs/>
          <w:shadow/>
          <w:color w:val="000000"/>
          <w:spacing w:val="-40"/>
          <w:sz w:val="52"/>
          <w:szCs w:val="52"/>
          <w:highlight w:val="none"/>
          <w:lang w:eastAsia="zh-CN"/>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shadow/>
          <w:color w:val="000000"/>
          <w:sz w:val="52"/>
          <w:szCs w:val="52"/>
          <w:highlight w:val="none"/>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jc w:val="left"/>
        <w:rPr>
          <w:rFonts w:hint="eastAsia" w:hAnsi="DotumChe"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项目名称：</w:t>
      </w:r>
      <w:r>
        <w:rPr>
          <w:rFonts w:hint="eastAsia" w:hAnsi="DotumChe" w:cs="宋体"/>
          <w:b/>
          <w:color w:val="000000"/>
          <w:spacing w:val="20"/>
          <w:sz w:val="32"/>
          <w:szCs w:val="32"/>
          <w:highlight w:val="none"/>
          <w:lang w:val="en-US" w:eastAsia="zh-CN"/>
        </w:rPr>
        <w:t>2024公用公司常年法律顾问服务</w:t>
      </w:r>
    </w:p>
    <w:p>
      <w:pPr>
        <w:autoSpaceDE w:val="0"/>
        <w:autoSpaceDN w:val="0"/>
        <w:adjustRightInd w:val="0"/>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项目编号：</w:t>
      </w:r>
      <w:r>
        <w:rPr>
          <w:rFonts w:hint="eastAsia" w:hAnsi="DotumChe" w:cs="宋体"/>
          <w:b/>
          <w:color w:val="000000"/>
          <w:spacing w:val="20"/>
          <w:sz w:val="32"/>
          <w:szCs w:val="32"/>
          <w:highlight w:val="none"/>
          <w:lang w:eastAsia="zh-CN"/>
        </w:rPr>
        <w:t>GYGSZB-202401</w:t>
      </w:r>
      <w:r>
        <w:rPr>
          <w:rFonts w:hint="eastAsia" w:hAnsi="DotumChe" w:cs="宋体"/>
          <w:b/>
          <w:color w:val="000000"/>
          <w:spacing w:val="20"/>
          <w:sz w:val="32"/>
          <w:szCs w:val="32"/>
          <w:highlight w:val="none"/>
          <w:lang w:val="en-US" w:eastAsia="zh-CN"/>
        </w:rPr>
        <w:t>5</w:t>
      </w:r>
    </w:p>
    <w:p>
      <w:pPr>
        <w:tabs>
          <w:tab w:val="left" w:pos="2410"/>
        </w:tabs>
        <w:autoSpaceDE w:val="0"/>
        <w:autoSpaceDN w:val="0"/>
        <w:adjustRightInd w:val="0"/>
        <w:snapToGrid w:val="0"/>
        <w:spacing w:line="360" w:lineRule="auto"/>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年</w:t>
      </w:r>
      <w:r>
        <w:rPr>
          <w:rFonts w:hint="eastAsia" w:hAnsi="DotumChe" w:cs="宋体"/>
          <w:b/>
          <w:color w:val="000000"/>
          <w:spacing w:val="20"/>
          <w:sz w:val="32"/>
          <w:szCs w:val="32"/>
          <w:highlight w:val="none"/>
          <w:lang w:val="en-US" w:eastAsia="zh-CN"/>
        </w:rPr>
        <w:t>6</w:t>
      </w:r>
      <w:r>
        <w:rPr>
          <w:rFonts w:hint="eastAsia" w:hAnsi="DotumChe" w:cs="宋体"/>
          <w:b/>
          <w:color w:val="000000"/>
          <w:spacing w:val="20"/>
          <w:sz w:val="32"/>
          <w:szCs w:val="32"/>
          <w:highlight w:val="none"/>
        </w:rPr>
        <w:t>月</w:t>
      </w:r>
    </w:p>
    <w:p>
      <w:pPr>
        <w:pStyle w:val="23"/>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1"/>
        <w:tabs>
          <w:tab w:val="right" w:leader="dot" w:pos="9628"/>
        </w:tabs>
        <w:spacing w:line="360" w:lineRule="auto"/>
        <w:rPr>
          <w:rStyle w:val="73"/>
          <w:color w:val="000000"/>
          <w:sz w:val="28"/>
          <w:szCs w:val="28"/>
          <w:highlight w:val="none"/>
          <w:u w:val="none"/>
        </w:rPr>
      </w:pPr>
      <w:bookmarkStart w:id="0" w:name="_Hlt519045295"/>
      <w:bookmarkEnd w:id="0"/>
      <w:bookmarkStart w:id="1" w:name="_Hlt526418134"/>
      <w:bookmarkEnd w:id="1"/>
      <w:bookmarkStart w:id="2" w:name="_Hlt533241375"/>
      <w:bookmarkEnd w:id="2"/>
      <w:r>
        <w:rPr>
          <w:rStyle w:val="73"/>
          <w:rFonts w:hint="eastAsia"/>
          <w:color w:val="000000"/>
          <w:sz w:val="28"/>
          <w:szCs w:val="28"/>
          <w:highlight w:val="none"/>
          <w:u w:val="none"/>
        </w:rPr>
        <w:t>一、投标公告......... .... .... .... ................................3</w:t>
      </w:r>
    </w:p>
    <w:p>
      <w:pPr>
        <w:pStyle w:val="41"/>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3"/>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3"/>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3"/>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3"/>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1"/>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3"/>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3"/>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3"/>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3"/>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1"/>
        <w:tabs>
          <w:tab w:val="right" w:leader="dot" w:pos="8965"/>
        </w:tabs>
        <w:rPr>
          <w:rStyle w:val="73"/>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3"/>
          <w:rFonts w:hint="eastAsia" w:hAnsi="宋体"/>
          <w:color w:val="000000"/>
          <w:sz w:val="28"/>
          <w:szCs w:val="28"/>
          <w:highlight w:val="none"/>
        </w:rPr>
        <w:t>四</w:t>
      </w:r>
      <w:r>
        <w:rPr>
          <w:rStyle w:val="73"/>
          <w:rFonts w:hAnsi="宋体"/>
          <w:color w:val="000000"/>
          <w:sz w:val="28"/>
          <w:szCs w:val="28"/>
          <w:highlight w:val="none"/>
        </w:rPr>
        <w:t>、</w:t>
      </w:r>
      <w:r>
        <w:rPr>
          <w:rStyle w:val="73"/>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3"/>
          <w:rFonts w:hint="eastAsia" w:hAnsi="宋体"/>
          <w:color w:val="000000"/>
          <w:sz w:val="28"/>
          <w:szCs w:val="28"/>
          <w:highlight w:val="none"/>
        </w:rPr>
        <w:t>五、采购</w:t>
      </w:r>
      <w:bookmarkStart w:id="3" w:name="_Hlt527617982"/>
      <w:bookmarkStart w:id="4" w:name="_Hlt527617983"/>
      <w:r>
        <w:rPr>
          <w:rStyle w:val="73"/>
          <w:rFonts w:hint="eastAsia" w:hAnsi="宋体"/>
          <w:color w:val="000000"/>
          <w:sz w:val="28"/>
          <w:szCs w:val="28"/>
          <w:highlight w:val="none"/>
        </w:rPr>
        <w:t>需</w:t>
      </w:r>
      <w:bookmarkEnd w:id="3"/>
      <w:bookmarkEnd w:id="4"/>
      <w:r>
        <w:rPr>
          <w:rStyle w:val="73"/>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3"/>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1"/>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1"/>
        <w:tabs>
          <w:tab w:val="right" w:leader="dot" w:pos="9628"/>
        </w:tabs>
        <w:spacing w:before="0" w:after="0" w:line="480" w:lineRule="auto"/>
        <w:jc w:val="center"/>
        <w:outlineLvl w:val="0"/>
        <w:rPr>
          <w:rFonts w:hAnsi="宋体" w:cs="宋体"/>
          <w:bCs/>
          <w:caps w:val="0"/>
          <w:color w:val="000000"/>
          <w:sz w:val="28"/>
          <w:highlight w:val="none"/>
        </w:rPr>
      </w:pPr>
    </w:p>
    <w:p>
      <w:pPr>
        <w:pStyle w:val="41"/>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r>
        <w:rPr>
          <w:rFonts w:hint="eastAsia" w:hAnsi="宋体" w:cs="宋体"/>
          <w:color w:val="000000"/>
          <w:highlight w:val="none"/>
        </w:rPr>
        <w:t>“</w:t>
      </w:r>
      <w:r>
        <w:rPr>
          <w:rFonts w:hint="eastAsia" w:hAnsi="宋体"/>
          <w:color w:val="000000"/>
          <w:szCs w:val="18"/>
          <w:highlight w:val="none"/>
          <w:lang w:val="en-US" w:eastAsia="zh-CN"/>
        </w:rPr>
        <w:t>2024公用公司常年法律顾问服务</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highlight w:val="none"/>
          <w:lang w:val="en-US" w:eastAsia="zh-CN"/>
        </w:rPr>
      </w:pPr>
      <w:r>
        <w:rPr>
          <w:rFonts w:hint="eastAsia" w:hAnsi="宋体"/>
          <w:color w:val="000000"/>
          <w:szCs w:val="18"/>
          <w:highlight w:val="none"/>
        </w:rPr>
        <w:t xml:space="preserve">1、项目编号： </w:t>
      </w:r>
      <w:r>
        <w:rPr>
          <w:rFonts w:hint="eastAsia" w:hAnsi="宋体"/>
          <w:color w:val="000000"/>
          <w:szCs w:val="18"/>
          <w:highlight w:val="none"/>
          <w:lang w:eastAsia="zh-CN"/>
        </w:rPr>
        <w:t>GYGSZB-2024015</w:t>
      </w:r>
    </w:p>
    <w:p>
      <w:pPr>
        <w:autoSpaceDE w:val="0"/>
        <w:autoSpaceDN w:val="0"/>
        <w:adjustRightInd w:val="0"/>
        <w:spacing w:line="360" w:lineRule="auto"/>
        <w:ind w:firstLine="438" w:firstLineChars="200"/>
        <w:jc w:val="left"/>
        <w:rPr>
          <w:rFonts w:hint="eastAsia" w:hAnsi="宋体"/>
          <w:color w:val="000000"/>
          <w:szCs w:val="18"/>
          <w:highlight w:val="none"/>
          <w:lang w:val="en-US" w:eastAsia="zh-CN"/>
        </w:rPr>
      </w:pPr>
      <w:r>
        <w:rPr>
          <w:rFonts w:hint="eastAsia" w:hAnsi="宋体"/>
          <w:color w:val="000000"/>
          <w:szCs w:val="18"/>
          <w:highlight w:val="none"/>
        </w:rPr>
        <w:t>2、项目名称：</w:t>
      </w:r>
      <w:r>
        <w:rPr>
          <w:rFonts w:hint="eastAsia" w:hAnsi="宋体"/>
          <w:color w:val="000000"/>
          <w:szCs w:val="18"/>
          <w:highlight w:val="none"/>
          <w:lang w:val="en-US" w:eastAsia="zh-CN"/>
        </w:rPr>
        <w:t>2024公用公司常年法律顾问服务</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p>
    <w:p>
      <w:pPr>
        <w:autoSpaceDE w:val="0"/>
        <w:autoSpaceDN w:val="0"/>
        <w:adjustRightInd w:val="0"/>
        <w:spacing w:line="360" w:lineRule="auto"/>
        <w:ind w:firstLine="438" w:firstLineChars="200"/>
        <w:jc w:val="left"/>
        <w:rPr>
          <w:rFonts w:hint="default" w:hAnsi="宋体"/>
          <w:color w:val="000000"/>
          <w:szCs w:val="18"/>
          <w:highlight w:val="none"/>
          <w:lang w:val="en-US" w:eastAsia="zh-CN"/>
        </w:rPr>
      </w:pPr>
      <w:r>
        <w:rPr>
          <w:rFonts w:hint="eastAsia" w:hAnsi="宋体"/>
          <w:color w:val="000000"/>
          <w:szCs w:val="18"/>
          <w:highlight w:val="none"/>
        </w:rPr>
        <w:t>5、项目概况：</w:t>
      </w:r>
      <w:r>
        <w:rPr>
          <w:rFonts w:hint="eastAsia" w:hAnsi="宋体"/>
          <w:bCs/>
        </w:rPr>
        <w:t>因工作需要，</w:t>
      </w:r>
      <w:r>
        <w:rPr>
          <w:rFonts w:hint="eastAsia" w:hAnsi="宋体"/>
          <w:bCs/>
          <w:lang w:val="en-US" w:eastAsia="zh-CN"/>
        </w:rPr>
        <w:t>需采购一家</w:t>
      </w:r>
      <w:r>
        <w:rPr>
          <w:rFonts w:hint="eastAsia" w:hAnsi="宋体"/>
          <w:color w:val="000000"/>
          <w:szCs w:val="18"/>
          <w:highlight w:val="none"/>
          <w:lang w:val="en-US" w:eastAsia="zh-CN"/>
        </w:rPr>
        <w:t>公用公司常年法律顾问服务单位。</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int="eastAsia" w:hAnsi="宋体" w:cs="Times New Roman"/>
          <w:sz w:val="24"/>
          <w:szCs w:val="24"/>
          <w:highlight w:val="none"/>
          <w:lang w:val="en-US" w:eastAsia="zh-CN"/>
        </w:rPr>
      </w:pPr>
      <w:r>
        <w:rPr>
          <w:rFonts w:hint="eastAsia" w:hAnsi="宋体"/>
          <w:szCs w:val="18"/>
          <w:highlight w:val="none"/>
        </w:rPr>
        <w:t>7、项目预算：</w:t>
      </w:r>
      <w:r>
        <w:rPr>
          <w:rFonts w:hint="eastAsia" w:hAnsi="宋体"/>
          <w:szCs w:val="18"/>
          <w:highlight w:val="none"/>
          <w:lang w:val="en-US" w:eastAsia="zh-CN"/>
        </w:rPr>
        <w:t>8.5</w:t>
      </w:r>
      <w:r>
        <w:rPr>
          <w:rFonts w:hint="eastAsia" w:ascii="宋体" w:hAnsi="宋体" w:eastAsia="宋体" w:cs="Times New Roman"/>
          <w:sz w:val="24"/>
          <w:szCs w:val="24"/>
          <w:highlight w:val="none"/>
          <w:lang w:val="en-US" w:eastAsia="zh-CN"/>
        </w:rPr>
        <w:t>万元/年</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8、项目类别：服务类</w:t>
      </w:r>
    </w:p>
    <w:p>
      <w:pPr>
        <w:autoSpaceDE w:val="0"/>
        <w:autoSpaceDN w:val="0"/>
        <w:adjustRightInd w:val="0"/>
        <w:spacing w:line="360" w:lineRule="auto"/>
        <w:ind w:firstLine="429"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（二）供应商资格</w:t>
      </w:r>
    </w:p>
    <w:p>
      <w:pPr>
        <w:autoSpaceDE w:val="0"/>
        <w:autoSpaceDN w:val="0"/>
        <w:adjustRightInd w:val="0"/>
        <w:spacing w:line="360" w:lineRule="auto"/>
        <w:ind w:firstLine="329" w:firstLineChars="150"/>
        <w:jc w:val="left"/>
        <w:rPr>
          <w:rFonts w:hint="eastAsia" w:hAnsi="宋体"/>
          <w:b w:val="0"/>
          <w:bCs w:val="0"/>
          <w:color w:val="000000"/>
          <w:szCs w:val="18"/>
          <w:highlight w:val="none"/>
        </w:rPr>
      </w:pPr>
      <w:r>
        <w:rPr>
          <w:rFonts w:hint="eastAsia" w:hAnsi="宋体"/>
          <w:b w:val="0"/>
          <w:bCs w:val="0"/>
          <w:color w:val="000000"/>
          <w:szCs w:val="18"/>
          <w:highlight w:val="none"/>
        </w:rPr>
        <w:t xml:space="preserve">1.满足《中华人民共和国政府采购法》第二十二条规定； </w:t>
      </w:r>
    </w:p>
    <w:p>
      <w:pPr>
        <w:autoSpaceDE w:val="0"/>
        <w:autoSpaceDN w:val="0"/>
        <w:adjustRightInd w:val="0"/>
        <w:spacing w:line="360" w:lineRule="auto"/>
        <w:ind w:firstLine="329" w:firstLineChars="150"/>
        <w:jc w:val="left"/>
        <w:rPr>
          <w:rFonts w:hint="eastAsia" w:hAnsi="宋体"/>
          <w:b w:val="0"/>
          <w:bCs w:val="0"/>
          <w:color w:val="000000"/>
          <w:szCs w:val="18"/>
          <w:highlight w:val="none"/>
        </w:rPr>
      </w:pPr>
      <w:r>
        <w:rPr>
          <w:rFonts w:hint="eastAsia" w:hAnsi="宋体"/>
          <w:b w:val="0"/>
          <w:bCs w:val="0"/>
          <w:color w:val="000000"/>
          <w:szCs w:val="18"/>
          <w:highlight w:val="none"/>
        </w:rPr>
        <w:t>2.具有有效的执业资格证书；</w:t>
      </w:r>
    </w:p>
    <w:p>
      <w:pPr>
        <w:autoSpaceDE w:val="0"/>
        <w:autoSpaceDN w:val="0"/>
        <w:adjustRightInd w:val="0"/>
        <w:spacing w:line="360" w:lineRule="auto"/>
        <w:ind w:firstLine="329" w:firstLineChars="150"/>
        <w:jc w:val="left"/>
        <w:rPr>
          <w:rFonts w:hint="eastAsia" w:hAnsi="宋体"/>
          <w:b w:val="0"/>
          <w:bCs w:val="0"/>
          <w:color w:val="000000"/>
          <w:szCs w:val="18"/>
          <w:highlight w:val="none"/>
        </w:rPr>
      </w:pPr>
      <w:r>
        <w:rPr>
          <w:rFonts w:hint="eastAsia" w:hAnsi="宋体"/>
          <w:b w:val="0"/>
          <w:bCs w:val="0"/>
          <w:color w:val="000000"/>
          <w:szCs w:val="18"/>
          <w:highlight w:val="none"/>
        </w:rPr>
        <w:t>3.律师事务所和委派律师需具有近三年为政府机关、全资国有公司或上市公司提供法律服务的经验。</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auto"/>
          <w:szCs w:val="18"/>
          <w:highlight w:val="none"/>
          <w:u w:val="single"/>
        </w:rPr>
      </w:pPr>
      <w:r>
        <w:rPr>
          <w:rFonts w:hint="eastAsia" w:hAnsi="宋体"/>
          <w:color w:val="auto"/>
          <w:szCs w:val="18"/>
          <w:highlight w:val="none"/>
        </w:rPr>
        <w:t>1、开标时间：</w:t>
      </w:r>
      <w:r>
        <w:rPr>
          <w:rFonts w:hint="eastAsia" w:hAnsi="宋体"/>
          <w:color w:val="auto"/>
          <w:szCs w:val="18"/>
          <w:highlight w:val="yellow"/>
        </w:rPr>
        <w:t>202</w:t>
      </w:r>
      <w:r>
        <w:rPr>
          <w:rFonts w:hint="eastAsia" w:hAnsi="宋体"/>
          <w:color w:val="auto"/>
          <w:szCs w:val="18"/>
          <w:highlight w:val="yellow"/>
          <w:lang w:val="en-US" w:eastAsia="zh-CN"/>
        </w:rPr>
        <w:t>4</w:t>
      </w:r>
      <w:r>
        <w:rPr>
          <w:rFonts w:hint="eastAsia" w:hAnsi="宋体"/>
          <w:color w:val="auto"/>
          <w:szCs w:val="18"/>
          <w:highlight w:val="yellow"/>
        </w:rPr>
        <w:t>年</w:t>
      </w:r>
      <w:r>
        <w:rPr>
          <w:rFonts w:hint="eastAsia" w:hAnsi="宋体"/>
          <w:color w:val="auto"/>
          <w:szCs w:val="18"/>
          <w:highlight w:val="yellow"/>
          <w:lang w:val="en-US" w:eastAsia="zh-CN"/>
        </w:rPr>
        <w:t>6</w:t>
      </w:r>
      <w:r>
        <w:rPr>
          <w:rFonts w:hint="eastAsia" w:hAnsi="宋体"/>
          <w:color w:val="auto"/>
          <w:szCs w:val="18"/>
          <w:highlight w:val="yellow"/>
        </w:rPr>
        <w:t>月</w:t>
      </w:r>
      <w:r>
        <w:rPr>
          <w:rFonts w:hint="eastAsia" w:hAnsi="宋体"/>
          <w:color w:val="auto"/>
          <w:szCs w:val="18"/>
          <w:highlight w:val="yellow"/>
          <w:lang w:val="en-US" w:eastAsia="zh-CN"/>
        </w:rPr>
        <w:t>12</w:t>
      </w:r>
      <w:r>
        <w:rPr>
          <w:rFonts w:hint="eastAsia" w:hAnsi="宋体"/>
          <w:color w:val="auto"/>
          <w:szCs w:val="18"/>
          <w:highlight w:val="yellow"/>
        </w:rPr>
        <w:t>日</w:t>
      </w:r>
      <w:r>
        <w:rPr>
          <w:rFonts w:hint="eastAsia" w:hAnsi="宋体"/>
          <w:color w:val="auto"/>
          <w:szCs w:val="18"/>
          <w:highlight w:val="yellow"/>
          <w:lang w:val="en-US" w:eastAsia="zh-CN"/>
        </w:rPr>
        <w:t>9</w:t>
      </w:r>
      <w:r>
        <w:rPr>
          <w:rFonts w:hint="eastAsia" w:hAnsi="宋体"/>
          <w:color w:val="auto"/>
          <w:szCs w:val="18"/>
          <w:highlight w:val="yellow"/>
        </w:rPr>
        <w:t>：</w:t>
      </w:r>
      <w:r>
        <w:rPr>
          <w:rFonts w:hint="eastAsia" w:hAnsi="宋体"/>
          <w:color w:val="auto"/>
          <w:szCs w:val="18"/>
          <w:highlight w:val="yellow"/>
          <w:lang w:val="en-US" w:eastAsia="zh-CN"/>
        </w:rPr>
        <w:t>30</w:t>
      </w:r>
      <w:r>
        <w:rPr>
          <w:rFonts w:hint="eastAsia" w:hAnsi="宋体"/>
          <w:color w:val="auto"/>
          <w:szCs w:val="18"/>
          <w:highlight w:val="yellow"/>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2、开标地点：合肥经济技术开发区繁华大道266号A座314开标室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（一）项目单位：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地址：合肥经济技术开发区繁华大道266号A座</w:t>
      </w:r>
    </w:p>
    <w:p>
      <w:pPr>
        <w:widowControl/>
        <w:spacing w:line="440" w:lineRule="exact"/>
        <w:ind w:firstLine="438" w:firstLineChars="200"/>
        <w:jc w:val="left"/>
        <w:rPr>
          <w:rFonts w:hAnsi="宋体" w:cs="宋体"/>
          <w:highlight w:val="none"/>
        </w:rPr>
      </w:pPr>
      <w:r>
        <w:rPr>
          <w:rFonts w:hint="eastAsia" w:hAnsi="宋体" w:cs="宋体"/>
          <w:highlight w:val="none"/>
        </w:rPr>
        <w:t>项目采购联系人：</w:t>
      </w:r>
      <w:r>
        <w:rPr>
          <w:rFonts w:hint="eastAsia" w:hAnsi="宋体" w:cs="宋体"/>
          <w:highlight w:val="none"/>
          <w:lang w:val="en-US" w:eastAsia="zh-CN"/>
        </w:rPr>
        <w:t>张</w:t>
      </w:r>
      <w:r>
        <w:rPr>
          <w:rFonts w:hint="eastAsia" w:hAnsi="宋体" w:cs="宋体"/>
          <w:highlight w:val="none"/>
        </w:rPr>
        <w:t>工   电话：0551-63811071</w:t>
      </w:r>
    </w:p>
    <w:p>
      <w:pPr>
        <w:widowControl/>
        <w:spacing w:line="440" w:lineRule="exact"/>
        <w:ind w:firstLine="438" w:firstLineChars="200"/>
        <w:jc w:val="left"/>
        <w:rPr>
          <w:rFonts w:hint="default" w:hAnsi="宋体" w:eastAsia="宋体" w:cs="宋体"/>
          <w:highlight w:val="none"/>
          <w:lang w:val="en-US" w:eastAsia="zh-CN"/>
        </w:rPr>
      </w:pPr>
      <w:r>
        <w:rPr>
          <w:rFonts w:hint="eastAsia" w:hAnsi="宋体" w:cs="宋体"/>
          <w:highlight w:val="none"/>
        </w:rPr>
        <w:t>现场勘查联系人：</w:t>
      </w:r>
      <w:r>
        <w:rPr>
          <w:rFonts w:hint="eastAsia" w:hAnsi="宋体" w:cs="宋体"/>
          <w:highlight w:val="none"/>
          <w:lang w:val="en-US" w:eastAsia="zh-CN"/>
        </w:rPr>
        <w:t>郑</w:t>
      </w:r>
      <w:r>
        <w:rPr>
          <w:rFonts w:hint="eastAsia" w:hAnsi="宋体" w:cs="宋体"/>
          <w:highlight w:val="none"/>
        </w:rPr>
        <w:t>工   电话：0551-</w:t>
      </w:r>
      <w:r>
        <w:rPr>
          <w:rFonts w:hint="eastAsia" w:hAnsi="宋体" w:cs="宋体"/>
          <w:highlight w:val="none"/>
          <w:lang w:val="en-US" w:eastAsia="zh-CN"/>
        </w:rPr>
        <w:t>63812345</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0336330"/>
            <w:bookmarkStart w:id="9" w:name="_Toc208106829"/>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7"/>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7"/>
              <w:widowControl w:val="0"/>
              <w:spacing w:before="0" w:beforeAutospacing="0" w:after="0" w:afterAutospacing="0"/>
              <w:jc w:val="both"/>
              <w:rPr>
                <w:rFonts w:hint="eastAsia" w:eastAsia="宋体"/>
                <w:b w:val="0"/>
                <w:bCs w:val="0"/>
                <w:color w:val="000000"/>
                <w:sz w:val="24"/>
                <w:szCs w:val="18"/>
                <w:highlight w:val="none"/>
                <w:lang w:eastAsia="zh-CN"/>
              </w:rPr>
            </w:pPr>
            <w:r>
              <w:rPr>
                <w:rFonts w:hint="eastAsia"/>
                <w:b w:val="0"/>
                <w:bCs w:val="0"/>
                <w:color w:val="000000"/>
                <w:sz w:val="24"/>
                <w:szCs w:val="18"/>
                <w:highlight w:val="none"/>
                <w:lang w:eastAsia="zh-CN"/>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autoSpaceDE w:val="0"/>
              <w:autoSpaceDN w:val="0"/>
              <w:adjustRightInd w:val="0"/>
              <w:spacing w:line="360" w:lineRule="auto"/>
              <w:jc w:val="left"/>
              <w:rPr>
                <w:rFonts w:hint="eastAsia" w:eastAsia="宋体"/>
                <w:b w:val="0"/>
                <w:bCs w:val="0"/>
                <w:color w:val="000000"/>
                <w:sz w:val="24"/>
                <w:szCs w:val="24"/>
                <w:highlight w:val="none"/>
                <w:lang w:val="en-US" w:eastAsia="zh-CN"/>
              </w:rPr>
            </w:pPr>
            <w:r>
              <w:rPr>
                <w:rFonts w:hint="eastAsia" w:hAnsi="宋体"/>
                <w:color w:val="000000"/>
                <w:szCs w:val="18"/>
                <w:highlight w:val="none"/>
                <w:lang w:val="en-US" w:eastAsia="zh-CN"/>
              </w:rPr>
              <w:t>2024公用公司常年法律顾问服务</w:t>
            </w:r>
            <w:r>
              <w:rPr>
                <w:rFonts w:hint="eastAsia"/>
                <w:b w:val="0"/>
                <w:bCs w:val="0"/>
                <w:color w:val="000000"/>
                <w:sz w:val="24"/>
                <w:szCs w:val="18"/>
                <w:highlight w:val="none"/>
                <w:lang w:val="en-US" w:eastAsia="zh-CN"/>
              </w:rPr>
              <w:t xml:space="preserve"> </w:t>
            </w:r>
            <w:r>
              <w:rPr>
                <w:rFonts w:hint="eastAsia"/>
                <w:b w:val="0"/>
                <w:bCs w:val="0"/>
                <w:color w:val="000000"/>
                <w:sz w:val="24"/>
                <w:szCs w:val="18"/>
                <w:highlight w:val="none"/>
                <w:lang w:eastAsia="zh-CN"/>
              </w:rPr>
              <w:t>GYGSZB-2024015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color w:val="000000"/>
                <w:highlight w:val="none"/>
              </w:rPr>
            </w:pPr>
            <w:r>
              <w:rPr>
                <w:rFonts w:hint="eastAsia" w:hAnsi="宋体"/>
                <w:color w:val="000000"/>
                <w:highlight w:val="none"/>
              </w:rPr>
              <w:t>供应商资格</w:t>
            </w:r>
          </w:p>
        </w:tc>
        <w:tc>
          <w:tcPr>
            <w:tcW w:w="7223" w:type="dxa"/>
            <w:vAlign w:val="center"/>
          </w:tcPr>
          <w:p>
            <w:pPr>
              <w:autoSpaceDE w:val="0"/>
              <w:autoSpaceDN w:val="0"/>
              <w:adjustRightInd w:val="0"/>
              <w:spacing w:line="360" w:lineRule="auto"/>
              <w:ind w:firstLine="329" w:firstLineChars="150"/>
              <w:jc w:val="left"/>
              <w:rPr>
                <w:rFonts w:hint="eastAsia"/>
              </w:rPr>
            </w:pPr>
            <w:r>
              <w:rPr>
                <w:rFonts w:hint="eastAsia"/>
              </w:rPr>
              <w:t xml:space="preserve">1.满足《中华人民共和国政府采购法》第二十二条规定； </w:t>
            </w:r>
          </w:p>
          <w:p>
            <w:pPr>
              <w:autoSpaceDE w:val="0"/>
              <w:autoSpaceDN w:val="0"/>
              <w:adjustRightInd w:val="0"/>
              <w:spacing w:line="360" w:lineRule="auto"/>
              <w:ind w:firstLine="329" w:firstLineChars="150"/>
              <w:jc w:val="left"/>
              <w:rPr>
                <w:rFonts w:hint="eastAsia"/>
              </w:rPr>
            </w:pPr>
            <w:r>
              <w:rPr>
                <w:rFonts w:hint="eastAsia"/>
              </w:rPr>
              <w:t>2.具有有效的执业资格证书；</w:t>
            </w:r>
          </w:p>
          <w:p>
            <w:pPr>
              <w:autoSpaceDE w:val="0"/>
              <w:autoSpaceDN w:val="0"/>
              <w:adjustRightInd w:val="0"/>
              <w:spacing w:line="360" w:lineRule="auto"/>
              <w:ind w:firstLine="329" w:firstLineChars="150"/>
              <w:jc w:val="left"/>
            </w:pPr>
            <w:r>
              <w:rPr>
                <w:rFonts w:hint="eastAsia"/>
              </w:rPr>
              <w:t>3.律师事务所和委派律师需具有近三年为政府机关、全资国有公司或上市公司提供法律服务的经验。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7"/>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7"/>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7"/>
              <w:widowControl w:val="0"/>
              <w:spacing w:before="0" w:beforeAutospacing="0" w:after="0" w:afterAutospacing="0"/>
              <w:jc w:val="both"/>
              <w:rPr>
                <w:b w:val="0"/>
                <w:bCs w:val="0"/>
                <w:color w:val="000000"/>
                <w:sz w:val="24"/>
                <w:highlight w:val="none"/>
              </w:rPr>
            </w:pP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numPr>
                <w:ilvl w:val="0"/>
                <w:numId w:val="1"/>
              </w:numPr>
              <w:spacing w:line="520" w:lineRule="exact"/>
              <w:rPr>
                <w:rFonts w:hAnsi="宋体" w:cs="宋体"/>
                <w:szCs w:val="21"/>
                <w:highlight w:val="none"/>
              </w:rPr>
            </w:pPr>
            <w:r>
              <w:rPr>
                <w:rFonts w:hint="eastAsia" w:ascii="Tahoma" w:hAnsi="宋体" w:cs="宋体"/>
                <w:color w:val="000000"/>
                <w:szCs w:val="21"/>
              </w:rPr>
              <w:t>招标人于合同签订之日起30日内支付50%，余款自合同开始履行之日起第6个月支付。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spacing w:line="500" w:lineRule="exact"/>
              <w:rPr>
                <w:rFonts w:hAnsi="宋体"/>
                <w:highlight w:val="none"/>
              </w:rPr>
            </w:pPr>
            <w:r>
              <w:rPr>
                <w:rFonts w:hint="eastAsia"/>
              </w:rPr>
              <w:t>1+N年（N≦2）,合同一年一签；首次服务合同期限一年。第一年合同履约完成后，经考核合格，经合同双方协商，可续签下一年合同，续签时间最多不超过</w:t>
            </w:r>
            <w:r>
              <w:t>2</w:t>
            </w:r>
            <w:r>
              <w:rPr>
                <w:rFonts w:hint="eastAsi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23"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szCs w:val="24"/>
                <w:highlight w:val="none"/>
                <w:u w:val="single"/>
              </w:rPr>
              <w:t>零</w:t>
            </w:r>
            <w:r>
              <w:rPr>
                <w:rFonts w:hint="eastAsia" w:hAnsi="宋体" w:cs="宋体"/>
                <w:b/>
                <w:color w:val="000000"/>
                <w:szCs w:val="24"/>
                <w:highlight w:val="none"/>
              </w:rPr>
              <w:t>元</w:t>
            </w:r>
            <w:r>
              <w:rPr>
                <w:rFonts w:hint="eastAsia" w:hAnsi="宋体"/>
                <w:b/>
                <w:color w:val="000000"/>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pStyle w:val="220"/>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w:t>
            </w:r>
            <w:r>
              <w:rPr>
                <w:rFonts w:hint="eastAsia" w:hAnsi="宋体"/>
                <w:b/>
                <w:bCs/>
                <w:color w:val="000000"/>
                <w:highlight w:val="yellow"/>
              </w:rPr>
              <w:t>202</w:t>
            </w:r>
            <w:r>
              <w:rPr>
                <w:rFonts w:hint="eastAsia" w:hAnsi="宋体"/>
                <w:b/>
                <w:bCs/>
                <w:color w:val="000000"/>
                <w:highlight w:val="yellow"/>
                <w:lang w:val="en-US" w:eastAsia="zh-CN"/>
              </w:rPr>
              <w:t>4</w:t>
            </w:r>
            <w:r>
              <w:rPr>
                <w:rFonts w:hint="eastAsia" w:hAnsi="宋体"/>
                <w:b/>
                <w:bCs/>
                <w:color w:val="000000"/>
                <w:highlight w:val="yellow"/>
              </w:rPr>
              <w:t>年</w:t>
            </w:r>
            <w:r>
              <w:rPr>
                <w:rFonts w:hint="eastAsia" w:hAnsi="宋体"/>
                <w:b/>
                <w:bCs/>
                <w:color w:val="000000"/>
                <w:highlight w:val="yellow"/>
                <w:lang w:val="en-US" w:eastAsia="zh-CN"/>
              </w:rPr>
              <w:t>6</w:t>
            </w:r>
            <w:r>
              <w:rPr>
                <w:rFonts w:hint="eastAsia" w:hAnsi="宋体"/>
                <w:b/>
                <w:bCs/>
                <w:color w:val="000000"/>
                <w:highlight w:val="yellow"/>
              </w:rPr>
              <w:t>月</w:t>
            </w:r>
            <w:r>
              <w:rPr>
                <w:rFonts w:hint="eastAsia" w:hAnsi="宋体"/>
                <w:b/>
                <w:bCs/>
                <w:color w:val="000000"/>
                <w:highlight w:val="yellow"/>
                <w:lang w:val="en-US" w:eastAsia="zh-CN"/>
              </w:rPr>
              <w:t xml:space="preserve"> 11</w:t>
            </w:r>
            <w:r>
              <w:rPr>
                <w:rFonts w:hint="eastAsia" w:hAnsi="宋体"/>
                <w:b/>
                <w:bCs/>
                <w:color w:val="000000"/>
                <w:highlight w:val="yellow"/>
              </w:rPr>
              <w:t>日</w:t>
            </w:r>
            <w:r>
              <w:rPr>
                <w:rFonts w:hint="eastAsia" w:hAnsi="宋体"/>
                <w:b/>
                <w:bCs/>
                <w:color w:val="000000"/>
                <w:highlight w:val="none"/>
              </w:rPr>
              <w:t>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7"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23"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23"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Ansi="宋体"/>
                <w:color w:val="000000"/>
                <w:highlight w:val="none"/>
              </w:rPr>
            </w:pPr>
            <w:r>
              <w:rPr>
                <w:rFonts w:hint="eastAsia" w:hAnsi="宋体"/>
                <w:color w:val="000000"/>
                <w:highlight w:val="none"/>
                <w:lang w:val="en-US" w:eastAsia="zh-CN"/>
              </w:rPr>
              <w:t>综合评分</w:t>
            </w:r>
            <w:r>
              <w:rPr>
                <w:rFonts w:hint="eastAsia" w:hAnsi="宋体"/>
                <w:color w:val="000000"/>
                <w:highlight w:val="none"/>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line="360" w:lineRule="auto"/>
              <w:rPr>
                <w:rFonts w:hint="default" w:hAnsi="宋体" w:eastAsia="宋体"/>
                <w:color w:val="000000"/>
                <w:szCs w:val="24"/>
                <w:highlight w:val="none"/>
                <w:lang w:val="en-US" w:eastAsia="zh-CN"/>
              </w:rPr>
            </w:pPr>
            <w:r>
              <w:rPr>
                <w:rFonts w:hint="eastAsia" w:hAnsi="宋体"/>
                <w:color w:val="000000"/>
                <w:szCs w:val="24"/>
                <w:highlight w:val="none"/>
                <w:lang w:val="en-US" w:eastAsia="zh-CN"/>
              </w:rPr>
              <w:t>本项目无履约保证金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7"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23"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highlight w:val="none"/>
              </w:rPr>
            </w:pPr>
            <w:r>
              <w:rPr>
                <w:rFonts w:hint="eastAsia" w:hAnsi="宋体"/>
                <w:highlight w:val="none"/>
              </w:rPr>
              <w:t>21</w:t>
            </w:r>
          </w:p>
        </w:tc>
        <w:tc>
          <w:tcPr>
            <w:tcW w:w="1447" w:type="dxa"/>
            <w:vAlign w:val="center"/>
          </w:tcPr>
          <w:p>
            <w:pPr>
              <w:ind w:firstLine="219" w:firstLineChars="100"/>
              <w:rPr>
                <w:highlight w:val="none"/>
              </w:rPr>
            </w:pPr>
            <w:r>
              <w:rPr>
                <w:rFonts w:hint="eastAsia"/>
                <w:highlight w:val="none"/>
              </w:rPr>
              <w:t>业绩</w:t>
            </w:r>
          </w:p>
        </w:tc>
        <w:tc>
          <w:tcPr>
            <w:tcW w:w="7223" w:type="dxa"/>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7" w:type="dxa"/>
            <w:vAlign w:val="center"/>
          </w:tcPr>
          <w:p>
            <w:pPr>
              <w:jc w:val="center"/>
              <w:rPr>
                <w:rFonts w:hAnsi="宋体"/>
                <w:color w:val="000000"/>
                <w:highlight w:val="none"/>
              </w:rPr>
            </w:pPr>
            <w:r>
              <w:rPr>
                <w:rFonts w:hint="eastAsia" w:hAnsi="宋体"/>
                <w:color w:val="000000"/>
                <w:highlight w:val="none"/>
              </w:rPr>
              <w:t>备注二</w:t>
            </w:r>
          </w:p>
        </w:tc>
        <w:tc>
          <w:tcPr>
            <w:tcW w:w="7223"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447" w:type="dxa"/>
            <w:vAlign w:val="center"/>
          </w:tcPr>
          <w:p>
            <w:pPr>
              <w:jc w:val="center"/>
              <w:rPr>
                <w:rFonts w:hAnsi="宋体"/>
                <w:color w:val="000000"/>
                <w:highlight w:val="none"/>
              </w:rPr>
            </w:pPr>
            <w:r>
              <w:rPr>
                <w:rFonts w:hint="eastAsia" w:hAnsi="宋体"/>
                <w:color w:val="000000"/>
                <w:highlight w:val="none"/>
              </w:rPr>
              <w:t>违约金</w:t>
            </w:r>
          </w:p>
        </w:tc>
        <w:tc>
          <w:tcPr>
            <w:tcW w:w="7223"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3"/>
        <w:spacing w:before="0" w:after="0" w:line="360" w:lineRule="auto"/>
        <w:ind w:firstLine="438" w:firstLineChars="200"/>
        <w:rPr>
          <w:rFonts w:ascii="宋体" w:hAnsi="宋体" w:eastAsia="宋体"/>
          <w:color w:val="000000"/>
          <w:sz w:val="24"/>
          <w:szCs w:val="24"/>
          <w:highlight w:val="none"/>
        </w:rPr>
      </w:pPr>
      <w:bookmarkStart w:id="11" w:name="_Hlt509650126"/>
      <w:bookmarkEnd w:id="11"/>
      <w:bookmarkStart w:id="12" w:name="_Hlt509649722"/>
      <w:bookmarkEnd w:id="12"/>
      <w:bookmarkStart w:id="13" w:name="_Hlt509650955"/>
      <w:bookmarkEnd w:id="13"/>
      <w:bookmarkStart w:id="14" w:name="_Hlt526418143"/>
      <w:bookmarkEnd w:id="14"/>
      <w:bookmarkStart w:id="15" w:name="_Hlt509650686"/>
      <w:bookmarkEnd w:id="15"/>
      <w:bookmarkStart w:id="16" w:name="_Hlt509649998"/>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49330"/>
      <w:bookmarkEnd w:id="18"/>
      <w:bookmarkStart w:id="19" w:name="_Hlt526418153"/>
      <w:bookmarkEnd w:id="19"/>
      <w:bookmarkStart w:id="20" w:name="_Hlt509650936"/>
      <w:bookmarkEnd w:id="20"/>
      <w:bookmarkStart w:id="21" w:name="_Hlt509649678"/>
      <w:bookmarkEnd w:id="21"/>
      <w:bookmarkStart w:id="22" w:name="_Hlt509650690"/>
      <w:bookmarkEnd w:id="22"/>
      <w:bookmarkStart w:id="23" w:name="_Hlt509650333"/>
      <w:bookmarkEnd w:id="23"/>
      <w:bookmarkStart w:id="24" w:name="_Hlt509649645"/>
      <w:bookmarkEnd w:id="24"/>
      <w:bookmarkStart w:id="25" w:name="_Hlt509649795"/>
      <w:bookmarkEnd w:id="25"/>
      <w:bookmarkStart w:id="26" w:name="_Hlt509650929"/>
      <w:bookmarkEnd w:id="26"/>
      <w:bookmarkStart w:id="27" w:name="_Hlt509649669"/>
      <w:bookmarkEnd w:id="27"/>
      <w:bookmarkStart w:id="28" w:name="_Hlt509650116"/>
      <w:bookmarkEnd w:id="28"/>
      <w:bookmarkStart w:id="29" w:name="_Hlt509650103"/>
      <w:bookmarkEnd w:id="29"/>
      <w:bookmarkStart w:id="30" w:name="_Hlt509650961"/>
      <w:bookmarkEnd w:id="30"/>
      <w:bookmarkStart w:id="31" w:name="_Hlt509650932"/>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网站(</w:t>
      </w:r>
      <w:r>
        <w:rPr>
          <w:rFonts w:hAnsi="宋体"/>
          <w:color w:val="000000"/>
          <w:szCs w:val="24"/>
          <w:highlight w:val="none"/>
        </w:rPr>
        <w:t>http://www.hfpudc.com/</w:t>
      </w:r>
      <w:r>
        <w:rPr>
          <w:rFonts w:hint="eastAsia" w:hAnsi="宋体"/>
          <w:color w:val="000000"/>
          <w:szCs w:val="24"/>
          <w:highlight w:val="none"/>
        </w:rPr>
        <w:t>)发布。</w:t>
      </w:r>
    </w:p>
    <w:p>
      <w:pPr>
        <w:pStyle w:val="3"/>
        <w:spacing w:before="0" w:after="0" w:line="360" w:lineRule="auto"/>
        <w:ind w:firstLine="438" w:firstLineChars="200"/>
        <w:rPr>
          <w:rFonts w:ascii="宋体" w:hAnsi="宋体" w:eastAsia="宋体"/>
          <w:color w:val="000000"/>
          <w:sz w:val="24"/>
          <w:szCs w:val="24"/>
          <w:highlight w:val="none"/>
        </w:rPr>
      </w:pPr>
      <w:bookmarkStart w:id="33" w:name="_Toc419376297"/>
      <w:bookmarkStart w:id="34" w:name="_Toc527131316"/>
      <w:r>
        <w:rPr>
          <w:rFonts w:hint="eastAsia" w:ascii="宋体" w:hAnsi="宋体" w:eastAsia="宋体"/>
          <w:color w:val="000000"/>
          <w:sz w:val="24"/>
          <w:szCs w:val="24"/>
          <w:highlight w:val="none"/>
        </w:rPr>
        <w:t>（二）招标文件</w:t>
      </w:r>
      <w:bookmarkEnd w:id="33"/>
      <w:bookmarkEnd w:id="34"/>
      <w:bookmarkStart w:id="35" w:name="_Hlt509650361"/>
      <w:bookmarkEnd w:id="35"/>
      <w:bookmarkStart w:id="36" w:name="_Hlt509649791"/>
      <w:bookmarkEnd w:id="36"/>
      <w:bookmarkStart w:id="37" w:name="_Hlt509649930"/>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w:t>
      </w:r>
      <w:r>
        <w:rPr>
          <w:rFonts w:hint="eastAsia" w:hAnsi="宋体"/>
          <w:bCs/>
          <w:color w:val="000000"/>
          <w:szCs w:val="24"/>
          <w:highlight w:val="none"/>
          <w:lang w:eastAsia="zh-CN"/>
        </w:rPr>
        <w:t>合肥经济技术开发区公用事业发展有限公司</w:t>
      </w:r>
      <w:r>
        <w:rPr>
          <w:rFonts w:hint="eastAsia" w:hAnsi="宋体"/>
          <w:bCs/>
          <w:color w:val="000000"/>
          <w:szCs w:val="24"/>
          <w:highlight w:val="none"/>
        </w:rPr>
        <w:t>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2"/>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10"/>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pStyle w:val="24"/>
        <w:rPr>
          <w:rFonts w:ascii="华文中宋" w:hAnsi="华文中宋" w:eastAsia="华文中宋"/>
          <w:b/>
          <w:bCs/>
          <w:color w:val="000000"/>
          <w:sz w:val="36"/>
          <w:szCs w:val="44"/>
          <w:highlight w:val="none"/>
        </w:rPr>
      </w:pPr>
    </w:p>
    <w:p>
      <w:pPr>
        <w:pStyle w:val="36"/>
        <w:rPr>
          <w:rFonts w:ascii="华文中宋" w:hAnsi="华文中宋" w:eastAsia="华文中宋"/>
          <w:b/>
          <w:bCs/>
          <w:color w:val="000000"/>
          <w:sz w:val="36"/>
          <w:szCs w:val="44"/>
          <w:highlight w:val="none"/>
        </w:rPr>
      </w:pPr>
    </w:p>
    <w:p>
      <w:pPr>
        <w:rPr>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4"/>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20"/>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20"/>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20"/>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20"/>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yellow"/>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yellow"/>
          <w:u w:val="single"/>
          <w:lang w:val="en-US" w:eastAsia="zh-CN"/>
        </w:rPr>
        <w:t>3</w:t>
      </w:r>
      <w:r>
        <w:rPr>
          <w:rFonts w:hint="eastAsia" w:hAnsi="宋体"/>
          <w:color w:val="000000"/>
          <w:highlight w:val="yellow"/>
          <w:u w:val="single"/>
        </w:rPr>
        <w:t>0</w:t>
      </w:r>
      <w:r>
        <w:rPr>
          <w:rFonts w:hint="eastAsia" w:hAnsi="宋体"/>
          <w:color w:val="000000"/>
          <w:highlight w:val="yellow"/>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numPr>
          <w:ilvl w:val="0"/>
          <w:numId w:val="2"/>
        </w:numPr>
        <w:spacing w:line="360" w:lineRule="auto"/>
        <w:ind w:firstLine="438" w:firstLineChars="200"/>
        <w:rPr>
          <w:rFonts w:hint="eastAsia" w:hAnsi="宋体"/>
          <w:b/>
          <w:sz w:val="30"/>
          <w:szCs w:val="30"/>
          <w:highlight w:val="none"/>
        </w:rPr>
      </w:pPr>
      <w:r>
        <w:rPr>
          <w:rFonts w:hAnsi="宋体"/>
          <w:bCs/>
          <w:color w:val="000000"/>
          <w:szCs w:val="24"/>
          <w:highlight w:val="none"/>
        </w:rPr>
        <w:br w:type="page"/>
      </w:r>
      <w:bookmarkStart w:id="50" w:name="_Hlt509649724"/>
      <w:bookmarkEnd w:id="50"/>
      <w:bookmarkStart w:id="51" w:name="_Hlt509650697"/>
      <w:bookmarkEnd w:id="51"/>
      <w:bookmarkStart w:id="52" w:name="_Hlt510342861"/>
      <w:bookmarkEnd w:id="52"/>
      <w:bookmarkStart w:id="53" w:name="_Toc427016287"/>
      <w:bookmarkStart w:id="54" w:name="_Toc427106476"/>
      <w:bookmarkStart w:id="55" w:name="_Toc463041898"/>
      <w:bookmarkStart w:id="56" w:name="_Toc527131321"/>
      <w:r>
        <w:rPr>
          <w:rFonts w:hint="eastAsia" w:hAnsi="宋体"/>
          <w:b/>
          <w:sz w:val="30"/>
          <w:szCs w:val="30"/>
          <w:highlight w:val="none"/>
        </w:rPr>
        <w:t>采购合同</w:t>
      </w:r>
      <w:bookmarkEnd w:id="53"/>
      <w:bookmarkEnd w:id="54"/>
      <w:bookmarkEnd w:id="55"/>
      <w:bookmarkEnd w:id="56"/>
      <w:r>
        <w:rPr>
          <w:rFonts w:hint="eastAsia" w:hAnsi="宋体"/>
          <w:b/>
          <w:sz w:val="30"/>
          <w:szCs w:val="30"/>
          <w:highlight w:val="none"/>
          <w:lang w:val="en-US" w:eastAsia="zh-CN"/>
        </w:rPr>
        <w:t xml:space="preserve"> （范本）</w:t>
      </w:r>
    </w:p>
    <w:p>
      <w:pPr>
        <w:spacing w:line="480" w:lineRule="auto"/>
        <w:jc w:val="center"/>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第一部分 合同书</w:t>
      </w: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项目名称：</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项目编号：</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甲方（招标人）：</w:t>
      </w:r>
      <w:r>
        <w:rPr>
          <w:rFonts w:hint="eastAsia" w:ascii="宋体" w:hAnsi="宋体" w:cs="@仿宋_GB2312"/>
          <w:color w:val="000000"/>
          <w:sz w:val="24"/>
          <w:szCs w:val="24"/>
          <w:highlight w:val="none"/>
          <w:u w:val="single"/>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乙方（中标人）：</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签订地：</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rPr>
      </w:pPr>
      <w:r>
        <w:rPr>
          <w:rFonts w:hint="eastAsia" w:ascii="宋体" w:hAnsi="宋体" w:cs="@仿宋_GB2312"/>
          <w:color w:val="000000"/>
          <w:sz w:val="24"/>
          <w:szCs w:val="24"/>
          <w:highlight w:val="none"/>
        </w:rPr>
        <w:t>签订日期：</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日</w:t>
      </w:r>
    </w:p>
    <w:p>
      <w:pPr>
        <w:widowControl/>
        <w:jc w:val="left"/>
        <w:rPr>
          <w:rFonts w:ascii="宋体" w:hAnsi="宋体" w:cs="@仿宋_GB2312"/>
          <w:color w:val="000000"/>
          <w:sz w:val="24"/>
          <w:szCs w:val="24"/>
          <w:highlight w:val="none"/>
        </w:rPr>
      </w:pPr>
      <w:r>
        <w:rPr>
          <w:rFonts w:hint="eastAsia" w:ascii="宋体" w:hAnsi="宋体" w:cs="@仿宋_GB2312"/>
          <w:color w:val="000000"/>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highlight w:val="none"/>
          <w:lang w:val="zh-CN"/>
        </w:rPr>
      </w:pPr>
      <w:bookmarkStart w:id="57" w:name="_Toc2232"/>
      <w:bookmarkStart w:id="58" w:name="_Toc24059"/>
      <w:bookmarkStart w:id="59" w:name="_Toc3029"/>
      <w:r>
        <w:rPr>
          <w:rFonts w:hint="eastAsia" w:ascii="宋体" w:hAnsi="宋体" w:cs="@仿宋_GB2312"/>
          <w:b/>
          <w:bCs/>
          <w:color w:val="000000"/>
          <w:sz w:val="24"/>
          <w:szCs w:val="24"/>
          <w:highlight w:val="none"/>
          <w:lang w:val="zh-CN"/>
        </w:rPr>
        <w:t>1.1 合同组成部分</w:t>
      </w:r>
      <w:bookmarkEnd w:id="57"/>
      <w:bookmarkEnd w:id="58"/>
      <w:bookmarkEnd w:id="59"/>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1.1.1本合同及其补充合同、变更协议；</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1.1.2中标通知书；</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1.1.3响应文件（含澄清或者说明文件）；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1.1.4谈判文件（含澄清或者修改文件）；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1.1.5其他相关招标文件。</w:t>
      </w:r>
    </w:p>
    <w:p>
      <w:pPr>
        <w:spacing w:line="360" w:lineRule="auto"/>
        <w:ind w:firstLine="437"/>
        <w:outlineLvl w:val="3"/>
        <w:rPr>
          <w:rFonts w:ascii="宋体" w:hAnsi="宋体" w:cs="@仿宋_GB2312"/>
          <w:b/>
          <w:bCs/>
          <w:color w:val="000000"/>
          <w:sz w:val="24"/>
          <w:szCs w:val="24"/>
          <w:highlight w:val="none"/>
          <w:lang w:val="zh-CN"/>
        </w:rPr>
      </w:pPr>
      <w:bookmarkStart w:id="60" w:name="_Toc6773"/>
      <w:bookmarkStart w:id="61" w:name="_Toc6311"/>
      <w:bookmarkStart w:id="62" w:name="_Toc18585"/>
      <w:bookmarkStart w:id="63" w:name="_Toc2918"/>
      <w:bookmarkStart w:id="64" w:name="_Toc22185"/>
      <w:r>
        <w:rPr>
          <w:rFonts w:hint="eastAsia" w:ascii="宋体" w:hAnsi="宋体" w:cs="@仿宋_GB2312"/>
          <w:b/>
          <w:bCs/>
          <w:color w:val="000000"/>
          <w:sz w:val="24"/>
          <w:szCs w:val="24"/>
          <w:highlight w:val="none"/>
          <w:lang w:val="zh-CN"/>
        </w:rPr>
        <w:t xml:space="preserve">1.2 </w:t>
      </w:r>
      <w:bookmarkEnd w:id="60"/>
      <w:bookmarkEnd w:id="61"/>
      <w:bookmarkEnd w:id="62"/>
      <w:bookmarkEnd w:id="63"/>
      <w:bookmarkEnd w:id="64"/>
      <w:r>
        <w:rPr>
          <w:rFonts w:hint="eastAsia" w:ascii="宋体" w:hAnsi="宋体" w:cs="@仿宋_GB2312"/>
          <w:b/>
          <w:bCs/>
          <w:color w:val="000000"/>
          <w:sz w:val="24"/>
          <w:szCs w:val="24"/>
          <w:highlight w:val="none"/>
          <w:lang w:val="zh-CN"/>
        </w:rPr>
        <w:t>服务</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1.2.1服务名称：</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1.2.2服务内容：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1.2.3服务质量：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5" w:name="_Toc21631"/>
      <w:bookmarkStart w:id="66" w:name="_Toc23292"/>
      <w:bookmarkStart w:id="67" w:name="_Toc21551"/>
      <w:r>
        <w:rPr>
          <w:rFonts w:hint="eastAsia" w:ascii="宋体" w:hAnsi="宋体" w:cs="@仿宋_GB2312"/>
          <w:b/>
          <w:bCs/>
          <w:color w:val="000000"/>
          <w:sz w:val="24"/>
          <w:szCs w:val="24"/>
          <w:highlight w:val="none"/>
          <w:lang w:val="zh-CN"/>
        </w:rPr>
        <w:t>1.3 价款</w:t>
      </w:r>
      <w:bookmarkEnd w:id="65"/>
      <w:bookmarkEnd w:id="66"/>
      <w:bookmarkEnd w:id="6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本合同总价为：¥</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元（大写：人民币</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分项价格：</w:t>
      </w:r>
    </w:p>
    <w:tbl>
      <w:tblPr>
        <w:tblStyle w:val="6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highlight w:val="none"/>
              </w:rPr>
            </w:pPr>
            <w:r>
              <w:rPr>
                <w:rFonts w:hint="eastAsia" w:ascii="宋体" w:hAnsi="宋体" w:cs="Arial"/>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bl>
    <w:p>
      <w:pPr>
        <w:spacing w:line="360" w:lineRule="auto"/>
        <w:ind w:firstLine="437"/>
        <w:outlineLvl w:val="3"/>
        <w:rPr>
          <w:rFonts w:ascii="宋体" w:hAnsi="宋体" w:cs="@仿宋_GB2312"/>
          <w:b/>
          <w:bCs/>
          <w:color w:val="000000"/>
          <w:sz w:val="24"/>
          <w:szCs w:val="24"/>
          <w:highlight w:val="none"/>
          <w:lang w:val="zh-CN"/>
        </w:rPr>
      </w:pPr>
      <w:bookmarkStart w:id="68" w:name="_Toc10340"/>
      <w:bookmarkStart w:id="69" w:name="_Toc22618"/>
      <w:bookmarkStart w:id="70" w:name="_Toc1814"/>
      <w:r>
        <w:rPr>
          <w:rFonts w:hint="eastAsia" w:ascii="宋体" w:hAnsi="宋体" w:cs="@仿宋_GB2312"/>
          <w:b/>
          <w:bCs/>
          <w:color w:val="000000"/>
          <w:sz w:val="24"/>
          <w:szCs w:val="24"/>
          <w:highlight w:val="none"/>
          <w:lang w:val="zh-CN"/>
        </w:rPr>
        <w:t>1.4 付款方式和发票开具方式</w:t>
      </w:r>
      <w:bookmarkEnd w:id="68"/>
      <w:bookmarkEnd w:id="69"/>
      <w:bookmarkEnd w:id="7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1.4.1付款方式：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1.4.2发票开具方式：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1" w:name="_Toc32071"/>
      <w:bookmarkStart w:id="72" w:name="_Toc2846"/>
      <w:bookmarkStart w:id="73" w:name="_Toc19304"/>
      <w:r>
        <w:rPr>
          <w:rFonts w:hint="eastAsia" w:ascii="宋体" w:hAnsi="宋体" w:cs="@仿宋_GB2312"/>
          <w:b/>
          <w:bCs/>
          <w:color w:val="000000"/>
          <w:sz w:val="24"/>
          <w:szCs w:val="24"/>
          <w:highlight w:val="none"/>
          <w:lang w:val="zh-CN"/>
        </w:rPr>
        <w:t>1.5 服务期限、地点和方式</w:t>
      </w:r>
      <w:bookmarkEnd w:id="71"/>
      <w:bookmarkEnd w:id="72"/>
      <w:bookmarkEnd w:id="73"/>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1.5.1服务期限：</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1.5.2服务地点：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1.5.3服务方式：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4" w:name="_Toc27250"/>
      <w:bookmarkStart w:id="75" w:name="_Toc19554"/>
      <w:bookmarkStart w:id="76" w:name="_Toc21423"/>
      <w:r>
        <w:rPr>
          <w:rFonts w:hint="eastAsia" w:ascii="宋体" w:hAnsi="宋体" w:cs="@仿宋_GB2312"/>
          <w:b/>
          <w:bCs/>
          <w:color w:val="000000"/>
          <w:sz w:val="24"/>
          <w:szCs w:val="24"/>
          <w:highlight w:val="none"/>
          <w:lang w:val="zh-CN"/>
        </w:rPr>
        <w:t>1.6 违约责任</w:t>
      </w:r>
      <w:bookmarkEnd w:id="74"/>
      <w:bookmarkEnd w:id="75"/>
      <w:bookmarkEnd w:id="7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highlight w:val="none"/>
          <w:lang w:val="zh-CN"/>
        </w:rPr>
      </w:pPr>
      <w:bookmarkStart w:id="77" w:name="_Toc15583"/>
      <w:bookmarkStart w:id="78" w:name="_Toc28375"/>
      <w:bookmarkStart w:id="79" w:name="_Toc16021"/>
      <w:r>
        <w:rPr>
          <w:rFonts w:hint="eastAsia" w:ascii="宋体" w:hAnsi="宋体" w:cs="@仿宋_GB2312"/>
          <w:b/>
          <w:bCs/>
          <w:color w:val="000000"/>
          <w:sz w:val="24"/>
          <w:szCs w:val="24"/>
          <w:highlight w:val="none"/>
          <w:lang w:val="zh-CN"/>
        </w:rPr>
        <w:t>1.7 合同争议的解决</w:t>
      </w:r>
      <w:bookmarkEnd w:id="77"/>
      <w:bookmarkEnd w:id="78"/>
      <w:bookmarkEnd w:id="7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种方式解决：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1.7.1将争议提交</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仲裁委员会依申请仲裁时其现行有效的仲裁规则裁决；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1.7.2向</w:t>
      </w:r>
      <w:r>
        <w:rPr>
          <w:rFonts w:hint="eastAsia" w:ascii="宋体" w:hAnsi="宋体" w:cs="@仿宋_GB2312"/>
          <w:b/>
          <w:color w:val="000000"/>
          <w:sz w:val="24"/>
          <w:szCs w:val="24"/>
          <w:highlight w:val="none"/>
          <w:u w:val="single"/>
        </w:rPr>
        <w:t>甲方所在地</w:t>
      </w:r>
      <w:r>
        <w:rPr>
          <w:rFonts w:hint="eastAsia" w:ascii="宋体" w:hAnsi="宋体" w:cs="@仿宋_GB2312"/>
          <w:color w:val="000000"/>
          <w:sz w:val="24"/>
          <w:szCs w:val="24"/>
          <w:highlight w:val="none"/>
        </w:rPr>
        <w:t>人民法院起诉。</w:t>
      </w:r>
    </w:p>
    <w:p>
      <w:pPr>
        <w:spacing w:line="360" w:lineRule="auto"/>
        <w:ind w:firstLine="437"/>
        <w:outlineLvl w:val="3"/>
        <w:rPr>
          <w:rFonts w:ascii="宋体" w:hAnsi="宋体" w:cs="@仿宋_GB2312"/>
          <w:b/>
          <w:bCs/>
          <w:color w:val="000000"/>
          <w:sz w:val="24"/>
          <w:szCs w:val="24"/>
          <w:highlight w:val="none"/>
          <w:lang w:val="zh-CN"/>
        </w:rPr>
      </w:pPr>
      <w:bookmarkStart w:id="80" w:name="_Toc7245"/>
      <w:bookmarkStart w:id="81" w:name="_Toc15322"/>
      <w:bookmarkStart w:id="82" w:name="_Toc11173"/>
      <w:r>
        <w:rPr>
          <w:rFonts w:hint="eastAsia" w:ascii="宋体" w:hAnsi="宋体" w:cs="@仿宋_GB2312"/>
          <w:b/>
          <w:bCs/>
          <w:color w:val="000000"/>
          <w:sz w:val="24"/>
          <w:szCs w:val="24"/>
          <w:highlight w:val="none"/>
          <w:lang w:val="zh-CN"/>
        </w:rPr>
        <w:t>1.8 合同生效</w:t>
      </w:r>
      <w:bookmarkEnd w:id="80"/>
      <w:bookmarkEnd w:id="81"/>
      <w:bookmarkEnd w:id="8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本合同自双方当事人盖章时生效。</w:t>
      </w: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bCs/>
          <w:color w:val="000000"/>
          <w:sz w:val="24"/>
          <w:szCs w:val="24"/>
          <w:highlight w:val="none"/>
          <w:lang w:val="zh-CN"/>
        </w:rPr>
      </w:pPr>
      <w:r>
        <w:rPr>
          <w:rFonts w:hint="eastAsia" w:ascii="宋体" w:hAnsi="宋体" w:cs="@仿宋_GB2312"/>
          <w:bCs/>
          <w:color w:val="000000"/>
          <w:sz w:val="24"/>
          <w:szCs w:val="24"/>
          <w:highlight w:val="none"/>
          <w:lang w:val="zh-CN"/>
        </w:rPr>
        <w:t>甲    方：</w:t>
      </w:r>
      <w:r>
        <w:rPr>
          <w:rFonts w:hint="eastAsia" w:ascii="宋体" w:hAnsi="宋体" w:cs="@仿宋_GB2312"/>
          <w:bCs/>
          <w:color w:val="000000"/>
          <w:sz w:val="24"/>
          <w:szCs w:val="24"/>
          <w:highlight w:val="none"/>
          <w:u w:val="single"/>
          <w:lang w:val="zh-CN"/>
        </w:rPr>
        <w:t xml:space="preserve">    （单位盖章）     </w:t>
      </w:r>
      <w:r>
        <w:rPr>
          <w:rFonts w:hint="eastAsia" w:ascii="宋体" w:hAnsi="宋体" w:cs="@仿宋_GB2312"/>
          <w:bCs/>
          <w:color w:val="000000"/>
          <w:sz w:val="24"/>
          <w:szCs w:val="24"/>
          <w:highlight w:val="none"/>
          <w:lang w:val="zh-CN"/>
        </w:rPr>
        <w:t xml:space="preserve">          乙方：</w:t>
      </w:r>
      <w:r>
        <w:rPr>
          <w:rFonts w:hint="eastAsia" w:ascii="宋体" w:hAnsi="宋体" w:cs="@仿宋_GB2312"/>
          <w:bCs/>
          <w:color w:val="000000"/>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法定代表人                               法定代表人</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或授权代表（签字）：                      或授权代表（签字）：</w:t>
      </w:r>
    </w:p>
    <w:p>
      <w:pPr>
        <w:widowControl/>
        <w:spacing w:line="560" w:lineRule="exact"/>
        <w:jc w:val="left"/>
        <w:rPr>
          <w:rFonts w:hint="eastAsia" w:ascii="宋体" w:hAnsi="宋体" w:cs="@仿宋_GB2312"/>
          <w:bCs/>
          <w:color w:val="000000"/>
          <w:sz w:val="24"/>
          <w:szCs w:val="24"/>
          <w:highlight w:val="none"/>
        </w:rPr>
      </w:pPr>
      <w:bookmarkStart w:id="83" w:name="_Toc331685783"/>
      <w:r>
        <w:rPr>
          <w:rFonts w:hint="eastAsia" w:ascii="宋体" w:hAnsi="宋体" w:cs="@仿宋_GB2312"/>
          <w:bCs/>
          <w:color w:val="000000"/>
          <w:sz w:val="24"/>
          <w:szCs w:val="24"/>
          <w:highlight w:val="none"/>
        </w:rPr>
        <w:t>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               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w:t>
      </w:r>
    </w:p>
    <w:p>
      <w:pPr>
        <w:widowControl/>
        <w:spacing w:line="560" w:lineRule="exact"/>
        <w:jc w:val="left"/>
        <w:rPr>
          <w:rFonts w:hint="eastAsia" w:ascii="宋体" w:hAnsi="宋体" w:cs="@仿宋_GB2312"/>
          <w:bCs/>
          <w:color w:val="000000"/>
          <w:sz w:val="24"/>
          <w:szCs w:val="24"/>
          <w:highlight w:val="none"/>
        </w:rPr>
      </w:pPr>
    </w:p>
    <w:p>
      <w:pPr>
        <w:spacing w:line="360" w:lineRule="auto"/>
        <w:ind w:firstLine="4380" w:firstLineChars="2000"/>
        <w:rPr>
          <w:rFonts w:ascii="宋体" w:hAnsi="宋体"/>
          <w:bCs/>
          <w:color w:val="000000"/>
          <w:sz w:val="24"/>
          <w:szCs w:val="24"/>
          <w:highlight w:val="none"/>
        </w:rPr>
      </w:pPr>
      <w:r>
        <w:rPr>
          <w:rFonts w:hint="eastAsia" w:ascii="宋体" w:hAnsi="宋体"/>
          <w:bCs/>
          <w:color w:val="000000"/>
          <w:sz w:val="24"/>
          <w:szCs w:val="24"/>
          <w:highlight w:val="none"/>
        </w:rPr>
        <w:t>乙方账户信息</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户名：</w:t>
      </w:r>
      <w:r>
        <w:rPr>
          <w:rFonts w:hint="eastAsia" w:ascii="宋体" w:hAnsi="宋体"/>
          <w:bCs/>
          <w:color w:val="000000"/>
          <w:sz w:val="24"/>
          <w:szCs w:val="24"/>
          <w:highlight w:val="none"/>
          <w:u w:val="single"/>
        </w:rPr>
        <w:t xml:space="preserve">                    </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账号：</w:t>
      </w:r>
      <w:r>
        <w:rPr>
          <w:rFonts w:hint="eastAsia" w:ascii="宋体" w:hAnsi="宋体"/>
          <w:bCs/>
          <w:color w:val="000000"/>
          <w:sz w:val="24"/>
          <w:szCs w:val="24"/>
          <w:highlight w:val="none"/>
          <w:u w:val="single"/>
        </w:rPr>
        <w:t xml:space="preserve">                    </w:t>
      </w:r>
    </w:p>
    <w:p>
      <w:pPr>
        <w:spacing w:line="360" w:lineRule="auto"/>
        <w:ind w:firstLine="435"/>
        <w:rPr>
          <w:rFonts w:hint="eastAsia" w:ascii="宋体" w:hAnsi="宋体"/>
          <w:bCs/>
          <w:color w:val="000000"/>
          <w:sz w:val="24"/>
          <w:szCs w:val="24"/>
          <w:highlight w:val="none"/>
          <w:u w:val="single"/>
        </w:rPr>
      </w:pPr>
      <w:r>
        <w:rPr>
          <w:rFonts w:hint="eastAsia" w:ascii="宋体" w:hAnsi="宋体"/>
          <w:bCs/>
          <w:color w:val="000000"/>
          <w:sz w:val="24"/>
          <w:szCs w:val="24"/>
          <w:highlight w:val="none"/>
        </w:rPr>
        <w:t xml:space="preserve">                                     开户银行：</w:t>
      </w:r>
      <w:r>
        <w:rPr>
          <w:rFonts w:hint="eastAsia" w:ascii="宋体" w:hAnsi="宋体"/>
          <w:bCs/>
          <w:color w:val="000000"/>
          <w:sz w:val="24"/>
          <w:szCs w:val="24"/>
          <w:highlight w:val="none"/>
          <w:u w:val="single"/>
        </w:rPr>
        <w:t xml:space="preserve">                </w:t>
      </w:r>
    </w:p>
    <w:p>
      <w:pPr>
        <w:widowControl/>
        <w:spacing w:line="560" w:lineRule="exact"/>
        <w:jc w:val="left"/>
        <w:rPr>
          <w:rFonts w:hint="eastAsia"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jc w:val="left"/>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第二部分 合同一般条款</w:t>
      </w:r>
      <w:bookmarkEnd w:id="83"/>
    </w:p>
    <w:p>
      <w:pPr>
        <w:spacing w:line="360" w:lineRule="auto"/>
        <w:ind w:firstLine="437"/>
        <w:outlineLvl w:val="3"/>
        <w:rPr>
          <w:rFonts w:ascii="宋体" w:hAnsi="宋体" w:cs="@仿宋_GB2312"/>
          <w:b/>
          <w:bCs/>
          <w:color w:val="000000"/>
          <w:sz w:val="24"/>
          <w:szCs w:val="24"/>
          <w:highlight w:val="none"/>
          <w:lang w:val="zh-CN"/>
        </w:rPr>
      </w:pPr>
      <w:bookmarkStart w:id="84" w:name="_Toc487900349"/>
      <w:bookmarkStart w:id="85" w:name="_Toc28763"/>
      <w:bookmarkStart w:id="86" w:name="_Ref467378404"/>
      <w:bookmarkStart w:id="87" w:name="_Ref467379225"/>
      <w:bookmarkStart w:id="88" w:name="_Toc259093669"/>
      <w:bookmarkStart w:id="89" w:name="_Ref467379195"/>
      <w:bookmarkStart w:id="90" w:name="_Ref467379101"/>
      <w:bookmarkStart w:id="91" w:name="_Toc16917"/>
      <w:bookmarkStart w:id="92" w:name="_Ref467378463"/>
      <w:bookmarkStart w:id="93" w:name="_Ref467379094"/>
      <w:bookmarkStart w:id="94" w:name="_Ref467379214"/>
      <w:bookmarkStart w:id="95" w:name="_Toc19614"/>
      <w:bookmarkStart w:id="96" w:name="_Ref467378499"/>
      <w:bookmarkStart w:id="97" w:name="_Toc279701240"/>
      <w:bookmarkStart w:id="98" w:name="_Ref467379109"/>
      <w:bookmarkStart w:id="99" w:name="_Ref467379205"/>
      <w:r>
        <w:rPr>
          <w:rFonts w:hint="eastAsia" w:ascii="宋体" w:hAnsi="宋体" w:cs="@仿宋_GB2312"/>
          <w:b/>
          <w:bCs/>
          <w:color w:val="000000"/>
          <w:sz w:val="24"/>
          <w:szCs w:val="24"/>
          <w:highlight w:val="none"/>
          <w:lang w:val="zh-CN"/>
        </w:rPr>
        <w:t>2.1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本合同中的下列词语应按以下内容进行解释：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highlight w:val="none"/>
        </w:rPr>
      </w:pPr>
      <w:bookmarkStart w:id="100" w:name="_Ref467378840"/>
      <w:r>
        <w:rPr>
          <w:rFonts w:hint="eastAsia" w:ascii="宋体" w:hAnsi="宋体" w:cs="@仿宋_GB2312"/>
          <w:color w:val="000000"/>
          <w:sz w:val="24"/>
          <w:szCs w:val="24"/>
          <w:highlight w:val="none"/>
        </w:rPr>
        <w:t>2.1.4“甲方”系指与中标人签署合同的招标人</w:t>
      </w:r>
      <w:bookmarkEnd w:id="100"/>
      <w:r>
        <w:rPr>
          <w:rFonts w:hint="eastAsia" w:ascii="宋体" w:hAnsi="宋体" w:cs="@仿宋_GB2312"/>
          <w:color w:val="000000"/>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highlight w:val="none"/>
        </w:rPr>
      </w:pPr>
      <w:bookmarkStart w:id="101" w:name="_Ref467379400"/>
      <w:r>
        <w:rPr>
          <w:rFonts w:hint="eastAsia" w:ascii="宋体" w:hAnsi="宋体" w:cs="@仿宋_GB2312"/>
          <w:color w:val="000000"/>
          <w:sz w:val="24"/>
          <w:szCs w:val="24"/>
          <w:highlight w:val="none"/>
        </w:rPr>
        <w:t>2.1.5“乙方”系指根据合同约定提供服务的中标人</w:t>
      </w:r>
      <w:bookmarkEnd w:id="101"/>
      <w:r>
        <w:rPr>
          <w:rFonts w:hint="eastAsia" w:ascii="宋体" w:hAnsi="宋体" w:cs="@仿宋_GB2312"/>
          <w:color w:val="000000"/>
          <w:sz w:val="24"/>
          <w:szCs w:val="24"/>
          <w:highlight w:val="none"/>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highlight w:val="none"/>
        </w:rPr>
      </w:pPr>
      <w:bookmarkStart w:id="102" w:name="_Ref467379436"/>
      <w:r>
        <w:rPr>
          <w:rFonts w:hint="eastAsia" w:ascii="宋体" w:hAnsi="宋体" w:cs="@仿宋_GB2312"/>
          <w:color w:val="000000"/>
          <w:sz w:val="24"/>
          <w:szCs w:val="24"/>
          <w:highlight w:val="none"/>
        </w:rPr>
        <w:t>2.1.6“现场”系指合同约定提供服务的地点。</w:t>
      </w:r>
      <w:bookmarkEnd w:id="102"/>
    </w:p>
    <w:p>
      <w:pPr>
        <w:spacing w:line="360" w:lineRule="auto"/>
        <w:ind w:firstLine="437"/>
        <w:outlineLvl w:val="3"/>
        <w:rPr>
          <w:rFonts w:ascii="宋体" w:hAnsi="宋体" w:cs="@仿宋_GB2312"/>
          <w:b/>
          <w:bCs/>
          <w:color w:val="000000"/>
          <w:sz w:val="24"/>
          <w:szCs w:val="24"/>
          <w:highlight w:val="none"/>
          <w:lang w:val="zh-CN"/>
        </w:rPr>
      </w:pPr>
      <w:bookmarkStart w:id="103" w:name="_Toc27635"/>
      <w:bookmarkStart w:id="104" w:name="_Toc279701241"/>
      <w:bookmarkStart w:id="105" w:name="_Toc13336"/>
      <w:bookmarkStart w:id="106" w:name="_Toc32504"/>
      <w:bookmarkStart w:id="107" w:name="_Toc259093670"/>
      <w:bookmarkStart w:id="108" w:name="_Toc487900350"/>
      <w:r>
        <w:rPr>
          <w:rFonts w:hint="eastAsia" w:ascii="宋体" w:hAnsi="宋体" w:cs="@仿宋_GB2312"/>
          <w:b/>
          <w:bCs/>
          <w:color w:val="000000"/>
          <w:sz w:val="24"/>
          <w:szCs w:val="24"/>
          <w:highlight w:val="none"/>
          <w:lang w:val="zh-CN"/>
        </w:rPr>
        <w:t>2.2 技术规范</w:t>
      </w:r>
      <w:bookmarkEnd w:id="103"/>
      <w:bookmarkEnd w:id="104"/>
      <w:bookmarkEnd w:id="105"/>
      <w:bookmarkEnd w:id="106"/>
      <w:bookmarkEnd w:id="107"/>
      <w:bookmarkEnd w:id="10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highlight w:val="none"/>
          <w:lang w:val="zh-CN"/>
        </w:rPr>
      </w:pPr>
      <w:bookmarkStart w:id="109" w:name="_Toc9829"/>
      <w:bookmarkStart w:id="110" w:name="_Toc27853"/>
      <w:bookmarkStart w:id="111" w:name="_Toc279701242"/>
      <w:bookmarkStart w:id="112" w:name="_Toc487900351"/>
      <w:bookmarkStart w:id="113" w:name="_Toc31634"/>
      <w:bookmarkStart w:id="114" w:name="_Toc259093671"/>
      <w:r>
        <w:rPr>
          <w:rFonts w:hint="eastAsia" w:ascii="宋体" w:hAnsi="宋体" w:cs="@仿宋_GB2312"/>
          <w:b/>
          <w:bCs/>
          <w:color w:val="000000"/>
          <w:sz w:val="24"/>
          <w:szCs w:val="24"/>
          <w:highlight w:val="none"/>
          <w:lang w:val="zh-CN"/>
        </w:rPr>
        <w:t>2.3 知识产权</w:t>
      </w:r>
      <w:bookmarkEnd w:id="109"/>
      <w:bookmarkEnd w:id="110"/>
      <w:bookmarkEnd w:id="111"/>
      <w:bookmarkEnd w:id="112"/>
      <w:bookmarkEnd w:id="113"/>
      <w:bookmarkEnd w:id="11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2.3.2具有知识产权的计算机软件等货物的知识产权归属，详见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15" w:name="_Ref467379527"/>
      <w:bookmarkStart w:id="116" w:name="_Toc259093674"/>
      <w:bookmarkStart w:id="117" w:name="_Toc487900354"/>
      <w:bookmarkStart w:id="118" w:name="_Ref467379542"/>
      <w:bookmarkStart w:id="119" w:name="_Ref467378591"/>
      <w:bookmarkStart w:id="120" w:name="_Ref467378541"/>
      <w:bookmarkStart w:id="121" w:name="_Ref467379536"/>
      <w:bookmarkStart w:id="122" w:name="_Toc279701245"/>
      <w:bookmarkStart w:id="123" w:name="_Toc26182"/>
      <w:bookmarkStart w:id="124" w:name="_Toc30272"/>
      <w:bookmarkStart w:id="125" w:name="_Toc19074"/>
      <w:r>
        <w:rPr>
          <w:rFonts w:hint="eastAsia" w:ascii="宋体" w:hAnsi="宋体" w:cs="@仿宋_GB2312"/>
          <w:b/>
          <w:bCs/>
          <w:color w:val="000000"/>
          <w:sz w:val="24"/>
          <w:szCs w:val="24"/>
          <w:highlight w:val="none"/>
          <w:lang w:val="zh-CN"/>
        </w:rPr>
        <w:t>2.</w:t>
      </w:r>
      <w:bookmarkEnd w:id="115"/>
      <w:bookmarkEnd w:id="116"/>
      <w:bookmarkEnd w:id="117"/>
      <w:bookmarkEnd w:id="118"/>
      <w:bookmarkEnd w:id="119"/>
      <w:bookmarkEnd w:id="120"/>
      <w:bookmarkEnd w:id="121"/>
      <w:bookmarkEnd w:id="122"/>
      <w:r>
        <w:rPr>
          <w:rFonts w:hint="eastAsia" w:ascii="宋体" w:hAnsi="宋体" w:cs="@仿宋_GB2312"/>
          <w:b/>
          <w:bCs/>
          <w:color w:val="000000"/>
          <w:sz w:val="24"/>
          <w:szCs w:val="24"/>
          <w:highlight w:val="none"/>
          <w:lang w:val="zh-CN"/>
        </w:rPr>
        <w:t>4 履约检查和问题反馈</w:t>
      </w:r>
      <w:bookmarkEnd w:id="123"/>
      <w:bookmarkEnd w:id="124"/>
      <w:bookmarkEnd w:id="125"/>
    </w:p>
    <w:p>
      <w:pPr>
        <w:spacing w:line="360" w:lineRule="auto"/>
        <w:ind w:firstLine="435"/>
        <w:rPr>
          <w:rFonts w:ascii="宋体" w:hAnsi="宋体" w:cs="@仿宋_GB2312"/>
          <w:color w:val="000000"/>
          <w:sz w:val="24"/>
          <w:szCs w:val="24"/>
          <w:highlight w:val="none"/>
        </w:rPr>
      </w:pPr>
      <w:bookmarkStart w:id="126" w:name="_Toc186431854"/>
      <w:bookmarkStart w:id="127" w:name="_Toc279701247"/>
      <w:bookmarkStart w:id="128" w:name="_Ref467379793"/>
      <w:bookmarkStart w:id="129" w:name="_Toc487900357"/>
      <w:bookmarkStart w:id="130" w:name="_Toc259093676"/>
      <w:bookmarkStart w:id="131" w:name="_Ref467379807"/>
      <w:r>
        <w:rPr>
          <w:rFonts w:hint="eastAsia" w:ascii="宋体" w:hAnsi="宋体" w:cs="@仿宋_GB2312"/>
          <w:color w:val="000000"/>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2.4.2合同履行期间，甲方有权将履行过程中出现的问题反馈给乙方，双方当事人应以书面形式约定需要完善和改进的内容</w:t>
      </w:r>
      <w:bookmarkEnd w:id="126"/>
      <w:bookmarkStart w:id="132" w:name="_Toc186431855"/>
      <w:r>
        <w:rPr>
          <w:rFonts w:hint="eastAsia" w:ascii="宋体" w:hAnsi="宋体" w:cs="@仿宋_GB2312"/>
          <w:color w:val="000000"/>
          <w:sz w:val="24"/>
          <w:szCs w:val="24"/>
          <w:highlight w:val="none"/>
        </w:rPr>
        <w:t>。</w:t>
      </w:r>
    </w:p>
    <w:bookmarkEnd w:id="132"/>
    <w:p>
      <w:pPr>
        <w:spacing w:line="360" w:lineRule="auto"/>
        <w:ind w:firstLine="437"/>
        <w:outlineLvl w:val="3"/>
        <w:rPr>
          <w:rFonts w:ascii="宋体" w:hAnsi="宋体" w:cs="@仿宋_GB2312"/>
          <w:b/>
          <w:bCs/>
          <w:color w:val="000000"/>
          <w:sz w:val="24"/>
          <w:szCs w:val="24"/>
          <w:highlight w:val="none"/>
          <w:lang w:val="zh-CN"/>
        </w:rPr>
      </w:pPr>
      <w:bookmarkStart w:id="133" w:name="_Toc28451"/>
      <w:bookmarkStart w:id="134" w:name="_Toc7836"/>
      <w:bookmarkStart w:id="135" w:name="_Toc19219"/>
      <w:r>
        <w:rPr>
          <w:rFonts w:hint="eastAsia" w:ascii="宋体" w:hAnsi="宋体" w:cs="@仿宋_GB2312"/>
          <w:b/>
          <w:bCs/>
          <w:color w:val="000000"/>
          <w:sz w:val="24"/>
          <w:szCs w:val="24"/>
          <w:highlight w:val="none"/>
          <w:lang w:val="zh-CN"/>
        </w:rPr>
        <w:t>2.5 结算方式和付款条件</w:t>
      </w:r>
      <w:bookmarkEnd w:id="127"/>
      <w:bookmarkEnd w:id="128"/>
      <w:bookmarkEnd w:id="129"/>
      <w:bookmarkEnd w:id="130"/>
      <w:bookmarkEnd w:id="131"/>
      <w:bookmarkEnd w:id="133"/>
      <w:bookmarkEnd w:id="134"/>
      <w:bookmarkEnd w:id="13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36" w:name="_Toc279701248"/>
      <w:bookmarkStart w:id="137" w:name="_Toc487900358"/>
      <w:bookmarkStart w:id="138" w:name="_Ref467379923"/>
      <w:bookmarkStart w:id="139" w:name="_Toc259093677"/>
      <w:bookmarkStart w:id="140" w:name="_Ref467379863"/>
      <w:bookmarkStart w:id="141" w:name="_Ref467379852"/>
      <w:bookmarkStart w:id="142" w:name="_Toc3225"/>
      <w:bookmarkStart w:id="143" w:name="_Toc16110"/>
      <w:bookmarkStart w:id="144" w:name="_Toc774"/>
      <w:r>
        <w:rPr>
          <w:rFonts w:hint="eastAsia" w:ascii="宋体" w:hAnsi="宋体" w:cs="@仿宋_GB2312"/>
          <w:b/>
          <w:bCs/>
          <w:color w:val="000000"/>
          <w:sz w:val="24"/>
          <w:szCs w:val="24"/>
          <w:highlight w:val="none"/>
          <w:lang w:val="zh-CN"/>
        </w:rPr>
        <w:t>2.6 技术资料</w:t>
      </w:r>
      <w:bookmarkEnd w:id="136"/>
      <w:bookmarkEnd w:id="137"/>
      <w:bookmarkEnd w:id="138"/>
      <w:bookmarkEnd w:id="139"/>
      <w:bookmarkEnd w:id="140"/>
      <w:bookmarkEnd w:id="141"/>
      <w:r>
        <w:rPr>
          <w:rFonts w:hint="eastAsia" w:ascii="宋体" w:hAnsi="宋体" w:cs="@仿宋_GB2312"/>
          <w:b/>
          <w:bCs/>
          <w:color w:val="000000"/>
          <w:sz w:val="24"/>
          <w:szCs w:val="24"/>
          <w:highlight w:val="none"/>
          <w:lang w:val="zh-CN"/>
        </w:rPr>
        <w:t>和保密义务</w:t>
      </w:r>
      <w:bookmarkEnd w:id="142"/>
      <w:bookmarkEnd w:id="143"/>
      <w:bookmarkEnd w:id="14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2.6.2乙方有义务妥善保管和保护由甲方提供的前款信息和资料等；</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highlight w:val="none"/>
          <w:lang w:val="zh-CN"/>
        </w:rPr>
      </w:pPr>
      <w:bookmarkStart w:id="145" w:name="_Toc7860"/>
      <w:r>
        <w:rPr>
          <w:rFonts w:hint="eastAsia" w:ascii="宋体" w:hAnsi="宋体" w:cs="@仿宋_GB2312"/>
          <w:b/>
          <w:bCs/>
          <w:color w:val="000000"/>
          <w:sz w:val="24"/>
          <w:szCs w:val="24"/>
          <w:highlight w:val="none"/>
          <w:lang w:val="zh-CN"/>
        </w:rPr>
        <w:t>2.7 质量保证</w:t>
      </w:r>
      <w:bookmarkEnd w:id="14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highlight w:val="none"/>
        </w:rPr>
      </w:pPr>
      <w:bookmarkStart w:id="146" w:name="_Toc22267"/>
      <w:r>
        <w:rPr>
          <w:rFonts w:hint="eastAsia" w:ascii="宋体" w:hAnsi="宋体" w:cs="@仿宋_GB2312"/>
          <w:b/>
          <w:color w:val="000000"/>
          <w:sz w:val="24"/>
          <w:szCs w:val="24"/>
          <w:highlight w:val="none"/>
        </w:rPr>
        <w:t>2.8 延迟履行</w:t>
      </w:r>
      <w:bookmarkEnd w:id="14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highlight w:val="none"/>
          <w:lang w:val="zh-CN"/>
        </w:rPr>
      </w:pPr>
      <w:bookmarkStart w:id="147" w:name="_Toc7502"/>
      <w:bookmarkStart w:id="148" w:name="_Toc279701254"/>
      <w:bookmarkStart w:id="149" w:name="_Toc259093683"/>
      <w:bookmarkStart w:id="150" w:name="_Ref467378121"/>
      <w:bookmarkStart w:id="151" w:name="_Toc487900364"/>
      <w:r>
        <w:rPr>
          <w:rFonts w:hint="eastAsia" w:ascii="宋体" w:hAnsi="宋体" w:cs="@仿宋_GB2312"/>
          <w:b/>
          <w:bCs/>
          <w:color w:val="000000"/>
          <w:sz w:val="24"/>
          <w:szCs w:val="24"/>
          <w:highlight w:val="none"/>
          <w:lang w:val="zh-CN"/>
        </w:rPr>
        <w:t>2.9 合同变更</w:t>
      </w:r>
      <w:bookmarkEnd w:id="14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52" w:name="_Toc487900369"/>
      <w:bookmarkStart w:id="153" w:name="_Toc259093688"/>
      <w:bookmarkStart w:id="154" w:name="_Toc279701259"/>
    </w:p>
    <w:p>
      <w:pPr>
        <w:spacing w:line="360" w:lineRule="auto"/>
        <w:ind w:firstLine="437"/>
        <w:outlineLvl w:val="3"/>
        <w:rPr>
          <w:rFonts w:ascii="宋体" w:hAnsi="宋体" w:cs="@仿宋_GB2312"/>
          <w:b/>
          <w:bCs/>
          <w:color w:val="000000"/>
          <w:sz w:val="24"/>
          <w:szCs w:val="24"/>
          <w:highlight w:val="none"/>
          <w:lang w:val="zh-CN"/>
        </w:rPr>
      </w:pPr>
      <w:bookmarkStart w:id="155" w:name="_Toc22955"/>
      <w:bookmarkStart w:id="156" w:name="_Toc15237"/>
      <w:bookmarkStart w:id="157" w:name="_Toc10366"/>
      <w:r>
        <w:rPr>
          <w:rFonts w:hint="eastAsia" w:ascii="宋体" w:hAnsi="宋体" w:cs="@仿宋_GB2312"/>
          <w:b/>
          <w:bCs/>
          <w:color w:val="000000"/>
          <w:sz w:val="24"/>
          <w:szCs w:val="24"/>
          <w:highlight w:val="none"/>
          <w:lang w:val="zh-CN"/>
        </w:rPr>
        <w:t>2.10 合同转让</w:t>
      </w:r>
      <w:bookmarkEnd w:id="152"/>
      <w:bookmarkEnd w:id="153"/>
      <w:bookmarkEnd w:id="154"/>
      <w:r>
        <w:rPr>
          <w:rFonts w:hint="eastAsia" w:ascii="宋体" w:hAnsi="宋体" w:cs="@仿宋_GB2312"/>
          <w:b/>
          <w:bCs/>
          <w:color w:val="000000"/>
          <w:sz w:val="24"/>
          <w:szCs w:val="24"/>
          <w:highlight w:val="none"/>
          <w:lang w:val="zh-CN"/>
        </w:rPr>
        <w:t>和分包</w:t>
      </w:r>
      <w:bookmarkEnd w:id="155"/>
      <w:bookmarkEnd w:id="156"/>
      <w:bookmarkEnd w:id="15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highlight w:val="none"/>
          <w:lang w:val="zh-CN"/>
        </w:rPr>
      </w:pPr>
      <w:bookmarkStart w:id="158" w:name="_Toc13566"/>
      <w:bookmarkStart w:id="159" w:name="_Toc14066"/>
      <w:bookmarkStart w:id="160" w:name="_Toc16508"/>
      <w:r>
        <w:rPr>
          <w:rFonts w:hint="eastAsia" w:ascii="宋体" w:hAnsi="宋体" w:cs="@仿宋_GB2312"/>
          <w:b/>
          <w:bCs/>
          <w:color w:val="000000"/>
          <w:sz w:val="24"/>
          <w:szCs w:val="24"/>
          <w:highlight w:val="none"/>
          <w:lang w:val="zh-CN"/>
        </w:rPr>
        <w:t>2.11 不可抗力</w:t>
      </w:r>
      <w:bookmarkEnd w:id="158"/>
      <w:bookmarkEnd w:id="159"/>
      <w:bookmarkEnd w:id="16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2.11.2因不可抗力致使不能实现合同目的的，当事人可以解除合同；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2.11.3因不可抗力致使合同有变更必要的，双方当事人应在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约定时间内以书面形式变更合同；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2.11.4受不可抗力影响的一方在不可抗力发生后，应在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约定时间内以书面形式通知对方当事人，并在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约定时间内，将有关部门出具的证明文件送达对方当事人。</w:t>
      </w:r>
    </w:p>
    <w:p>
      <w:pPr>
        <w:spacing w:line="360" w:lineRule="auto"/>
        <w:ind w:firstLine="437"/>
        <w:outlineLvl w:val="3"/>
        <w:rPr>
          <w:rFonts w:ascii="宋体" w:hAnsi="宋体" w:cs="@仿宋_GB2312"/>
          <w:b/>
          <w:bCs/>
          <w:color w:val="000000"/>
          <w:sz w:val="24"/>
          <w:szCs w:val="24"/>
          <w:highlight w:val="none"/>
          <w:lang w:val="zh-CN"/>
        </w:rPr>
      </w:pPr>
      <w:bookmarkStart w:id="161" w:name="_Toc30676"/>
      <w:bookmarkStart w:id="162" w:name="_Toc689"/>
      <w:bookmarkStart w:id="163" w:name="_Toc259093684"/>
      <w:bookmarkStart w:id="164" w:name="_Toc487900365"/>
      <w:bookmarkStart w:id="165" w:name="_Toc6969"/>
      <w:bookmarkStart w:id="166" w:name="_Toc279701255"/>
      <w:r>
        <w:rPr>
          <w:rFonts w:hint="eastAsia" w:ascii="宋体" w:hAnsi="宋体" w:cs="@仿宋_GB2312"/>
          <w:b/>
          <w:bCs/>
          <w:color w:val="000000"/>
          <w:sz w:val="24"/>
          <w:szCs w:val="24"/>
          <w:highlight w:val="none"/>
          <w:lang w:val="zh-CN"/>
        </w:rPr>
        <w:t>2.12 税费</w:t>
      </w:r>
      <w:bookmarkEnd w:id="161"/>
      <w:bookmarkEnd w:id="162"/>
      <w:bookmarkEnd w:id="163"/>
      <w:bookmarkEnd w:id="164"/>
      <w:bookmarkEnd w:id="165"/>
      <w:bookmarkEnd w:id="16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highlight w:val="none"/>
          <w:lang w:val="zh-CN"/>
        </w:rPr>
      </w:pPr>
      <w:bookmarkStart w:id="167" w:name="_Toc8298"/>
      <w:bookmarkStart w:id="168" w:name="_Toc7102"/>
      <w:bookmarkStart w:id="169" w:name="_Toc279701258"/>
      <w:bookmarkStart w:id="170" w:name="_Toc16959"/>
      <w:bookmarkStart w:id="171" w:name="_Toc487900368"/>
      <w:bookmarkStart w:id="172" w:name="_Toc259093687"/>
      <w:r>
        <w:rPr>
          <w:rFonts w:hint="eastAsia" w:ascii="宋体" w:hAnsi="宋体" w:cs="@仿宋_GB2312"/>
          <w:b/>
          <w:bCs/>
          <w:color w:val="000000"/>
          <w:sz w:val="24"/>
          <w:szCs w:val="24"/>
          <w:highlight w:val="none"/>
          <w:lang w:val="zh-CN"/>
        </w:rPr>
        <w:t>2.13 乙方破产</w:t>
      </w:r>
      <w:bookmarkEnd w:id="167"/>
      <w:bookmarkEnd w:id="168"/>
      <w:bookmarkEnd w:id="169"/>
      <w:bookmarkEnd w:id="170"/>
      <w:bookmarkEnd w:id="171"/>
      <w:bookmarkEnd w:id="17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highlight w:val="none"/>
        </w:rPr>
      </w:pPr>
      <w:bookmarkStart w:id="173" w:name="_Toc6134"/>
      <w:bookmarkStart w:id="174" w:name="_Toc29333"/>
      <w:bookmarkStart w:id="175" w:name="_Toc15387"/>
      <w:r>
        <w:rPr>
          <w:rFonts w:hint="eastAsia" w:ascii="宋体" w:hAnsi="宋体" w:cs="@仿宋_GB2312"/>
          <w:b/>
          <w:bCs/>
          <w:color w:val="000000"/>
          <w:sz w:val="24"/>
          <w:szCs w:val="24"/>
          <w:highlight w:val="none"/>
          <w:lang w:val="zh-CN"/>
        </w:rPr>
        <w:t>2.14 合同中止、终止</w:t>
      </w:r>
      <w:bookmarkEnd w:id="173"/>
      <w:bookmarkEnd w:id="174"/>
      <w:bookmarkEnd w:id="17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2.14.1双方当事人不得擅自中止或者终止合同；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highlight w:val="none"/>
          <w:lang w:val="zh-CN"/>
        </w:rPr>
      </w:pPr>
      <w:bookmarkStart w:id="176" w:name="_Toc1125"/>
      <w:bookmarkStart w:id="177" w:name="_Toc14563"/>
      <w:bookmarkStart w:id="178" w:name="_Toc6596"/>
      <w:r>
        <w:rPr>
          <w:rFonts w:hint="eastAsia" w:ascii="宋体" w:hAnsi="宋体" w:cs="@仿宋_GB2312"/>
          <w:b/>
          <w:bCs/>
          <w:color w:val="000000"/>
          <w:sz w:val="24"/>
          <w:szCs w:val="24"/>
          <w:highlight w:val="none"/>
          <w:lang w:val="zh-CN"/>
        </w:rPr>
        <w:t>2.15 检验和验收</w:t>
      </w:r>
      <w:bookmarkEnd w:id="176"/>
      <w:bookmarkEnd w:id="177"/>
      <w:bookmarkEnd w:id="17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2.15.1乙方按照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的约定，定期提交服务报告，甲方按照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的约定进行定期验收；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2.15.3检验和验收标准、程序等具体内容以及前述验收书的效力详见</w:t>
      </w:r>
      <w:r>
        <w:rPr>
          <w:rFonts w:hint="eastAsia" w:ascii="宋体" w:hAnsi="宋体" w:cs="@仿宋_GB2312"/>
          <w:b/>
          <w:i/>
          <w:color w:val="000000"/>
          <w:sz w:val="24"/>
          <w:szCs w:val="24"/>
          <w:highlight w:val="none"/>
          <w:u w:val="single"/>
        </w:rPr>
        <w:t>合同专用条款</w:t>
      </w:r>
      <w:r>
        <w:rPr>
          <w:rFonts w:hint="eastAsia" w:ascii="宋体" w:hAnsi="宋体" w:cs="@仿宋_GB2312"/>
          <w:i/>
          <w:color w:val="000000"/>
          <w:sz w:val="24"/>
          <w:szCs w:val="24"/>
          <w:highlight w:val="none"/>
        </w:rPr>
        <w:t>。</w:t>
      </w:r>
    </w:p>
    <w:bookmarkEnd w:id="148"/>
    <w:bookmarkEnd w:id="149"/>
    <w:bookmarkEnd w:id="150"/>
    <w:bookmarkEnd w:id="151"/>
    <w:p>
      <w:pPr>
        <w:spacing w:line="360" w:lineRule="auto"/>
        <w:ind w:firstLine="437"/>
        <w:outlineLvl w:val="3"/>
        <w:rPr>
          <w:rFonts w:ascii="宋体" w:hAnsi="宋体" w:cs="@仿宋_GB2312"/>
          <w:b/>
          <w:bCs/>
          <w:color w:val="000000"/>
          <w:sz w:val="24"/>
          <w:szCs w:val="24"/>
          <w:highlight w:val="none"/>
        </w:rPr>
      </w:pPr>
      <w:bookmarkStart w:id="179" w:name="_Toc12773"/>
      <w:bookmarkStart w:id="180" w:name="_Toc259093692"/>
      <w:bookmarkStart w:id="181" w:name="_Toc18567"/>
      <w:bookmarkStart w:id="182" w:name="_Toc10330"/>
      <w:bookmarkStart w:id="183" w:name="_Toc279701263"/>
      <w:bookmarkStart w:id="184" w:name="_Toc487900373"/>
      <w:r>
        <w:rPr>
          <w:rFonts w:hint="eastAsia" w:ascii="宋体" w:hAnsi="宋体" w:cs="@仿宋_GB2312"/>
          <w:b/>
          <w:bCs/>
          <w:color w:val="000000"/>
          <w:sz w:val="24"/>
          <w:szCs w:val="24"/>
          <w:highlight w:val="none"/>
        </w:rPr>
        <w:t xml:space="preserve">2.16 </w:t>
      </w:r>
      <w:r>
        <w:rPr>
          <w:rFonts w:hint="eastAsia" w:ascii="宋体" w:hAnsi="宋体" w:cs="@仿宋_GB2312"/>
          <w:b/>
          <w:bCs/>
          <w:color w:val="000000"/>
          <w:sz w:val="24"/>
          <w:szCs w:val="24"/>
          <w:highlight w:val="none"/>
          <w:lang w:val="zh-CN"/>
        </w:rPr>
        <w:t>合同使用的文字和适用的法律</w:t>
      </w:r>
      <w:bookmarkEnd w:id="179"/>
      <w:bookmarkEnd w:id="180"/>
      <w:bookmarkEnd w:id="181"/>
      <w:bookmarkEnd w:id="182"/>
      <w:bookmarkEnd w:id="183"/>
      <w:bookmarkEnd w:id="18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2.16.1合同使用汉语书就、变更和解释；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2.16.2合同适用中华人民共和国法律。</w:t>
      </w:r>
    </w:p>
    <w:p>
      <w:pPr>
        <w:spacing w:line="360" w:lineRule="auto"/>
        <w:ind w:firstLine="437"/>
        <w:outlineLvl w:val="3"/>
        <w:rPr>
          <w:rFonts w:ascii="宋体" w:hAnsi="宋体" w:cs="@仿宋_GB2312"/>
          <w:b/>
          <w:color w:val="000000"/>
          <w:sz w:val="24"/>
          <w:szCs w:val="24"/>
          <w:highlight w:val="none"/>
        </w:rPr>
      </w:pPr>
      <w:bookmarkStart w:id="185" w:name="_Toc12004"/>
      <w:bookmarkStart w:id="186" w:name="_Toc259093693"/>
      <w:bookmarkStart w:id="187" w:name="_Toc279701264"/>
      <w:bookmarkStart w:id="188" w:name="_Toc3148"/>
      <w:bookmarkStart w:id="189" w:name="_Toc16673"/>
      <w:bookmarkStart w:id="190" w:name="_Toc487900374"/>
      <w:r>
        <w:rPr>
          <w:rFonts w:hint="eastAsia" w:ascii="宋体" w:hAnsi="宋体" w:cs="@仿宋_GB2312"/>
          <w:b/>
          <w:bCs/>
          <w:color w:val="000000"/>
          <w:sz w:val="24"/>
          <w:szCs w:val="24"/>
          <w:highlight w:val="none"/>
          <w:lang w:val="zh-CN"/>
        </w:rPr>
        <w:t>2.17 履约保证金</w:t>
      </w:r>
      <w:bookmarkEnd w:id="185"/>
      <w:bookmarkEnd w:id="186"/>
      <w:bookmarkEnd w:id="187"/>
      <w:bookmarkEnd w:id="188"/>
      <w:bookmarkEnd w:id="18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2.17.1招标文件要求乙方提交履约保证金的，乙方应按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2.17.2履约保证金在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0"/>
    <w:p>
      <w:pPr>
        <w:spacing w:line="360" w:lineRule="auto"/>
        <w:ind w:firstLine="437"/>
        <w:outlineLvl w:val="3"/>
        <w:rPr>
          <w:rFonts w:ascii="宋体" w:hAnsi="宋体" w:cs="@仿宋_GB2312"/>
          <w:b/>
          <w:color w:val="000000"/>
          <w:sz w:val="24"/>
          <w:szCs w:val="24"/>
          <w:highlight w:val="none"/>
        </w:rPr>
      </w:pPr>
      <w:bookmarkStart w:id="191" w:name="_Toc6885"/>
      <w:bookmarkStart w:id="192" w:name="_Toc14001"/>
      <w:bookmarkStart w:id="193" w:name="_Toc19890"/>
      <w:r>
        <w:rPr>
          <w:rFonts w:hint="eastAsia" w:ascii="宋体" w:hAnsi="宋体" w:cs="@仿宋_GB2312"/>
          <w:b/>
          <w:bCs/>
          <w:color w:val="000000"/>
          <w:sz w:val="24"/>
          <w:szCs w:val="24"/>
          <w:highlight w:val="none"/>
          <w:lang w:val="zh-CN"/>
        </w:rPr>
        <w:t>2.18 合同份数</w:t>
      </w:r>
      <w:bookmarkEnd w:id="191"/>
      <w:bookmarkEnd w:id="192"/>
      <w:bookmarkEnd w:id="193"/>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合同份数按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规定，每份均具有同等法律效力。</w:t>
      </w: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ascii="宋体" w:hAnsi="宋体" w:cs="@仿宋_GB2312"/>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bookmarkStart w:id="194" w:name="_Toc331685784"/>
      <w:r>
        <w:rPr>
          <w:rFonts w:hint="eastAsia" w:ascii="宋体" w:hAnsi="宋体" w:cs="@仿宋_GB2312"/>
          <w:b/>
          <w:color w:val="000000"/>
          <w:sz w:val="24"/>
          <w:szCs w:val="24"/>
          <w:highlight w:val="none"/>
        </w:rPr>
        <w:t>第三部分 合同专用条款</w:t>
      </w:r>
      <w:bookmarkEnd w:id="19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bl>
    <w:p>
      <w:pPr>
        <w:pStyle w:val="85"/>
        <w:spacing w:before="0" w:after="0" w:line="420" w:lineRule="exact"/>
        <w:ind w:left="0" w:right="-710"/>
        <w:rPr>
          <w:rFonts w:hint="eastAsia" w:ascii="宋体" w:hAnsi="宋体"/>
          <w:color w:val="000000"/>
          <w:kern w:val="2"/>
          <w:szCs w:val="24"/>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pStyle w:val="15"/>
        <w:rPr>
          <w:rFonts w:hint="eastAsia" w:ascii="宋体" w:hAnsi="宋体"/>
          <w:color w:val="000000"/>
          <w:sz w:val="24"/>
          <w:szCs w:val="27"/>
          <w:highlight w:val="none"/>
        </w:rPr>
      </w:pPr>
    </w:p>
    <w:p>
      <w:pPr>
        <w:pStyle w:val="15"/>
        <w:rPr>
          <w:rFonts w:hint="eastAsia" w:ascii="宋体" w:hAnsi="宋体"/>
          <w:color w:val="000000"/>
          <w:sz w:val="24"/>
          <w:szCs w:val="27"/>
          <w:highlight w:val="none"/>
        </w:rPr>
      </w:pPr>
    </w:p>
    <w:p>
      <w:pPr>
        <w:pStyle w:val="15"/>
        <w:rPr>
          <w:rFonts w:hint="eastAsia" w:ascii="宋体" w:hAnsi="宋体"/>
          <w:color w:val="000000"/>
          <w:sz w:val="24"/>
          <w:szCs w:val="27"/>
          <w:highlight w:val="none"/>
        </w:rPr>
      </w:pPr>
    </w:p>
    <w:p>
      <w:pPr>
        <w:rPr>
          <w:rFonts w:hint="eastAsia" w:eastAsia="宋体"/>
          <w:lang w:val="en-US" w:eastAsia="zh-CN"/>
        </w:rPr>
      </w:pPr>
    </w:p>
    <w:p>
      <w:pPr>
        <w:jc w:val="left"/>
        <w:rPr>
          <w:rFonts w:ascii="宋体" w:hAnsi="宋体"/>
          <w:b/>
          <w:color w:val="000000"/>
          <w:sz w:val="24"/>
          <w:szCs w:val="24"/>
          <w:highlight w:val="none"/>
        </w:rPr>
      </w:pPr>
      <w:r>
        <w:rPr>
          <w:rFonts w:hint="eastAsia" w:ascii="宋体" w:hAnsi="宋体"/>
          <w:b/>
          <w:color w:val="000000"/>
          <w:sz w:val="24"/>
          <w:szCs w:val="24"/>
          <w:highlight w:val="none"/>
        </w:rPr>
        <w:t>合同附件：</w:t>
      </w:r>
    </w:p>
    <w:p>
      <w:pPr>
        <w:jc w:val="center"/>
        <w:rPr>
          <w:rFonts w:ascii="宋体" w:hAnsi="宋体"/>
          <w:b/>
          <w:bCs/>
          <w:color w:val="000000"/>
          <w:sz w:val="24"/>
          <w:highlight w:val="none"/>
        </w:rPr>
      </w:pPr>
      <w:r>
        <w:rPr>
          <w:rFonts w:hint="eastAsia" w:ascii="宋体" w:hAnsi="宋体"/>
          <w:b/>
          <w:bCs/>
          <w:color w:val="000000"/>
          <w:sz w:val="24"/>
          <w:highlight w:val="none"/>
        </w:rPr>
        <w:t>承  诺  书</w:t>
      </w:r>
    </w:p>
    <w:p>
      <w:pPr>
        <w:spacing w:line="360" w:lineRule="auto"/>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为维护招投标工作的严肃性，甲乙双方郑重声明并承诺如下：</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（三）本项目招标公告和谈判文件关于</w:t>
      </w:r>
      <w:r>
        <w:rPr>
          <w:rFonts w:ascii="宋体" w:hAnsi="宋体"/>
          <w:color w:val="000000"/>
          <w:sz w:val="24"/>
          <w:szCs w:val="24"/>
          <w:highlight w:val="none"/>
        </w:rPr>
        <w:t>签订</w:t>
      </w:r>
      <w:r>
        <w:rPr>
          <w:rFonts w:hint="eastAsia" w:ascii="宋体" w:hAnsi="宋体"/>
          <w:color w:val="000000"/>
          <w:sz w:val="24"/>
          <w:szCs w:val="24"/>
          <w:highlight w:val="none"/>
        </w:rPr>
        <w:t>书面</w:t>
      </w:r>
      <w:r>
        <w:rPr>
          <w:rFonts w:ascii="宋体" w:hAnsi="宋体"/>
          <w:color w:val="000000"/>
          <w:sz w:val="24"/>
          <w:szCs w:val="24"/>
          <w:highlight w:val="none"/>
        </w:rPr>
        <w:t>合同的相关</w:t>
      </w:r>
      <w:r>
        <w:rPr>
          <w:rFonts w:hint="eastAsia" w:ascii="宋体" w:hAnsi="宋体"/>
          <w:color w:val="000000"/>
          <w:sz w:val="24"/>
          <w:szCs w:val="24"/>
          <w:highlight w:val="none"/>
        </w:rPr>
        <w:t>约定（</w:t>
      </w:r>
      <w:r>
        <w:rPr>
          <w:rFonts w:ascii="宋体" w:hAnsi="宋体"/>
          <w:color w:val="000000"/>
          <w:sz w:val="24"/>
          <w:szCs w:val="24"/>
          <w:highlight w:val="none"/>
        </w:rPr>
        <w:t>详见</w:t>
      </w:r>
      <w:r>
        <w:rPr>
          <w:rFonts w:hint="eastAsia" w:ascii="宋体" w:hAnsi="宋体"/>
          <w:color w:val="000000"/>
          <w:sz w:val="24"/>
          <w:szCs w:val="24"/>
          <w:highlight w:val="none"/>
        </w:rPr>
        <w:t>本项目招标公告和谈判文件）。</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二、双方承诺严格按照上述规定签订</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的书面合同。如有违反，自行承担一切法律责任和后果。</w:t>
      </w: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甲方：  (公章)                         乙方：  (公章)</w:t>
      </w:r>
    </w:p>
    <w:p>
      <w:pPr>
        <w:spacing w:line="360" w:lineRule="auto"/>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法定代表人或其委托代理人：            法定代表人或其委托代理人：</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（签字）                                （签字）</w:t>
      </w:r>
    </w:p>
    <w:p>
      <w:pPr>
        <w:rPr>
          <w:color w:val="000000"/>
          <w:highlight w:val="none"/>
        </w:rPr>
      </w:pPr>
    </w:p>
    <w:p>
      <w:pPr>
        <w:spacing w:before="120" w:beforeLines="50" w:after="72" w:afterLines="30"/>
        <w:rPr>
          <w:rFonts w:ascii="宋体" w:hAnsi="宋体"/>
          <w:color w:val="000000"/>
          <w:sz w:val="24"/>
          <w:szCs w:val="24"/>
          <w:highlight w:val="none"/>
        </w:rPr>
      </w:pPr>
      <w:r>
        <w:rPr>
          <w:rFonts w:hint="eastAsia" w:ascii="宋体" w:hAnsi="宋体"/>
          <w:color w:val="000000"/>
          <w:sz w:val="24"/>
          <w:szCs w:val="24"/>
          <w:highlight w:val="none"/>
        </w:rPr>
        <w:t xml:space="preserve">时间：   年   月                      时间：   年   月     </w:t>
      </w:r>
    </w:p>
    <w:p>
      <w:pPr>
        <w:spacing w:line="360" w:lineRule="auto"/>
        <w:rPr>
          <w:rFonts w:hAnsi="宋体"/>
          <w:b/>
          <w:color w:val="000000"/>
          <w:sz w:val="30"/>
          <w:szCs w:val="30"/>
          <w:highlight w:val="none"/>
        </w:rPr>
      </w:pPr>
    </w:p>
    <w:p>
      <w:pPr>
        <w:pStyle w:val="24"/>
        <w:rPr>
          <w:rFonts w:hint="eastAsia" w:eastAsia="宋体"/>
          <w:lang w:val="en-US" w:eastAsia="zh-CN"/>
        </w:rPr>
      </w:pPr>
    </w:p>
    <w:p>
      <w:pPr>
        <w:pStyle w:val="36"/>
        <w:rPr>
          <w:rFonts w:hint="eastAsia"/>
          <w:lang w:val="en-US" w:eastAsia="zh-CN"/>
        </w:rPr>
      </w:pPr>
    </w:p>
    <w:p>
      <w:pPr>
        <w:rPr>
          <w:rFonts w:hint="eastAsia" w:hAnsi="宋体"/>
          <w:color w:val="000000"/>
          <w:highlight w:val="yellow"/>
        </w:rPr>
      </w:pPr>
      <w:bookmarkStart w:id="195" w:name="_Toc527131323"/>
      <w:bookmarkStart w:id="196" w:name="_Toc527117258"/>
    </w:p>
    <w:p>
      <w:pPr>
        <w:pStyle w:val="2"/>
        <w:spacing w:before="260" w:after="260" w:line="500" w:lineRule="exact"/>
        <w:jc w:val="both"/>
        <w:rPr>
          <w:rFonts w:hAnsi="宋体"/>
          <w:color w:val="000000"/>
          <w:highlight w:val="none"/>
        </w:rPr>
      </w:pPr>
      <w:r>
        <w:rPr>
          <w:rFonts w:hint="eastAsia" w:hAnsi="宋体"/>
          <w:color w:val="000000"/>
          <w:highlight w:val="none"/>
        </w:rPr>
        <w:t>五、采购需求</w:t>
      </w:r>
      <w:bookmarkEnd w:id="195"/>
      <w:bookmarkEnd w:id="196"/>
    </w:p>
    <w:p>
      <w:pPr>
        <w:spacing w:line="360" w:lineRule="auto"/>
        <w:ind w:firstLine="537" w:firstLineChars="245"/>
        <w:rPr>
          <w:rFonts w:hint="eastAsia" w:hAnsi="宋体" w:cs="宋体"/>
          <w:color w:val="000000"/>
        </w:rPr>
      </w:pPr>
      <w:bookmarkStart w:id="197" w:name="_Hlt240110027"/>
      <w:bookmarkEnd w:id="197"/>
      <w:bookmarkStart w:id="198" w:name="_Toc438648630"/>
      <w:bookmarkStart w:id="199" w:name="_Toc433835936"/>
      <w:r>
        <w:rPr>
          <w:rFonts w:hint="eastAsia" w:hAnsi="宋体" w:cs="宋体"/>
          <w:color w:val="000000"/>
        </w:rPr>
        <w:t>因日常经营管理和维护自身权益要求，采购法律顾问服务单位一家，协助公司各部门、分公司、子公司处理如下日常法律事务：</w:t>
      </w:r>
    </w:p>
    <w:p>
      <w:pPr>
        <w:spacing w:line="360" w:lineRule="auto"/>
        <w:ind w:firstLine="537" w:firstLineChars="245"/>
        <w:rPr>
          <w:rFonts w:hAnsi="宋体" w:cs="宋体"/>
          <w:color w:val="000000"/>
        </w:rPr>
      </w:pPr>
      <w:r>
        <w:rPr>
          <w:rFonts w:hint="eastAsia" w:hAnsi="宋体" w:cs="宋体"/>
          <w:color w:val="000000"/>
        </w:rPr>
        <w:t>1.解答招标人提出的有关法律问题，出具法律意见；2.协助草拟、制订、审查或者修改合同、协议、函件等法律文件；3.应招标人要求，参与重要事务的磋商、谈判，进行法律分析、论证；4.根据招标人经营管理需要，签发律师函、律师声明、律师公告；5.应招标人要求，就招标人已经、面临或者可能发生的纠纷，进行法律论证，提出解决方案，出具律师函，发表律师意见，或者参与非诉讼谈判协商、调解；6.协助招标人建立和健全经营管理制度、合规管理制度、劳动管理制度和内部风险防范机制等各项管理规章制度；7.应招标人的要求，列席公司董事会、总经理办公会、职工大会等重要会议，提供见证和现场法律咨询；8.应招标人要求，参与招标人的债权清收、一般纠纷的非诉讼谈判、调解和处理；9.根据国家新颁布或修订的法律，对招标人的章程、规章制度、合同范本进行相应的修改和完善；10.应招标人要求，向招标人员工讲授法律知识；11.</w:t>
      </w:r>
      <w:r>
        <w:rPr>
          <w:rFonts w:hint="eastAsia" w:hAnsi="宋体"/>
          <w:color w:val="000000"/>
          <w:szCs w:val="24"/>
        </w:rPr>
        <w:t>每周到招标人公司值班不少于半天；12.</w:t>
      </w:r>
      <w:r>
        <w:rPr>
          <w:rFonts w:hint="eastAsia" w:hAnsi="宋体" w:cs="宋体"/>
          <w:color w:val="000000"/>
        </w:rPr>
        <w:t>办理招标人委托的专项法律服务（单独计费并签订专项合同）</w:t>
      </w:r>
      <w:r>
        <w:rPr>
          <w:rFonts w:hint="eastAsia" w:hAnsi="宋体"/>
          <w:color w:val="000000"/>
          <w:szCs w:val="24"/>
        </w:rPr>
        <w:t>；13.</w:t>
      </w:r>
      <w:r>
        <w:rPr>
          <w:rFonts w:hint="eastAsia" w:hAnsi="宋体" w:cs="宋体"/>
          <w:color w:val="000000"/>
        </w:rPr>
        <w:t>办理双方商定的其他日常法律事务。</w:t>
      </w:r>
    </w:p>
    <w:p>
      <w:pPr>
        <w:rPr>
          <w:rFonts w:ascii="黑体" w:hAnsi="黑体" w:eastAsia="黑体" w:cs="宋体"/>
          <w:sz w:val="28"/>
          <w:szCs w:val="28"/>
        </w:rPr>
      </w:pPr>
      <w:r>
        <w:rPr>
          <w:rFonts w:hint="eastAsia" w:ascii="黑体" w:hAnsi="黑体" w:eastAsia="黑体" w:cs="宋体"/>
          <w:sz w:val="28"/>
          <w:szCs w:val="28"/>
        </w:rPr>
        <w:t>三、评分方法</w:t>
      </w:r>
    </w:p>
    <w:p>
      <w:pPr>
        <w:rPr>
          <w:rFonts w:ascii="宋体" w:hAnsi="宋体"/>
        </w:rPr>
      </w:pPr>
      <w:r>
        <w:rPr>
          <w:rFonts w:hint="eastAsia" w:ascii="宋体" w:hAnsi="宋体"/>
        </w:rPr>
        <w:t>本项目综合评分满分为</w:t>
      </w:r>
      <w:r>
        <w:rPr>
          <w:rFonts w:hint="eastAsia" w:ascii="宋体" w:hAnsi="宋体"/>
          <w:u w:val="single"/>
        </w:rPr>
        <w:t xml:space="preserve"> 100 </w:t>
      </w:r>
      <w:r>
        <w:rPr>
          <w:rFonts w:hint="eastAsia" w:ascii="宋体" w:hAnsi="宋体"/>
        </w:rPr>
        <w:t>分。具体评分细则如下：</w:t>
      </w:r>
    </w:p>
    <w:p>
      <w:pPr>
        <w:spacing w:beforeLines="50"/>
        <w:jc w:val="center"/>
        <w:rPr>
          <w:rFonts w:hint="eastAsia"/>
          <w:b/>
        </w:rPr>
      </w:pPr>
      <w:r>
        <w:rPr>
          <w:rFonts w:hint="eastAsia"/>
          <w:b/>
        </w:rPr>
        <w:t>常年法律顾问服务综合评分表</w:t>
      </w:r>
    </w:p>
    <w:tbl>
      <w:tblPr>
        <w:tblStyle w:val="65"/>
        <w:tblW w:w="10140" w:type="dxa"/>
        <w:tblInd w:w="-6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0"/>
        <w:gridCol w:w="1081"/>
        <w:gridCol w:w="1080"/>
        <w:gridCol w:w="5924"/>
        <w:gridCol w:w="13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20" w:hRule="atLeast"/>
        </w:trPr>
        <w:tc>
          <w:tcPr>
            <w:tcW w:w="660" w:type="dxa"/>
            <w:vAlign w:val="center"/>
          </w:tcPr>
          <w:p>
            <w:pPr>
              <w:spacing w:line="420" w:lineRule="exact"/>
              <w:jc w:val="center"/>
              <w:rPr>
                <w:rFonts w:ascii="黑体" w:hAnsi="黑体" w:eastAsia="黑体" w:cs="黑体"/>
                <w:b/>
                <w:bCs/>
                <w:szCs w:val="21"/>
              </w:rPr>
            </w:pPr>
            <w:r>
              <w:rPr>
                <w:rFonts w:hint="eastAsia" w:ascii="黑体" w:hAnsi="黑体" w:eastAsia="黑体" w:cs="黑体"/>
                <w:b/>
                <w:bCs/>
                <w:szCs w:val="21"/>
              </w:rPr>
              <w:t>序号</w:t>
            </w:r>
          </w:p>
        </w:tc>
        <w:tc>
          <w:tcPr>
            <w:tcW w:w="1081" w:type="dxa"/>
            <w:vAlign w:val="center"/>
          </w:tcPr>
          <w:p>
            <w:pPr>
              <w:spacing w:line="400" w:lineRule="exact"/>
              <w:jc w:val="center"/>
              <w:rPr>
                <w:rFonts w:ascii="黑体" w:hAnsi="黑体" w:eastAsia="黑体" w:cs="黑体"/>
                <w:b/>
                <w:bCs/>
                <w:szCs w:val="21"/>
              </w:rPr>
            </w:pPr>
            <w:r>
              <w:rPr>
                <w:rFonts w:hint="eastAsia" w:ascii="黑体" w:hAnsi="黑体" w:eastAsia="黑体" w:cs="黑体"/>
                <w:b/>
                <w:bCs/>
                <w:szCs w:val="21"/>
              </w:rPr>
              <w:t>评 审</w:t>
            </w:r>
          </w:p>
          <w:p>
            <w:pPr>
              <w:spacing w:line="400" w:lineRule="exact"/>
              <w:jc w:val="center"/>
              <w:rPr>
                <w:rFonts w:ascii="黑体" w:hAnsi="黑体" w:eastAsia="黑体" w:cs="黑体"/>
                <w:b/>
                <w:bCs/>
                <w:szCs w:val="21"/>
              </w:rPr>
            </w:pPr>
            <w:r>
              <w:rPr>
                <w:rFonts w:hint="eastAsia" w:ascii="黑体" w:hAnsi="黑体" w:eastAsia="黑体" w:cs="黑体"/>
                <w:b/>
                <w:bCs/>
                <w:szCs w:val="21"/>
              </w:rPr>
              <w:t>内 容</w:t>
            </w:r>
          </w:p>
        </w:tc>
        <w:tc>
          <w:tcPr>
            <w:tcW w:w="1080" w:type="dxa"/>
            <w:vAlign w:val="center"/>
          </w:tcPr>
          <w:p>
            <w:pPr>
              <w:spacing w:line="300" w:lineRule="exact"/>
              <w:jc w:val="center"/>
              <w:rPr>
                <w:rFonts w:ascii="黑体" w:hAnsi="黑体" w:eastAsia="黑体" w:cs="黑体"/>
                <w:b/>
                <w:bCs/>
                <w:szCs w:val="21"/>
              </w:rPr>
            </w:pPr>
            <w:r>
              <w:rPr>
                <w:rFonts w:hint="eastAsia" w:ascii="黑体" w:hAnsi="黑体" w:eastAsia="黑体" w:cs="黑体"/>
                <w:b/>
                <w:bCs/>
                <w:szCs w:val="21"/>
              </w:rPr>
              <w:t>评 审</w:t>
            </w:r>
          </w:p>
          <w:p>
            <w:pPr>
              <w:spacing w:line="300" w:lineRule="exact"/>
              <w:jc w:val="center"/>
              <w:rPr>
                <w:rFonts w:ascii="黑体" w:hAnsi="黑体" w:eastAsia="黑体" w:cs="黑体"/>
                <w:b/>
                <w:bCs/>
                <w:szCs w:val="21"/>
              </w:rPr>
            </w:pPr>
            <w:r>
              <w:rPr>
                <w:rFonts w:hint="eastAsia" w:ascii="黑体" w:hAnsi="黑体" w:eastAsia="黑体" w:cs="黑体"/>
                <w:b/>
                <w:bCs/>
                <w:szCs w:val="21"/>
              </w:rPr>
              <w:t>分 值</w:t>
            </w:r>
          </w:p>
        </w:tc>
        <w:tc>
          <w:tcPr>
            <w:tcW w:w="5924" w:type="dxa"/>
            <w:vAlign w:val="center"/>
          </w:tcPr>
          <w:p>
            <w:pPr>
              <w:spacing w:line="400" w:lineRule="exact"/>
              <w:jc w:val="center"/>
              <w:rPr>
                <w:rFonts w:ascii="黑体" w:hAnsi="黑体" w:eastAsia="黑体" w:cs="黑体"/>
                <w:b/>
                <w:bCs/>
                <w:szCs w:val="21"/>
              </w:rPr>
            </w:pPr>
            <w:r>
              <w:rPr>
                <w:rFonts w:hint="eastAsia" w:ascii="黑体" w:hAnsi="黑体" w:eastAsia="黑体" w:cs="黑体"/>
                <w:b/>
                <w:bCs/>
                <w:szCs w:val="21"/>
              </w:rPr>
              <w:t>评  分  标  准</w:t>
            </w:r>
          </w:p>
        </w:tc>
        <w:tc>
          <w:tcPr>
            <w:tcW w:w="1395" w:type="dxa"/>
            <w:vAlign w:val="center"/>
          </w:tcPr>
          <w:p>
            <w:pPr>
              <w:spacing w:line="400" w:lineRule="exact"/>
              <w:jc w:val="center"/>
              <w:rPr>
                <w:rFonts w:ascii="黑体" w:hAnsi="黑体" w:eastAsia="黑体" w:cs="黑体"/>
                <w:b/>
                <w:bCs/>
                <w:szCs w:val="21"/>
              </w:rPr>
            </w:pPr>
            <w:r>
              <w:rPr>
                <w:rFonts w:hint="eastAsia" w:ascii="黑体" w:hAnsi="黑体" w:eastAsia="黑体" w:cs="黑体"/>
                <w:b/>
                <w:bCs/>
                <w:szCs w:val="21"/>
              </w:rPr>
              <w:t>得分情况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5" w:hRule="atLeast"/>
        </w:trPr>
        <w:tc>
          <w:tcPr>
            <w:tcW w:w="660" w:type="dxa"/>
            <w:vMerge w:val="restart"/>
            <w:vAlign w:val="center"/>
          </w:tcPr>
          <w:p>
            <w:pPr>
              <w:spacing w:line="56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w:t>
            </w:r>
          </w:p>
        </w:tc>
        <w:tc>
          <w:tcPr>
            <w:tcW w:w="1081" w:type="dxa"/>
            <w:vMerge w:val="restart"/>
            <w:vAlign w:val="center"/>
          </w:tcPr>
          <w:p>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b/>
                <w:bCs/>
                <w:szCs w:val="21"/>
              </w:rPr>
              <w:t>费用报价</w:t>
            </w:r>
          </w:p>
        </w:tc>
        <w:tc>
          <w:tcPr>
            <w:tcW w:w="1080" w:type="dxa"/>
            <w:vMerge w:val="restart"/>
            <w:vAlign w:val="center"/>
          </w:tcPr>
          <w:p>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30</w:t>
            </w:r>
          </w:p>
        </w:tc>
        <w:tc>
          <w:tcPr>
            <w:tcW w:w="5924" w:type="dxa"/>
          </w:tcPr>
          <w:p>
            <w:pPr>
              <w:spacing w:line="300" w:lineRule="exact"/>
              <w:jc w:val="left"/>
              <w:rPr>
                <w:rFonts w:ascii="仿宋_GB2312" w:hAnsi="仿宋_GB2312" w:eastAsia="仿宋_GB2312" w:cs="仿宋_GB2312"/>
                <w:b/>
                <w:bCs/>
                <w:szCs w:val="21"/>
              </w:rPr>
            </w:pPr>
            <w:r>
              <w:rPr>
                <w:rFonts w:hint="eastAsia" w:ascii="仿宋_GB2312" w:hAnsi="仿宋_GB2312" w:eastAsia="仿宋_GB2312" w:cs="仿宋_GB2312"/>
                <w:szCs w:val="21"/>
              </w:rPr>
              <w:t>常年律师服务费采用综合评分法，即满足合经区管办〔2019〕32号要求，且投标价格最低的投标报价为基准价：</w:t>
            </w:r>
            <w:r>
              <w:rPr>
                <w:rFonts w:hint="eastAsia" w:ascii="仿宋_GB2312" w:hAnsi="仿宋_GB2312" w:eastAsia="仿宋_GB2312" w:cs="仿宋_GB2312"/>
                <w:b/>
                <w:bCs/>
                <w:szCs w:val="21"/>
              </w:rPr>
              <w:t>投标报价得分=</w:t>
            </w:r>
            <w:r>
              <w:rPr>
                <w:rFonts w:ascii="仿宋_GB2312" w:hAnsi="仿宋_GB2312" w:eastAsia="仿宋_GB2312" w:cs="仿宋_GB2312"/>
                <w:b/>
                <w:bCs/>
                <w:szCs w:val="21"/>
              </w:rPr>
              <w:t>(基准价/投标报价）</w:t>
            </w:r>
            <w:r>
              <w:rPr>
                <w:rFonts w:ascii="Arial" w:hAnsi="Arial" w:eastAsia="仿宋_GB2312" w:cs="Arial"/>
                <w:b/>
                <w:bCs/>
                <w:szCs w:val="21"/>
              </w:rPr>
              <w:t>×</w:t>
            </w:r>
            <w:r>
              <w:rPr>
                <w:rFonts w:hint="eastAsia" w:ascii="仿宋_GB2312" w:hAnsi="仿宋_GB2312" w:eastAsia="仿宋_GB2312" w:cs="仿宋_GB2312"/>
                <w:b/>
                <w:bCs/>
                <w:szCs w:val="21"/>
              </w:rPr>
              <w:t>20</w:t>
            </w:r>
            <w:r>
              <w:rPr>
                <w:rFonts w:ascii="仿宋_GB2312" w:hAnsi="仿宋_GB2312" w:eastAsia="仿宋_GB2312" w:cs="仿宋_GB2312"/>
                <w:b/>
                <w:bCs/>
                <w:szCs w:val="21"/>
              </w:rPr>
              <w:t>%</w:t>
            </w:r>
            <w:r>
              <w:rPr>
                <w:rFonts w:ascii="Arial" w:hAnsi="Arial" w:eastAsia="仿宋_GB2312" w:cs="Arial"/>
                <w:b/>
                <w:bCs/>
                <w:szCs w:val="21"/>
              </w:rPr>
              <w:t>×</w:t>
            </w:r>
            <w:r>
              <w:rPr>
                <w:rFonts w:ascii="仿宋_GB2312" w:hAnsi="仿宋_GB2312" w:eastAsia="仿宋_GB2312" w:cs="仿宋_GB2312"/>
                <w:b/>
                <w:bCs/>
                <w:szCs w:val="21"/>
              </w:rPr>
              <w:t>100。</w:t>
            </w:r>
          </w:p>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投标报价明显低于其成本的，采购组有权否决其投标。</w:t>
            </w:r>
          </w:p>
        </w:tc>
        <w:tc>
          <w:tcPr>
            <w:tcW w:w="1395" w:type="dxa"/>
          </w:tcPr>
          <w:p>
            <w:pPr>
              <w:spacing w:line="560" w:lineRule="exact"/>
              <w:jc w:val="left"/>
              <w:rPr>
                <w:rFonts w:ascii="仿宋_GB2312" w:hAnsi="仿宋_GB2312" w:eastAsia="仿宋_GB2312" w:cs="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trPr>
        <w:tc>
          <w:tcPr>
            <w:tcW w:w="660" w:type="dxa"/>
            <w:vMerge w:val="continue"/>
          </w:tcPr>
          <w:p>
            <w:pPr>
              <w:spacing w:line="560" w:lineRule="exact"/>
              <w:jc w:val="center"/>
              <w:rPr>
                <w:rFonts w:ascii="仿宋_GB2312" w:hAnsi="仿宋_GB2312" w:eastAsia="仿宋_GB2312" w:cs="仿宋_GB2312"/>
                <w:b/>
                <w:bCs/>
                <w:szCs w:val="21"/>
              </w:rPr>
            </w:pPr>
          </w:p>
        </w:tc>
        <w:tc>
          <w:tcPr>
            <w:tcW w:w="1081" w:type="dxa"/>
            <w:vMerge w:val="continue"/>
            <w:vAlign w:val="center"/>
          </w:tcPr>
          <w:p>
            <w:pPr>
              <w:spacing w:line="560" w:lineRule="exact"/>
              <w:jc w:val="center"/>
              <w:rPr>
                <w:rFonts w:ascii="仿宋_GB2312" w:hAnsi="仿宋_GB2312" w:eastAsia="仿宋_GB2312" w:cs="仿宋_GB2312"/>
                <w:b/>
                <w:bCs/>
                <w:szCs w:val="21"/>
              </w:rPr>
            </w:pPr>
          </w:p>
        </w:tc>
        <w:tc>
          <w:tcPr>
            <w:tcW w:w="1080" w:type="dxa"/>
            <w:vMerge w:val="continue"/>
            <w:vAlign w:val="center"/>
          </w:tcPr>
          <w:p>
            <w:pPr>
              <w:spacing w:line="560" w:lineRule="exact"/>
              <w:jc w:val="center"/>
              <w:rPr>
                <w:rFonts w:ascii="仿宋_GB2312" w:hAnsi="仿宋_GB2312" w:eastAsia="仿宋_GB2312" w:cs="仿宋_GB2312"/>
                <w:szCs w:val="21"/>
              </w:rPr>
            </w:pPr>
          </w:p>
        </w:tc>
        <w:tc>
          <w:tcPr>
            <w:tcW w:w="5924" w:type="dxa"/>
          </w:tcPr>
          <w:p>
            <w:pPr>
              <w:spacing w:line="300" w:lineRule="exact"/>
              <w:jc w:val="left"/>
              <w:rPr>
                <w:rFonts w:ascii="仿宋_GB2312" w:hAnsi="仿宋_GB2312" w:eastAsia="仿宋_GB2312" w:cs="仿宋_GB2312"/>
                <w:szCs w:val="21"/>
              </w:rPr>
            </w:pPr>
            <w:r>
              <w:rPr>
                <w:rFonts w:hint="eastAsia" w:ascii="仿宋_GB2312" w:hAnsi="宋体" w:eastAsia="仿宋_GB2312" w:cs="宋体"/>
                <w:color w:val="000000"/>
                <w:szCs w:val="21"/>
              </w:rPr>
              <w:t>专项委托法律服务费用费率，从高到低依次打分，第一名得10分，第二名得9分，每降一个名次扣1分，以此类推，扣完为止。</w:t>
            </w:r>
            <w:r>
              <w:rPr>
                <w:rFonts w:hint="eastAsia" w:ascii="仿宋_GB2312" w:hAnsi="仿宋_GB2312" w:eastAsia="仿宋_GB2312" w:cs="仿宋_GB2312"/>
                <w:szCs w:val="21"/>
              </w:rPr>
              <w:t xml:space="preserve"> </w:t>
            </w:r>
          </w:p>
        </w:tc>
        <w:tc>
          <w:tcPr>
            <w:tcW w:w="1395" w:type="dxa"/>
          </w:tcPr>
          <w:p>
            <w:pPr>
              <w:spacing w:line="560" w:lineRule="exact"/>
              <w:jc w:val="left"/>
              <w:rPr>
                <w:rFonts w:ascii="仿宋_GB2312" w:hAnsi="仿宋_GB2312" w:eastAsia="仿宋_GB2312" w:cs="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9" w:hRule="atLeast"/>
        </w:trPr>
        <w:tc>
          <w:tcPr>
            <w:tcW w:w="660" w:type="dxa"/>
            <w:vMerge w:val="restart"/>
            <w:vAlign w:val="center"/>
          </w:tcPr>
          <w:p>
            <w:pPr>
              <w:spacing w:line="56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w:t>
            </w:r>
          </w:p>
        </w:tc>
        <w:tc>
          <w:tcPr>
            <w:tcW w:w="1081" w:type="dxa"/>
            <w:vMerge w:val="restart"/>
            <w:vAlign w:val="center"/>
          </w:tcPr>
          <w:p>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b/>
                <w:bCs/>
                <w:szCs w:val="21"/>
              </w:rPr>
              <w:t>律师事务所基本情况</w:t>
            </w:r>
          </w:p>
        </w:tc>
        <w:tc>
          <w:tcPr>
            <w:tcW w:w="1080" w:type="dxa"/>
            <w:vMerge w:val="restart"/>
            <w:vAlign w:val="center"/>
          </w:tcPr>
          <w:p>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w:t>
            </w:r>
          </w:p>
        </w:tc>
        <w:tc>
          <w:tcPr>
            <w:tcW w:w="5924" w:type="dxa"/>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成立时间: 1</w:t>
            </w:r>
            <w:r>
              <w:rPr>
                <w:rFonts w:ascii="仿宋_GB2312" w:hAnsi="仿宋_GB2312" w:eastAsia="仿宋_GB2312" w:cs="仿宋_GB2312"/>
                <w:szCs w:val="21"/>
              </w:rPr>
              <w:t>0</w:t>
            </w:r>
            <w:r>
              <w:rPr>
                <w:rFonts w:hint="eastAsia" w:ascii="仿宋_GB2312" w:hAnsi="仿宋_GB2312" w:eastAsia="仿宋_GB2312" w:cs="仿宋_GB2312"/>
                <w:szCs w:val="21"/>
              </w:rPr>
              <w:t>年及1</w:t>
            </w:r>
            <w:r>
              <w:rPr>
                <w:rFonts w:ascii="仿宋_GB2312" w:hAnsi="仿宋_GB2312" w:eastAsia="仿宋_GB2312" w:cs="仿宋_GB2312"/>
                <w:szCs w:val="21"/>
              </w:rPr>
              <w:t>0</w:t>
            </w:r>
            <w:r>
              <w:rPr>
                <w:rFonts w:hint="eastAsia" w:ascii="仿宋_GB2312" w:hAnsi="仿宋_GB2312" w:eastAsia="仿宋_GB2312" w:cs="仿宋_GB2312"/>
                <w:szCs w:val="21"/>
              </w:rPr>
              <w:t>年以上得5分；</w:t>
            </w:r>
            <w:r>
              <w:rPr>
                <w:rFonts w:ascii="仿宋_GB2312" w:hAnsi="仿宋_GB2312" w:eastAsia="仿宋_GB2312" w:cs="仿宋_GB2312"/>
                <w:szCs w:val="21"/>
              </w:rPr>
              <w:t>5</w:t>
            </w:r>
            <w:r>
              <w:rPr>
                <w:rFonts w:hint="eastAsia" w:ascii="仿宋_GB2312" w:hAnsi="仿宋_GB2312" w:eastAsia="仿宋_GB2312" w:cs="仿宋_GB2312"/>
                <w:szCs w:val="21"/>
              </w:rPr>
              <w:t>（含5年）-</w:t>
            </w:r>
            <w:r>
              <w:rPr>
                <w:rFonts w:ascii="仿宋_GB2312" w:hAnsi="仿宋_GB2312" w:eastAsia="仿宋_GB2312" w:cs="仿宋_GB2312"/>
                <w:szCs w:val="21"/>
              </w:rPr>
              <w:t>10</w:t>
            </w:r>
            <w:r>
              <w:rPr>
                <w:rFonts w:hint="eastAsia" w:ascii="仿宋_GB2312" w:hAnsi="仿宋_GB2312" w:eastAsia="仿宋_GB2312" w:cs="仿宋_GB2312"/>
                <w:szCs w:val="21"/>
              </w:rPr>
              <w:t>年得</w:t>
            </w:r>
            <w:r>
              <w:rPr>
                <w:rFonts w:ascii="仿宋_GB2312" w:hAnsi="仿宋_GB2312" w:eastAsia="仿宋_GB2312" w:cs="仿宋_GB2312"/>
                <w:szCs w:val="21"/>
              </w:rPr>
              <w:t>2.5</w:t>
            </w:r>
            <w:r>
              <w:rPr>
                <w:rFonts w:hint="eastAsia" w:ascii="仿宋_GB2312" w:hAnsi="仿宋_GB2312" w:eastAsia="仿宋_GB2312" w:cs="仿宋_GB2312"/>
                <w:szCs w:val="21"/>
              </w:rPr>
              <w:t>分；不足5年得0分。</w:t>
            </w:r>
          </w:p>
        </w:tc>
        <w:tc>
          <w:tcPr>
            <w:tcW w:w="1395" w:type="dxa"/>
          </w:tcPr>
          <w:p>
            <w:pPr>
              <w:spacing w:line="560" w:lineRule="exact"/>
              <w:jc w:val="left"/>
              <w:rPr>
                <w:rFonts w:ascii="仿宋_GB2312" w:hAnsi="仿宋_GB2312" w:eastAsia="仿宋_GB2312" w:cs="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trPr>
        <w:tc>
          <w:tcPr>
            <w:tcW w:w="660" w:type="dxa"/>
            <w:vMerge w:val="continue"/>
          </w:tcPr>
          <w:p>
            <w:pPr>
              <w:spacing w:line="560" w:lineRule="exact"/>
              <w:jc w:val="center"/>
              <w:rPr>
                <w:rFonts w:ascii="仿宋_GB2312" w:hAnsi="仿宋_GB2312" w:eastAsia="仿宋_GB2312" w:cs="仿宋_GB2312"/>
                <w:b/>
                <w:bCs/>
                <w:szCs w:val="21"/>
              </w:rPr>
            </w:pPr>
          </w:p>
        </w:tc>
        <w:tc>
          <w:tcPr>
            <w:tcW w:w="1081" w:type="dxa"/>
            <w:vMerge w:val="continue"/>
            <w:vAlign w:val="center"/>
          </w:tcPr>
          <w:p>
            <w:pPr>
              <w:spacing w:line="560" w:lineRule="exact"/>
              <w:jc w:val="center"/>
              <w:rPr>
                <w:rFonts w:ascii="仿宋_GB2312" w:hAnsi="仿宋_GB2312" w:eastAsia="仿宋_GB2312" w:cs="仿宋_GB2312"/>
                <w:szCs w:val="21"/>
              </w:rPr>
            </w:pPr>
          </w:p>
        </w:tc>
        <w:tc>
          <w:tcPr>
            <w:tcW w:w="1080" w:type="dxa"/>
            <w:vMerge w:val="continue"/>
            <w:vAlign w:val="center"/>
          </w:tcPr>
          <w:p>
            <w:pPr>
              <w:spacing w:line="560" w:lineRule="exact"/>
              <w:jc w:val="center"/>
              <w:rPr>
                <w:rFonts w:ascii="仿宋_GB2312" w:hAnsi="仿宋_GB2312" w:eastAsia="仿宋_GB2312" w:cs="仿宋_GB2312"/>
                <w:szCs w:val="21"/>
              </w:rPr>
            </w:pPr>
          </w:p>
        </w:tc>
        <w:tc>
          <w:tcPr>
            <w:tcW w:w="5924" w:type="dxa"/>
            <w:vAlign w:val="center"/>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事务所律师获得律师协会颁发的专业律师证书，每个评审证书得1分，最高得5分。</w:t>
            </w:r>
          </w:p>
        </w:tc>
        <w:tc>
          <w:tcPr>
            <w:tcW w:w="1395" w:type="dxa"/>
          </w:tcPr>
          <w:p>
            <w:pPr>
              <w:spacing w:line="560" w:lineRule="exact"/>
              <w:jc w:val="left"/>
              <w:rPr>
                <w:rFonts w:ascii="仿宋_GB2312" w:hAnsi="仿宋_GB2312" w:eastAsia="仿宋_GB2312" w:cs="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5" w:hRule="atLeast"/>
        </w:trPr>
        <w:tc>
          <w:tcPr>
            <w:tcW w:w="660" w:type="dxa"/>
            <w:vMerge w:val="restart"/>
            <w:vAlign w:val="center"/>
          </w:tcPr>
          <w:p>
            <w:pPr>
              <w:spacing w:line="56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3</w:t>
            </w:r>
          </w:p>
        </w:tc>
        <w:tc>
          <w:tcPr>
            <w:tcW w:w="1081" w:type="dxa"/>
            <w:vMerge w:val="restart"/>
            <w:vAlign w:val="center"/>
          </w:tcPr>
          <w:p>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b/>
                <w:bCs/>
                <w:szCs w:val="21"/>
              </w:rPr>
              <w:t>指派律师团队情况</w:t>
            </w:r>
          </w:p>
        </w:tc>
        <w:tc>
          <w:tcPr>
            <w:tcW w:w="1080" w:type="dxa"/>
            <w:vMerge w:val="restart"/>
            <w:vAlign w:val="center"/>
          </w:tcPr>
          <w:p>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5924" w:type="dxa"/>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律师团队中：含合伙人律师的每名得2分，本项最高得4分。</w:t>
            </w:r>
          </w:p>
        </w:tc>
        <w:tc>
          <w:tcPr>
            <w:tcW w:w="1395" w:type="dxa"/>
          </w:tcPr>
          <w:p>
            <w:pPr>
              <w:spacing w:line="560" w:lineRule="exact"/>
              <w:jc w:val="left"/>
              <w:rPr>
                <w:rFonts w:ascii="仿宋_GB2312" w:hAnsi="仿宋_GB2312" w:eastAsia="仿宋_GB2312" w:cs="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 w:hRule="atLeast"/>
        </w:trPr>
        <w:tc>
          <w:tcPr>
            <w:tcW w:w="660" w:type="dxa"/>
            <w:vMerge w:val="continue"/>
          </w:tcPr>
          <w:p>
            <w:pPr>
              <w:spacing w:line="560" w:lineRule="exact"/>
              <w:jc w:val="center"/>
              <w:rPr>
                <w:rFonts w:ascii="仿宋_GB2312" w:hAnsi="仿宋_GB2312" w:eastAsia="仿宋_GB2312" w:cs="仿宋_GB2312"/>
                <w:b/>
                <w:bCs/>
                <w:szCs w:val="21"/>
              </w:rPr>
            </w:pPr>
          </w:p>
        </w:tc>
        <w:tc>
          <w:tcPr>
            <w:tcW w:w="1081" w:type="dxa"/>
            <w:vMerge w:val="continue"/>
            <w:vAlign w:val="center"/>
          </w:tcPr>
          <w:p>
            <w:pPr>
              <w:spacing w:line="560" w:lineRule="exact"/>
              <w:jc w:val="center"/>
              <w:rPr>
                <w:rFonts w:ascii="仿宋_GB2312" w:hAnsi="仿宋_GB2312" w:eastAsia="仿宋_GB2312" w:cs="仿宋_GB2312"/>
                <w:szCs w:val="21"/>
              </w:rPr>
            </w:pPr>
          </w:p>
        </w:tc>
        <w:tc>
          <w:tcPr>
            <w:tcW w:w="1080" w:type="dxa"/>
            <w:vMerge w:val="continue"/>
            <w:vAlign w:val="center"/>
          </w:tcPr>
          <w:p>
            <w:pPr>
              <w:spacing w:line="560" w:lineRule="exact"/>
              <w:jc w:val="center"/>
              <w:rPr>
                <w:rFonts w:ascii="仿宋_GB2312" w:hAnsi="仿宋_GB2312" w:eastAsia="仿宋_GB2312" w:cs="仿宋_GB2312"/>
                <w:szCs w:val="21"/>
              </w:rPr>
            </w:pPr>
          </w:p>
        </w:tc>
        <w:tc>
          <w:tcPr>
            <w:tcW w:w="5924" w:type="dxa"/>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律师团队中：含中共党员的每名得2分，本项最高得4分。</w:t>
            </w:r>
          </w:p>
        </w:tc>
        <w:tc>
          <w:tcPr>
            <w:tcW w:w="1395" w:type="dxa"/>
          </w:tcPr>
          <w:p>
            <w:pPr>
              <w:spacing w:line="560" w:lineRule="exact"/>
              <w:jc w:val="left"/>
              <w:rPr>
                <w:rFonts w:ascii="仿宋_GB2312" w:hAnsi="仿宋_GB2312" w:eastAsia="仿宋_GB2312" w:cs="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660" w:type="dxa"/>
            <w:vMerge w:val="continue"/>
          </w:tcPr>
          <w:p>
            <w:pPr>
              <w:spacing w:line="560" w:lineRule="exact"/>
              <w:jc w:val="center"/>
              <w:rPr>
                <w:rFonts w:ascii="仿宋_GB2312" w:hAnsi="仿宋_GB2312" w:eastAsia="仿宋_GB2312" w:cs="仿宋_GB2312"/>
                <w:b/>
                <w:bCs/>
                <w:szCs w:val="21"/>
              </w:rPr>
            </w:pPr>
          </w:p>
        </w:tc>
        <w:tc>
          <w:tcPr>
            <w:tcW w:w="1081" w:type="dxa"/>
            <w:vMerge w:val="continue"/>
            <w:vAlign w:val="center"/>
          </w:tcPr>
          <w:p>
            <w:pPr>
              <w:spacing w:line="560" w:lineRule="exact"/>
              <w:jc w:val="center"/>
              <w:rPr>
                <w:rFonts w:ascii="仿宋_GB2312" w:hAnsi="仿宋_GB2312" w:eastAsia="仿宋_GB2312" w:cs="仿宋_GB2312"/>
                <w:szCs w:val="21"/>
              </w:rPr>
            </w:pPr>
          </w:p>
        </w:tc>
        <w:tc>
          <w:tcPr>
            <w:tcW w:w="1080" w:type="dxa"/>
            <w:vMerge w:val="continue"/>
            <w:vAlign w:val="center"/>
          </w:tcPr>
          <w:p>
            <w:pPr>
              <w:spacing w:line="560" w:lineRule="exact"/>
              <w:jc w:val="center"/>
              <w:rPr>
                <w:rFonts w:ascii="仿宋_GB2312" w:hAnsi="仿宋_GB2312" w:eastAsia="仿宋_GB2312" w:cs="仿宋_GB2312"/>
                <w:szCs w:val="21"/>
              </w:rPr>
            </w:pPr>
          </w:p>
        </w:tc>
        <w:tc>
          <w:tcPr>
            <w:tcW w:w="5924" w:type="dxa"/>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律师团队中：含具有8年以上全资国有公司常年法律顾问经验律师的每名得2分，本项最高得2分。</w:t>
            </w:r>
          </w:p>
        </w:tc>
        <w:tc>
          <w:tcPr>
            <w:tcW w:w="1395" w:type="dxa"/>
          </w:tcPr>
          <w:p>
            <w:pPr>
              <w:spacing w:line="560" w:lineRule="exact"/>
              <w:jc w:val="left"/>
              <w:rPr>
                <w:rFonts w:ascii="仿宋_GB2312" w:hAnsi="仿宋_GB2312" w:eastAsia="仿宋_GB2312" w:cs="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66" w:hRule="atLeast"/>
        </w:trPr>
        <w:tc>
          <w:tcPr>
            <w:tcW w:w="660" w:type="dxa"/>
            <w:vAlign w:val="center"/>
          </w:tcPr>
          <w:p>
            <w:pPr>
              <w:spacing w:line="56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4</w:t>
            </w:r>
          </w:p>
        </w:tc>
        <w:tc>
          <w:tcPr>
            <w:tcW w:w="1081"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b/>
                <w:bCs/>
                <w:szCs w:val="21"/>
              </w:rPr>
              <w:t>法律服务经验</w:t>
            </w:r>
            <w:r>
              <w:rPr>
                <w:rFonts w:hint="eastAsia" w:ascii="仿宋_GB2312" w:hAnsi="仿宋_GB2312" w:eastAsia="仿宋_GB2312" w:cs="仿宋_GB2312"/>
                <w:bCs/>
                <w:szCs w:val="21"/>
              </w:rPr>
              <w:t>（按公司业务确定）</w:t>
            </w:r>
          </w:p>
        </w:tc>
        <w:tc>
          <w:tcPr>
            <w:tcW w:w="1080" w:type="dxa"/>
            <w:vAlign w:val="center"/>
          </w:tcPr>
          <w:p>
            <w:pPr>
              <w:spacing w:line="560" w:lineRule="exact"/>
              <w:jc w:val="center"/>
              <w:rPr>
                <w:rFonts w:ascii="仿宋_GB2312" w:hAnsi="仿宋_GB2312" w:eastAsia="仿宋_GB2312" w:cs="仿宋_GB2312"/>
                <w:szCs w:val="21"/>
              </w:rPr>
            </w:pPr>
            <w:r>
              <w:rPr>
                <w:rFonts w:ascii="仿宋_GB2312" w:hAnsi="仿宋_GB2312" w:eastAsia="仿宋_GB2312" w:cs="仿宋_GB2312"/>
                <w:szCs w:val="21"/>
              </w:rPr>
              <w:t>3</w:t>
            </w:r>
            <w:r>
              <w:rPr>
                <w:rFonts w:hint="eastAsia" w:ascii="仿宋_GB2312" w:hAnsi="仿宋_GB2312" w:eastAsia="仿宋_GB2312" w:cs="仿宋_GB2312"/>
                <w:szCs w:val="21"/>
              </w:rPr>
              <w:t>0</w:t>
            </w:r>
          </w:p>
        </w:tc>
        <w:tc>
          <w:tcPr>
            <w:tcW w:w="5924" w:type="dxa"/>
            <w:vAlign w:val="center"/>
          </w:tcPr>
          <w:p>
            <w:pPr>
              <w:spacing w:line="300" w:lineRule="exact"/>
              <w:jc w:val="left"/>
              <w:rPr>
                <w:rFonts w:ascii="仿宋_GB2312" w:hAnsi="仿宋_GB2312" w:eastAsia="仿宋_GB2312" w:cs="仿宋_GB2312"/>
                <w:b/>
                <w:bCs/>
                <w:szCs w:val="21"/>
              </w:rPr>
            </w:pPr>
            <w:r>
              <w:rPr>
                <w:rFonts w:hint="eastAsia" w:ascii="仿宋_GB2312" w:hAnsi="仿宋_GB2312" w:eastAsia="仿宋_GB2312" w:cs="仿宋_GB2312"/>
                <w:szCs w:val="21"/>
              </w:rPr>
              <w:t>以近三年担任政府机关、全资国有公司或上市公司法律服务经验进行综合评定。</w:t>
            </w:r>
          </w:p>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近三年为从事房地产开发业务和物业服务的国有单位提供法律服务的，根据法律服务经验进行综合评定。</w:t>
            </w:r>
            <w:r>
              <w:rPr>
                <w:rFonts w:hint="eastAsia" w:ascii="仿宋_GB2312" w:hAnsi="仿宋_GB2312" w:eastAsia="仿宋_GB2312" w:cs="仿宋_GB2312"/>
                <w:b/>
                <w:bCs/>
                <w:szCs w:val="21"/>
              </w:rPr>
              <w:t>（优秀30分，良好25-29分，一般15-24分，较差1-14分，未提供0分。）</w:t>
            </w:r>
          </w:p>
        </w:tc>
        <w:tc>
          <w:tcPr>
            <w:tcW w:w="1395" w:type="dxa"/>
          </w:tcPr>
          <w:p>
            <w:pPr>
              <w:spacing w:line="560" w:lineRule="exact"/>
              <w:jc w:val="left"/>
              <w:rPr>
                <w:rFonts w:ascii="仿宋_GB2312" w:hAnsi="仿宋_GB2312" w:eastAsia="仿宋_GB2312" w:cs="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3" w:hRule="atLeast"/>
        </w:trPr>
        <w:tc>
          <w:tcPr>
            <w:tcW w:w="660" w:type="dxa"/>
            <w:vAlign w:val="center"/>
          </w:tcPr>
          <w:p>
            <w:pPr>
              <w:spacing w:line="56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5</w:t>
            </w:r>
          </w:p>
        </w:tc>
        <w:tc>
          <w:tcPr>
            <w:tcW w:w="1081" w:type="dxa"/>
            <w:vAlign w:val="center"/>
          </w:tcPr>
          <w:p>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b/>
                <w:bCs/>
                <w:szCs w:val="21"/>
              </w:rPr>
              <w:t>提供的服务方案</w:t>
            </w:r>
          </w:p>
        </w:tc>
        <w:tc>
          <w:tcPr>
            <w:tcW w:w="1080" w:type="dxa"/>
            <w:vAlign w:val="center"/>
          </w:tcPr>
          <w:p>
            <w:pPr>
              <w:spacing w:line="560" w:lineRule="exact"/>
              <w:jc w:val="center"/>
              <w:rPr>
                <w:rFonts w:ascii="仿宋_GB2312" w:hAnsi="仿宋_GB2312" w:eastAsia="仿宋_GB2312" w:cs="仿宋_GB2312"/>
                <w:szCs w:val="21"/>
              </w:rPr>
            </w:pPr>
            <w:r>
              <w:rPr>
                <w:rFonts w:ascii="仿宋_GB2312" w:hAnsi="仿宋_GB2312" w:eastAsia="仿宋_GB2312" w:cs="仿宋_GB2312"/>
                <w:szCs w:val="21"/>
              </w:rPr>
              <w:t>2</w:t>
            </w:r>
            <w:r>
              <w:rPr>
                <w:rFonts w:hint="eastAsia" w:ascii="仿宋_GB2312" w:hAnsi="仿宋_GB2312" w:eastAsia="仿宋_GB2312" w:cs="仿宋_GB2312"/>
                <w:szCs w:val="21"/>
              </w:rPr>
              <w:t>0</w:t>
            </w:r>
          </w:p>
        </w:tc>
        <w:tc>
          <w:tcPr>
            <w:tcW w:w="5924" w:type="dxa"/>
          </w:tcPr>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根据服务方案中对帮助企业建立健全法人治理体系、法治建设体系、风险防范管理体系、法律纠纷处理、国资管理等相关服务的介绍，如果承诺服务的内容完全符合招标人要求得2</w:t>
            </w:r>
            <w:r>
              <w:rPr>
                <w:rFonts w:hint="eastAsia" w:ascii="仿宋_GB2312" w:hAnsi="仿宋_GB2312" w:eastAsia="仿宋_GB2312" w:cs="仿宋_GB2312"/>
                <w:szCs w:val="21"/>
                <w:lang w:val="en-US" w:eastAsia="zh-CN"/>
              </w:rPr>
              <w:t>0</w:t>
            </w:r>
            <w:r>
              <w:rPr>
                <w:rFonts w:hint="eastAsia" w:ascii="仿宋_GB2312" w:hAnsi="仿宋_GB2312" w:eastAsia="仿宋_GB2312" w:cs="仿宋_GB2312"/>
                <w:szCs w:val="21"/>
              </w:rPr>
              <w:t>分，其他根据符合程度酌情给分。</w:t>
            </w:r>
            <w:r>
              <w:rPr>
                <w:rFonts w:hint="eastAsia" w:ascii="仿宋_GB2312" w:hAnsi="仿宋_GB2312" w:eastAsia="仿宋_GB2312" w:cs="仿宋_GB2312"/>
                <w:b/>
                <w:bCs/>
                <w:szCs w:val="21"/>
              </w:rPr>
              <w:t>（优秀20分，良好15-19分，一般10-14分，较差1-9分，未提供0分。）</w:t>
            </w:r>
          </w:p>
        </w:tc>
        <w:tc>
          <w:tcPr>
            <w:tcW w:w="1395" w:type="dxa"/>
          </w:tcPr>
          <w:p>
            <w:pPr>
              <w:spacing w:line="560" w:lineRule="exact"/>
              <w:jc w:val="left"/>
              <w:rPr>
                <w:rFonts w:ascii="仿宋_GB2312" w:hAnsi="仿宋_GB2312" w:eastAsia="仿宋_GB2312" w:cs="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1741" w:type="dxa"/>
            <w:gridSpan w:val="2"/>
          </w:tcPr>
          <w:p>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b/>
                <w:bCs/>
                <w:szCs w:val="21"/>
              </w:rPr>
              <w:t>总  分</w:t>
            </w:r>
          </w:p>
        </w:tc>
        <w:tc>
          <w:tcPr>
            <w:tcW w:w="1080" w:type="dxa"/>
            <w:vAlign w:val="center"/>
          </w:tcPr>
          <w:p>
            <w:pPr>
              <w:spacing w:line="5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w:t>
            </w:r>
          </w:p>
        </w:tc>
        <w:tc>
          <w:tcPr>
            <w:tcW w:w="5924" w:type="dxa"/>
          </w:tcPr>
          <w:p>
            <w:pPr>
              <w:spacing w:line="560" w:lineRule="exact"/>
              <w:jc w:val="left"/>
              <w:rPr>
                <w:rFonts w:ascii="仿宋_GB2312" w:hAnsi="仿宋_GB2312" w:eastAsia="仿宋_GB2312" w:cs="仿宋_GB2312"/>
                <w:szCs w:val="21"/>
              </w:rPr>
            </w:pPr>
          </w:p>
        </w:tc>
        <w:tc>
          <w:tcPr>
            <w:tcW w:w="1395" w:type="dxa"/>
          </w:tcPr>
          <w:p>
            <w:pPr>
              <w:spacing w:line="560" w:lineRule="exact"/>
              <w:jc w:val="left"/>
              <w:rPr>
                <w:rFonts w:ascii="仿宋_GB2312" w:hAnsi="仿宋_GB2312" w:eastAsia="仿宋_GB2312" w:cs="仿宋_GB2312"/>
                <w:szCs w:val="21"/>
              </w:rPr>
            </w:pPr>
          </w:p>
        </w:tc>
      </w:tr>
    </w:tbl>
    <w:p>
      <w:pPr>
        <w:spacing w:beforeLines="50"/>
        <w:jc w:val="center"/>
        <w:rPr>
          <w:rFonts w:hint="eastAsia"/>
          <w:b/>
        </w:rPr>
      </w:pPr>
    </w:p>
    <w:p>
      <w:pPr>
        <w:rPr>
          <w:rFonts w:ascii="宋体" w:hAnsi="宋体"/>
        </w:rPr>
      </w:pPr>
      <w:bookmarkStart w:id="206" w:name="_GoBack"/>
      <w:bookmarkEnd w:id="206"/>
    </w:p>
    <w:p>
      <w:pPr>
        <w:spacing w:line="360" w:lineRule="auto"/>
        <w:ind w:firstLine="429" w:firstLineChars="196"/>
        <w:rPr>
          <w:rFonts w:hAnsi="宋体"/>
          <w:color w:val="000000"/>
          <w:szCs w:val="28"/>
        </w:rPr>
      </w:pPr>
      <w:r>
        <w:rPr>
          <w:rFonts w:hint="eastAsia" w:hAnsi="宋体"/>
          <w:color w:val="000000"/>
          <w:szCs w:val="28"/>
        </w:rPr>
        <w:t>2、项目控制价为</w:t>
      </w:r>
      <w:r>
        <w:rPr>
          <w:rFonts w:hAnsi="宋体"/>
          <w:color w:val="000000"/>
          <w:szCs w:val="28"/>
        </w:rPr>
        <w:t>8</w:t>
      </w:r>
      <w:r>
        <w:rPr>
          <w:rFonts w:hint="eastAsia" w:hAnsi="宋体"/>
          <w:color w:val="000000"/>
          <w:szCs w:val="28"/>
        </w:rPr>
        <w:t>.5</w:t>
      </w:r>
      <w:r>
        <w:rPr>
          <w:rFonts w:hAnsi="宋体"/>
          <w:color w:val="000000"/>
          <w:szCs w:val="28"/>
        </w:rPr>
        <w:t>万</w:t>
      </w:r>
      <w:r>
        <w:rPr>
          <w:rFonts w:hint="eastAsia" w:hAnsi="宋体"/>
          <w:color w:val="000000"/>
          <w:szCs w:val="28"/>
        </w:rPr>
        <w:t>元，报价不得超过控制价，同时还应对专项委托法律服务费用{参照安徽省律师收费标准（皖价服【</w:t>
      </w:r>
      <w:r>
        <w:rPr>
          <w:rFonts w:hAnsi="宋体"/>
          <w:color w:val="000000"/>
          <w:szCs w:val="28"/>
        </w:rPr>
        <w:t>2013</w:t>
      </w:r>
      <w:r>
        <w:rPr>
          <w:rFonts w:hint="eastAsia" w:hAnsi="宋体"/>
          <w:color w:val="000000"/>
          <w:szCs w:val="28"/>
        </w:rPr>
        <w:t>】</w:t>
      </w:r>
      <w:r>
        <w:rPr>
          <w:rFonts w:hAnsi="宋体"/>
          <w:color w:val="000000"/>
          <w:szCs w:val="28"/>
        </w:rPr>
        <w:t>17</w:t>
      </w:r>
      <w:r>
        <w:rPr>
          <w:rFonts w:hint="eastAsia" w:hAnsi="宋体"/>
          <w:color w:val="000000"/>
          <w:szCs w:val="28"/>
        </w:rPr>
        <w:t>号省物价局司法厅关于重新公布律师服务收费标准的通知）进行费率报价。</w:t>
      </w:r>
    </w:p>
    <w:p>
      <w:pPr>
        <w:spacing w:line="360" w:lineRule="auto"/>
        <w:ind w:firstLine="429" w:firstLineChars="196"/>
        <w:rPr>
          <w:rFonts w:hAnsi="宋体"/>
          <w:color w:val="000000"/>
          <w:szCs w:val="28"/>
        </w:rPr>
      </w:pPr>
      <w:r>
        <w:rPr>
          <w:rFonts w:hint="eastAsia" w:hAnsi="宋体"/>
          <w:color w:val="000000"/>
          <w:szCs w:val="28"/>
        </w:rPr>
        <w:t>3、报价为完成本次招标项目的全费用价格，人员费用包括但不限于人员工资、管理费、服装费、办公费、交通费、通讯费、培训费、税金、利润、劳动保险费、合同工期内的风险费用、工具费等为完成本次招评标项目所发生的一切费用，符合条件的人员须按国家相关规定购买职工社保，并必须购买意外伤害等保险。中标人自行解决员工养老、失业、医疗、工伤、生育、纳税等保险及劳保、工资、福利、食宿、员工上下班交通及评标人为完成服务所发生的一切费用等有关问题。</w:t>
      </w:r>
    </w:p>
    <w:p>
      <w:pPr>
        <w:spacing w:line="360" w:lineRule="auto"/>
        <w:ind w:firstLine="436" w:firstLineChars="199"/>
        <w:rPr>
          <w:rFonts w:hAnsi="宋体"/>
          <w:b/>
          <w:color w:val="000000"/>
          <w:szCs w:val="21"/>
        </w:rPr>
      </w:pPr>
      <w:r>
        <w:rPr>
          <w:rFonts w:hint="eastAsia" w:hAnsi="宋体"/>
          <w:color w:val="000000"/>
          <w:szCs w:val="28"/>
        </w:rPr>
        <w:t>4、</w:t>
      </w:r>
      <w:r>
        <w:rPr>
          <w:rFonts w:hAnsi="宋体"/>
          <w:color w:val="000000"/>
          <w:szCs w:val="28"/>
        </w:rPr>
        <w:t>乙方须提供</w:t>
      </w:r>
      <w:r>
        <w:rPr>
          <w:rFonts w:hint="eastAsia" w:hAnsi="宋体"/>
        </w:rPr>
        <w:t>需提供等额、合法有效的全额增值税专用发票，否则采购人有权拒付（税费随国家政策调整而调整）。</w:t>
      </w:r>
    </w:p>
    <w:p>
      <w:pPr>
        <w:spacing w:line="360" w:lineRule="auto"/>
        <w:rPr>
          <w:sz w:val="10"/>
          <w:szCs w:val="10"/>
        </w:rPr>
      </w:pPr>
    </w:p>
    <w:p>
      <w:pPr>
        <w:pStyle w:val="2"/>
        <w:spacing w:before="480" w:after="260" w:line="500" w:lineRule="exact"/>
        <w:jc w:val="both"/>
        <w:rPr>
          <w:rFonts w:hint="eastAsia" w:hAnsi="宋体"/>
          <w:color w:val="000000"/>
        </w:rPr>
      </w:pPr>
    </w:p>
    <w:p>
      <w:pPr>
        <w:pStyle w:val="2"/>
        <w:spacing w:before="480" w:after="260" w:line="500" w:lineRule="exact"/>
        <w:jc w:val="both"/>
        <w:rPr>
          <w:rFonts w:hAnsi="宋体"/>
          <w:b/>
          <w:color w:val="000000"/>
          <w:sz w:val="72"/>
          <w:szCs w:val="24"/>
        </w:rPr>
      </w:pPr>
      <w:r>
        <w:rPr>
          <w:rFonts w:hint="eastAsia" w:hAnsi="宋体"/>
          <w:color w:val="000000"/>
        </w:rPr>
        <w:t>六、响应文件格式</w:t>
      </w: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200" w:name="_Toc438648618"/>
      <w:r>
        <w:rPr>
          <w:rFonts w:hint="eastAsia" w:hAnsi="宋体" w:cs="宋体"/>
          <w:b/>
          <w:color w:val="000000"/>
          <w:szCs w:val="24"/>
        </w:rPr>
        <w:t>响应文件资料清单</w:t>
      </w:r>
    </w:p>
    <w:tbl>
      <w:tblPr>
        <w:tblStyle w:val="6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201" w:name="_Toc2774249"/>
      <w:bookmarkStart w:id="202" w:name="_Toc461053086"/>
      <w:bookmarkStart w:id="203" w:name="_Toc461056631"/>
      <w:r>
        <w:rPr>
          <w:rFonts w:hint="eastAsia" w:ascii="宋体" w:hAnsi="宋体" w:eastAsia="宋体"/>
          <w:bCs w:val="0"/>
          <w:color w:val="000000"/>
          <w:sz w:val="24"/>
          <w:szCs w:val="24"/>
        </w:rPr>
        <w:t>附件：</w:t>
      </w:r>
    </w:p>
    <w:p>
      <w:pPr>
        <w:pStyle w:val="3"/>
        <w:spacing w:line="360" w:lineRule="auto"/>
        <w:ind w:firstLine="0"/>
        <w:jc w:val="left"/>
        <w:rPr>
          <w:rFonts w:ascii="宋体" w:hAnsi="宋体" w:eastAsia="宋体"/>
          <w:bCs w:val="0"/>
          <w:color w:val="000000"/>
          <w:sz w:val="24"/>
          <w:szCs w:val="24"/>
        </w:rPr>
      </w:pPr>
      <w:r>
        <w:rPr>
          <w:rFonts w:hint="eastAsia" w:ascii="宋体" w:hAnsi="宋体" w:eastAsia="宋体"/>
          <w:bCs w:val="0"/>
          <w:color w:val="000000"/>
          <w:sz w:val="24"/>
          <w:szCs w:val="24"/>
        </w:rPr>
        <w:t>一</w:t>
      </w:r>
      <w:bookmarkEnd w:id="201"/>
      <w:bookmarkEnd w:id="202"/>
      <w:bookmarkEnd w:id="203"/>
      <w:r>
        <w:rPr>
          <w:rFonts w:hint="eastAsia" w:ascii="宋体" w:hAnsi="宋体" w:eastAsia="宋体"/>
          <w:bCs w:val="0"/>
          <w:color w:val="000000"/>
          <w:sz w:val="24"/>
          <w:szCs w:val="24"/>
        </w:rPr>
        <w:t>、</w:t>
      </w:r>
    </w:p>
    <w:p>
      <w:pPr>
        <w:spacing w:beforeLines="50" w:afterLines="50" w:line="360" w:lineRule="auto"/>
        <w:ind w:firstLine="215" w:firstLineChars="98"/>
        <w:jc w:val="center"/>
        <w:rPr>
          <w:rFonts w:hAnsi="宋体"/>
          <w:b/>
          <w:color w:val="000000"/>
          <w:szCs w:val="28"/>
        </w:rPr>
      </w:pPr>
      <w:r>
        <w:rPr>
          <w:rFonts w:hint="eastAsia" w:hAnsi="宋体"/>
          <w:b/>
          <w:color w:val="000000"/>
          <w:szCs w:val="28"/>
        </w:rPr>
        <w:t>报价表格式</w:t>
      </w:r>
    </w:p>
    <w:p>
      <w:pPr>
        <w:jc w:val="center"/>
        <w:rPr>
          <w:rFonts w:ascii="黑体" w:eastAsia="黑体"/>
        </w:rPr>
      </w:pPr>
      <w:r>
        <w:rPr>
          <w:rFonts w:hint="eastAsia" w:ascii="黑体" w:eastAsia="黑体"/>
        </w:rPr>
        <w:t>合肥经济技术开发区公用事业发展</w:t>
      </w:r>
      <w:r>
        <w:rPr>
          <w:rFonts w:hint="eastAsia" w:ascii="黑体" w:eastAsia="黑体"/>
          <w:lang w:val="en-US" w:eastAsia="zh-CN"/>
        </w:rPr>
        <w:t>有限</w:t>
      </w:r>
      <w:r>
        <w:rPr>
          <w:rFonts w:hint="eastAsia" w:ascii="黑体" w:eastAsia="黑体"/>
        </w:rPr>
        <w:t>公司</w:t>
      </w:r>
    </w:p>
    <w:p>
      <w:pPr>
        <w:ind w:firstLine="110" w:firstLineChars="50"/>
        <w:jc w:val="center"/>
        <w:rPr>
          <w:rFonts w:ascii="仿宋_GB2312" w:eastAsia="仿宋_GB2312"/>
        </w:rPr>
      </w:pPr>
      <w:r>
        <w:rPr>
          <w:rFonts w:hint="eastAsia" w:ascii="仿宋_GB2312" w:eastAsia="仿宋_GB2312"/>
        </w:rPr>
        <w:t>项目采购报价表</w:t>
      </w:r>
    </w:p>
    <w:p>
      <w:pPr>
        <w:widowControl/>
        <w:spacing w:line="440" w:lineRule="exact"/>
        <w:jc w:val="left"/>
        <w:rPr>
          <w:rFonts w:ascii="仿宋_GB2312" w:hAnsi="宋体" w:eastAsia="仿宋_GB2312" w:cs="宋体"/>
          <w:color w:val="000000"/>
        </w:rPr>
      </w:pPr>
      <w:r>
        <w:rPr>
          <w:rFonts w:hint="eastAsia" w:ascii="仿宋_GB2312" w:hAnsi="宋体" w:eastAsia="仿宋_GB2312" w:cs="宋体"/>
          <w:color w:val="000000"/>
        </w:rPr>
        <w:t>合肥经济技术开发区公用事业发展</w:t>
      </w:r>
      <w:r>
        <w:rPr>
          <w:rFonts w:hint="eastAsia" w:ascii="仿宋_GB2312" w:hAnsi="宋体" w:eastAsia="仿宋_GB2312" w:cs="宋体"/>
          <w:color w:val="000000"/>
          <w:lang w:val="en-US" w:eastAsia="zh-CN"/>
        </w:rPr>
        <w:t>有限</w:t>
      </w:r>
      <w:r>
        <w:rPr>
          <w:rFonts w:hint="eastAsia" w:ascii="仿宋_GB2312" w:hAnsi="宋体" w:eastAsia="仿宋_GB2312" w:cs="宋体"/>
          <w:color w:val="000000"/>
        </w:rPr>
        <w:t>公司：</w:t>
      </w:r>
    </w:p>
    <w:p>
      <w:pPr>
        <w:widowControl/>
        <w:spacing w:line="440" w:lineRule="exact"/>
        <w:ind w:firstLine="429" w:firstLineChars="196"/>
        <w:jc w:val="left"/>
        <w:rPr>
          <w:rFonts w:ascii="仿宋_GB2312" w:hAnsi="宋体" w:eastAsia="仿宋_GB2312" w:cs="宋体"/>
          <w:color w:val="000000"/>
        </w:rPr>
      </w:pPr>
      <w:r>
        <w:rPr>
          <w:rFonts w:hint="eastAsia" w:ascii="仿宋_GB2312" w:hAnsi="宋体" w:eastAsia="仿宋_GB2312" w:cs="宋体"/>
          <w:color w:val="000000"/>
        </w:rPr>
        <w:t>我们将以如下承诺对贵单位“</w:t>
      </w:r>
      <w:r>
        <w:rPr>
          <w:rFonts w:hint="eastAsia" w:ascii="仿宋_GB2312" w:hAnsi="宋体" w:eastAsia="仿宋_GB2312" w:cs="宋体"/>
          <w:color w:val="000000"/>
          <w:lang w:val="en-US" w:eastAsia="zh-CN"/>
        </w:rPr>
        <w:t>2024</w:t>
      </w:r>
      <w:r>
        <w:rPr>
          <w:rFonts w:hint="eastAsia" w:ascii="仿宋_GB2312" w:hAnsi="宋体" w:eastAsia="仿宋_GB2312" w:cs="宋体"/>
          <w:color w:val="000000"/>
        </w:rPr>
        <w:t>公司常年法律顾问服务”项目进行报价，完全承担项目实施的风险和责任，接受采购条件，履行合同义务，报价表如下：</w:t>
      </w:r>
    </w:p>
    <w:p>
      <w:pPr>
        <w:widowControl/>
        <w:spacing w:line="440" w:lineRule="exact"/>
        <w:ind w:firstLine="438" w:firstLineChars="200"/>
        <w:jc w:val="left"/>
        <w:rPr>
          <w:rFonts w:ascii="仿宋_GB2312" w:hAnsi="宋体" w:eastAsia="仿宋_GB2312" w:cs="宋体"/>
          <w:color w:val="000000"/>
        </w:rPr>
      </w:pP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4928" w:type="dxa"/>
            <w:vAlign w:val="center"/>
          </w:tcPr>
          <w:p>
            <w:pPr>
              <w:widowControl/>
              <w:spacing w:line="440" w:lineRule="exact"/>
              <w:jc w:val="center"/>
              <w:rPr>
                <w:rFonts w:ascii="仿宋_GB2312" w:hAnsi="宋体" w:eastAsia="仿宋_GB2312" w:cs="宋体"/>
                <w:color w:val="000000"/>
              </w:rPr>
            </w:pPr>
            <w:r>
              <w:rPr>
                <w:rFonts w:hint="eastAsia" w:ascii="仿宋_GB2312" w:hAnsi="宋体" w:eastAsia="仿宋_GB2312" w:cs="宋体"/>
                <w:color w:val="000000"/>
              </w:rPr>
              <w:t>项目名称</w:t>
            </w:r>
          </w:p>
        </w:tc>
        <w:tc>
          <w:tcPr>
            <w:tcW w:w="4536" w:type="dxa"/>
            <w:vAlign w:val="center"/>
          </w:tcPr>
          <w:p>
            <w:pPr>
              <w:widowControl/>
              <w:spacing w:line="440" w:lineRule="exact"/>
              <w:jc w:val="center"/>
              <w:rPr>
                <w:rFonts w:ascii="仿宋_GB2312" w:hAnsi="宋体" w:eastAsia="仿宋_GB2312" w:cs="宋体"/>
                <w:color w:val="000000"/>
              </w:rPr>
            </w:pPr>
            <w:r>
              <w:rPr>
                <w:rFonts w:hint="eastAsia" w:ascii="仿宋_GB2312" w:hAnsi="宋体" w:eastAsia="仿宋_GB2312" w:cs="宋体"/>
                <w:color w:val="000000"/>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7" w:hRule="atLeast"/>
        </w:trPr>
        <w:tc>
          <w:tcPr>
            <w:tcW w:w="4928" w:type="dxa"/>
            <w:vAlign w:val="center"/>
          </w:tcPr>
          <w:p>
            <w:pPr>
              <w:widowControl/>
              <w:jc w:val="center"/>
              <w:rPr>
                <w:rFonts w:hAnsi="宋体" w:cs="仿宋_GB2312"/>
                <w:szCs w:val="21"/>
              </w:rPr>
            </w:pPr>
            <w:r>
              <w:rPr>
                <w:rFonts w:hint="eastAsia" w:ascii="仿宋_GB2312" w:hAnsi="宋体" w:eastAsia="仿宋_GB2312" w:cs="宋体"/>
                <w:color w:val="000000"/>
              </w:rPr>
              <w:t>202</w:t>
            </w:r>
            <w:r>
              <w:rPr>
                <w:rFonts w:hint="eastAsia" w:ascii="仿宋_GB2312" w:hAnsi="宋体" w:eastAsia="仿宋_GB2312" w:cs="宋体"/>
                <w:color w:val="000000"/>
                <w:lang w:val="en-US" w:eastAsia="zh-CN"/>
              </w:rPr>
              <w:t>4</w:t>
            </w:r>
            <w:r>
              <w:rPr>
                <w:rFonts w:hint="eastAsia" w:ascii="仿宋_GB2312" w:hAnsi="宋体" w:eastAsia="仿宋_GB2312" w:cs="宋体"/>
                <w:color w:val="000000"/>
              </w:rPr>
              <w:t>年公司常年法律顾问服务费</w:t>
            </w:r>
          </w:p>
        </w:tc>
        <w:tc>
          <w:tcPr>
            <w:tcW w:w="4536" w:type="dxa"/>
            <w:vAlign w:val="center"/>
          </w:tcPr>
          <w:p>
            <w:pPr>
              <w:widowControl/>
              <w:spacing w:line="440" w:lineRule="exact"/>
              <w:jc w:val="center"/>
              <w:rPr>
                <w:rFonts w:ascii="仿宋_GB2312" w:hAnsi="宋体" w:eastAsia="仿宋_GB2312" w:cs="宋体"/>
                <w:color w:val="000000"/>
                <w:u w:val="single"/>
              </w:rPr>
            </w:pPr>
            <w:r>
              <w:rPr>
                <w:rFonts w:hint="eastAsia" w:ascii="仿宋_GB2312" w:hAnsi="宋体" w:eastAsia="仿宋_GB2312" w:cs="宋体"/>
                <w:color w:val="000000"/>
                <w:u w:val="single"/>
              </w:rPr>
              <w:t xml:space="preserve">       </w:t>
            </w:r>
            <w:r>
              <w:rPr>
                <w:rFonts w:ascii="仿宋_GB2312" w:hAnsi="宋体" w:eastAsia="仿宋_GB2312" w:cs="宋体"/>
                <w:color w:val="000000"/>
                <w:u w:val="single"/>
              </w:rPr>
              <w:t>元</w:t>
            </w:r>
            <w:r>
              <w:rPr>
                <w:rFonts w:hint="eastAsia" w:ascii="仿宋_GB2312" w:hAnsi="宋体" w:eastAsia="仿宋_GB2312" w:cs="宋体"/>
                <w:color w:val="000000"/>
                <w:u w:val="singl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7" w:hRule="atLeast"/>
        </w:trPr>
        <w:tc>
          <w:tcPr>
            <w:tcW w:w="4928" w:type="dxa"/>
            <w:vAlign w:val="center"/>
          </w:tcPr>
          <w:p>
            <w:pPr>
              <w:widowControl/>
              <w:jc w:val="center"/>
              <w:rPr>
                <w:rFonts w:ascii="仿宋_GB2312" w:hAnsi="宋体" w:eastAsia="仿宋_GB2312" w:cs="宋体"/>
                <w:color w:val="000000"/>
              </w:rPr>
            </w:pPr>
            <w:r>
              <w:rPr>
                <w:rFonts w:hint="eastAsia" w:ascii="仿宋_GB2312" w:hAnsi="宋体" w:eastAsia="仿宋_GB2312" w:cs="宋体"/>
                <w:color w:val="000000"/>
              </w:rPr>
              <w:t xml:space="preserve">    专项委托法律服务费用费率{参照安徽省律师收费标准（皖价服【</w:t>
            </w:r>
            <w:r>
              <w:rPr>
                <w:rFonts w:ascii="仿宋_GB2312" w:hAnsi="宋体" w:eastAsia="仿宋_GB2312" w:cs="宋体"/>
                <w:color w:val="000000"/>
              </w:rPr>
              <w:t>2013</w:t>
            </w:r>
            <w:r>
              <w:rPr>
                <w:rFonts w:hint="eastAsia" w:ascii="仿宋_GB2312" w:hAnsi="宋体" w:eastAsia="仿宋_GB2312" w:cs="宋体"/>
                <w:color w:val="000000"/>
              </w:rPr>
              <w:t>】</w:t>
            </w:r>
            <w:r>
              <w:rPr>
                <w:rFonts w:ascii="仿宋_GB2312" w:hAnsi="宋体" w:eastAsia="仿宋_GB2312" w:cs="宋体"/>
                <w:color w:val="000000"/>
              </w:rPr>
              <w:t>17</w:t>
            </w:r>
            <w:r>
              <w:rPr>
                <w:rFonts w:hint="eastAsia" w:ascii="仿宋_GB2312" w:hAnsi="宋体" w:eastAsia="仿宋_GB2312" w:cs="宋体"/>
                <w:color w:val="000000"/>
              </w:rPr>
              <w:t>号省物价局司法厅关于重新公布律师服务收费标准的通知收费区间下限）</w:t>
            </w:r>
          </w:p>
        </w:tc>
        <w:tc>
          <w:tcPr>
            <w:tcW w:w="4536" w:type="dxa"/>
            <w:vAlign w:val="center"/>
          </w:tcPr>
          <w:p>
            <w:pPr>
              <w:widowControl/>
              <w:spacing w:line="440" w:lineRule="exact"/>
              <w:ind w:firstLine="219" w:firstLineChars="100"/>
              <w:jc w:val="center"/>
              <w:rPr>
                <w:rFonts w:ascii="仿宋_GB2312" w:hAnsi="宋体" w:eastAsia="仿宋_GB2312" w:cs="宋体"/>
                <w:color w:val="000000"/>
                <w:u w:val="single"/>
              </w:rPr>
            </w:pPr>
            <w:r>
              <w:rPr>
                <w:rFonts w:hint="eastAsia" w:ascii="仿宋_GB2312" w:hAnsi="宋体" w:eastAsia="仿宋_GB2312" w:cs="宋体"/>
                <w:color w:val="000000"/>
                <w:u w:val="single"/>
              </w:rPr>
              <w:t xml:space="preserve">         %（</w:t>
            </w:r>
            <w:r>
              <w:rPr>
                <w:rFonts w:ascii="仿宋_GB2312" w:hAnsi="宋体" w:eastAsia="仿宋_GB2312" w:cs="宋体"/>
                <w:color w:val="000000"/>
                <w:u w:val="single"/>
              </w:rPr>
              <w:t>费率</w:t>
            </w:r>
            <w:r>
              <w:rPr>
                <w:rFonts w:hint="eastAsia" w:ascii="仿宋_GB2312" w:hAnsi="宋体" w:eastAsia="仿宋_GB2312" w:cs="宋体"/>
                <w:color w:val="000000"/>
                <w:u w:val="single"/>
              </w:rPr>
              <w:t>）</w:t>
            </w:r>
          </w:p>
        </w:tc>
      </w:tr>
    </w:tbl>
    <w:p>
      <w:pPr>
        <w:snapToGrid w:val="0"/>
        <w:spacing w:line="360" w:lineRule="auto"/>
        <w:rPr>
          <w:rFonts w:hint="eastAsia" w:hAnsi="宋体"/>
          <w:b/>
          <w:color w:val="000000"/>
        </w:rPr>
      </w:pPr>
    </w:p>
    <w:p>
      <w:pPr>
        <w:snapToGrid w:val="0"/>
        <w:spacing w:line="360" w:lineRule="auto"/>
        <w:rPr>
          <w:rFonts w:hAnsi="宋体"/>
          <w:b/>
          <w:color w:val="000000"/>
        </w:rPr>
      </w:pPr>
      <w:r>
        <w:rPr>
          <w:rFonts w:hint="eastAsia" w:hAnsi="宋体"/>
          <w:b/>
          <w:color w:val="000000"/>
          <w:lang w:val="en-US" w:eastAsia="zh-CN"/>
        </w:rPr>
        <w:t>投标人</w:t>
      </w:r>
      <w:r>
        <w:rPr>
          <w:rFonts w:hint="eastAsia" w:hAnsi="宋体"/>
          <w:b/>
          <w:color w:val="000000"/>
        </w:rPr>
        <w:t xml:space="preserve">公章：                       </w:t>
      </w:r>
    </w:p>
    <w:p>
      <w:pPr>
        <w:snapToGrid w:val="0"/>
        <w:spacing w:line="360" w:lineRule="auto"/>
        <w:ind w:left="5550"/>
        <w:jc w:val="center"/>
        <w:rPr>
          <w:rFonts w:hAnsi="宋体"/>
          <w:color w:val="000000"/>
        </w:rPr>
      </w:pPr>
      <w:r>
        <w:rPr>
          <w:rFonts w:hint="eastAsia" w:hAnsi="宋体"/>
          <w:color w:val="000000"/>
        </w:rPr>
        <w:t>年  月  日</w:t>
      </w:r>
    </w:p>
    <w:bookmarkEnd w:id="200"/>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204" w:name="_Toc438648620"/>
      <w:r>
        <w:rPr>
          <w:rFonts w:hint="eastAsia" w:hAnsi="宋体" w:cs="宋体"/>
          <w:b/>
          <w:color w:val="000000"/>
          <w:szCs w:val="24"/>
        </w:rPr>
        <w:br w:type="page"/>
      </w:r>
      <w:bookmarkEnd w:id="204"/>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3、我方承诺报价低于同类货物和服务的市场平均价格。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年月日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5"/>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5"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3"/>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3"/>
        <w:snapToGrid w:val="0"/>
        <w:spacing w:line="360" w:lineRule="auto"/>
        <w:ind w:firstLine="438" w:firstLineChars="200"/>
        <w:jc w:val="left"/>
        <w:rPr>
          <w:rFonts w:hAnsi="宋体"/>
          <w:color w:val="000000"/>
          <w:sz w:val="24"/>
        </w:rPr>
      </w:pPr>
      <w:r>
        <w:rPr>
          <w:rFonts w:hAnsi="宋体"/>
          <w:color w:val="000000"/>
          <w:sz w:val="24"/>
        </w:rPr>
        <w:pict>
          <v:roundrect id="_x0000_s1028" o:spid="_x0000_s1028"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path/>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w: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jc w:val="right"/>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期：年月日</w:t>
      </w:r>
    </w:p>
    <w:p>
      <w:pPr>
        <w:pStyle w:val="33"/>
        <w:snapToGrid w:val="0"/>
        <w:spacing w:line="360" w:lineRule="auto"/>
        <w:jc w:val="left"/>
        <w:rPr>
          <w:rFonts w:hAnsi="宋体"/>
          <w:color w:val="000000"/>
          <w:sz w:val="24"/>
          <w:szCs w:val="28"/>
        </w:rPr>
      </w:pPr>
      <w:r>
        <w:rPr>
          <w:rFonts w:hint="eastAsia" w:hAnsi="宋体"/>
          <w:color w:val="000000"/>
          <w:sz w:val="24"/>
          <w:szCs w:val="28"/>
        </w:rPr>
        <w:t>注：</w:t>
      </w:r>
    </w:p>
    <w:p>
      <w:pPr>
        <w:pStyle w:val="33"/>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5"/>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color w:val="000000"/>
        </w:rPr>
      </w:pPr>
      <w:r>
        <w:rPr>
          <w:rFonts w:hint="eastAsia" w:hAnsi="宋体"/>
          <w:color w:val="000000"/>
        </w:rPr>
        <w:t>日期：</w:t>
      </w: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color w:val="000000"/>
          <w:kern w:val="2"/>
          <w:szCs w:val="28"/>
        </w:rPr>
      </w:pPr>
      <w:r>
        <w:rPr>
          <w:rFonts w:hint="eastAsia" w:hAnsi="宋体"/>
          <w:color w:val="000000"/>
          <w:kern w:val="2"/>
          <w:szCs w:val="24"/>
        </w:rPr>
        <w:t>1、</w:t>
      </w:r>
      <w:r>
        <w:rPr>
          <w:rFonts w:hint="eastAsia" w:hAnsi="宋体"/>
          <w:color w:val="000000"/>
          <w:kern w:val="2"/>
          <w:szCs w:val="28"/>
        </w:rPr>
        <w:t>营业执照复印件或影印件；</w:t>
      </w:r>
    </w:p>
    <w:p>
      <w:pPr>
        <w:spacing w:line="360" w:lineRule="auto"/>
        <w:ind w:firstLine="438" w:firstLineChars="200"/>
        <w:rPr>
          <w:rFonts w:hAnsi="宋体"/>
          <w:color w:val="000000"/>
          <w:kern w:val="2"/>
          <w:szCs w:val="28"/>
        </w:rPr>
      </w:pPr>
      <w:r>
        <w:rPr>
          <w:rFonts w:hint="eastAsia" w:hAnsi="宋体"/>
          <w:color w:val="000000"/>
          <w:kern w:val="2"/>
          <w:szCs w:val="28"/>
        </w:rPr>
        <w:t>2、资质证书复印件或影印件；</w:t>
      </w:r>
    </w:p>
    <w:p>
      <w:pPr>
        <w:spacing w:line="360" w:lineRule="auto"/>
        <w:ind w:firstLine="438" w:firstLineChars="200"/>
        <w:rPr>
          <w:rFonts w:hAnsi="宋体"/>
          <w:color w:val="000000"/>
          <w:kern w:val="2"/>
          <w:szCs w:val="24"/>
        </w:rPr>
      </w:pPr>
      <w:r>
        <w:rPr>
          <w:rFonts w:hint="eastAsia" w:hAnsi="宋体"/>
          <w:color w:val="000000"/>
          <w:kern w:val="2"/>
          <w:szCs w:val="28"/>
        </w:rPr>
        <w:t>3、</w:t>
      </w:r>
      <w:r>
        <w:rPr>
          <w:rFonts w:hint="eastAsia" w:hAnsi="宋体"/>
          <w:color w:val="000000"/>
          <w:kern w:val="2"/>
          <w:szCs w:val="24"/>
        </w:rPr>
        <w:t>评标文件要求及供应商认为需要提供的资料。</w:t>
      </w:r>
    </w:p>
    <w:p>
      <w:pPr>
        <w:spacing w:line="360" w:lineRule="auto"/>
        <w:rPr>
          <w:rFonts w:hAnsi="宋体" w:cs="宋体"/>
          <w:b/>
          <w:color w:val="000000"/>
          <w:szCs w:val="24"/>
        </w:rPr>
      </w:pPr>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bookmarkEnd w:id="198"/>
    <w:bookmarkEnd w:id="199"/>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39"/>
                  <w:jc w:val="center"/>
                </w:pPr>
                <w:r>
                  <w:rPr>
                    <w:rFonts w:hint="eastAsia"/>
                  </w:rPr>
                  <w:t>第</w:t>
                </w:r>
                <w:r>
                  <w:fldChar w:fldCharType="begin"/>
                </w:r>
                <w:r>
                  <w:instrText xml:space="preserve">page</w:instrText>
                </w:r>
                <w:r>
                  <w:fldChar w:fldCharType="separate"/>
                </w:r>
                <w:r>
                  <w:t>18</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6A85F"/>
    <w:multiLevelType w:val="singleLevel"/>
    <w:tmpl w:val="AB46A85F"/>
    <w:lvl w:ilvl="0" w:tentative="0">
      <w:start w:val="1"/>
      <w:numFmt w:val="decimal"/>
      <w:suff w:val="nothing"/>
      <w:lvlText w:val="%1、"/>
      <w:lvlJc w:val="left"/>
    </w:lvl>
  </w:abstractNum>
  <w:abstractNum w:abstractNumId="1">
    <w:nsid w:val="53CFB17E"/>
    <w:multiLevelType w:val="singleLevel"/>
    <w:tmpl w:val="53CFB17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B733E"/>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0B54"/>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17C5D"/>
    <w:rsid w:val="00A20751"/>
    <w:rsid w:val="00A230F2"/>
    <w:rsid w:val="00A24939"/>
    <w:rsid w:val="00A267F8"/>
    <w:rsid w:val="00A274E3"/>
    <w:rsid w:val="00A27A60"/>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6A60"/>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929"/>
    <w:rsid w:val="00C26A10"/>
    <w:rsid w:val="00C277FE"/>
    <w:rsid w:val="00C319E6"/>
    <w:rsid w:val="00C320B2"/>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A07"/>
    <w:rsid w:val="00D30CBF"/>
    <w:rsid w:val="00D30EA0"/>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572"/>
    <w:rsid w:val="00FE76F2"/>
    <w:rsid w:val="00FE7E5D"/>
    <w:rsid w:val="00FF2375"/>
    <w:rsid w:val="00FF5791"/>
    <w:rsid w:val="00FF6572"/>
    <w:rsid w:val="02486FA3"/>
    <w:rsid w:val="03BF5149"/>
    <w:rsid w:val="041E18D4"/>
    <w:rsid w:val="04E01777"/>
    <w:rsid w:val="055167AC"/>
    <w:rsid w:val="05905DF7"/>
    <w:rsid w:val="05A63A8C"/>
    <w:rsid w:val="05AD5CF1"/>
    <w:rsid w:val="06500413"/>
    <w:rsid w:val="073308E6"/>
    <w:rsid w:val="08C80B30"/>
    <w:rsid w:val="092034C7"/>
    <w:rsid w:val="092C5938"/>
    <w:rsid w:val="09767F5F"/>
    <w:rsid w:val="09CD607B"/>
    <w:rsid w:val="09E04844"/>
    <w:rsid w:val="09EE7B05"/>
    <w:rsid w:val="0A196B4D"/>
    <w:rsid w:val="0A2D197E"/>
    <w:rsid w:val="0A8E4B44"/>
    <w:rsid w:val="0B0F390D"/>
    <w:rsid w:val="0B2145C6"/>
    <w:rsid w:val="0B91068C"/>
    <w:rsid w:val="0C466F00"/>
    <w:rsid w:val="0CC6293D"/>
    <w:rsid w:val="0CD049A0"/>
    <w:rsid w:val="0D0906C9"/>
    <w:rsid w:val="0D126C7E"/>
    <w:rsid w:val="0E1C20A0"/>
    <w:rsid w:val="10912EC3"/>
    <w:rsid w:val="11E85BC4"/>
    <w:rsid w:val="128727B8"/>
    <w:rsid w:val="136E5EA7"/>
    <w:rsid w:val="13B0220C"/>
    <w:rsid w:val="14420D88"/>
    <w:rsid w:val="15B12C0B"/>
    <w:rsid w:val="15CC6AEE"/>
    <w:rsid w:val="167A65B9"/>
    <w:rsid w:val="167A7DAC"/>
    <w:rsid w:val="17726828"/>
    <w:rsid w:val="184247A3"/>
    <w:rsid w:val="18465535"/>
    <w:rsid w:val="198B5630"/>
    <w:rsid w:val="1AEC4059"/>
    <w:rsid w:val="1B023953"/>
    <w:rsid w:val="1B7531B5"/>
    <w:rsid w:val="1CCE4908"/>
    <w:rsid w:val="1D7734E2"/>
    <w:rsid w:val="1E212D2C"/>
    <w:rsid w:val="1FAF6052"/>
    <w:rsid w:val="200D2E52"/>
    <w:rsid w:val="21FD3AEA"/>
    <w:rsid w:val="220F56F1"/>
    <w:rsid w:val="23A16644"/>
    <w:rsid w:val="23AF0C03"/>
    <w:rsid w:val="247C01A4"/>
    <w:rsid w:val="24F075EF"/>
    <w:rsid w:val="25235D17"/>
    <w:rsid w:val="25863B04"/>
    <w:rsid w:val="267F7783"/>
    <w:rsid w:val="268A3AF4"/>
    <w:rsid w:val="26D0546D"/>
    <w:rsid w:val="26E95C38"/>
    <w:rsid w:val="26F8146C"/>
    <w:rsid w:val="27C26938"/>
    <w:rsid w:val="28A424D8"/>
    <w:rsid w:val="29462334"/>
    <w:rsid w:val="29B5625F"/>
    <w:rsid w:val="2A401170"/>
    <w:rsid w:val="2A87709E"/>
    <w:rsid w:val="2ACB2345"/>
    <w:rsid w:val="2B071E91"/>
    <w:rsid w:val="2B0A2B88"/>
    <w:rsid w:val="2D003CDA"/>
    <w:rsid w:val="2D005F49"/>
    <w:rsid w:val="2D180B16"/>
    <w:rsid w:val="2D642EDA"/>
    <w:rsid w:val="2DC22F2A"/>
    <w:rsid w:val="2E243225"/>
    <w:rsid w:val="2E3B16F7"/>
    <w:rsid w:val="2F124AB0"/>
    <w:rsid w:val="2F3A20AA"/>
    <w:rsid w:val="2F4202AE"/>
    <w:rsid w:val="30172FC7"/>
    <w:rsid w:val="30273B58"/>
    <w:rsid w:val="305A2C48"/>
    <w:rsid w:val="31892A9F"/>
    <w:rsid w:val="31CD41A8"/>
    <w:rsid w:val="32CC4C19"/>
    <w:rsid w:val="32DF6E6C"/>
    <w:rsid w:val="32EA53D2"/>
    <w:rsid w:val="333D17B4"/>
    <w:rsid w:val="33610BC3"/>
    <w:rsid w:val="33D07626"/>
    <w:rsid w:val="3426478E"/>
    <w:rsid w:val="34FB0156"/>
    <w:rsid w:val="350A2D03"/>
    <w:rsid w:val="37347A81"/>
    <w:rsid w:val="3740068C"/>
    <w:rsid w:val="37A46854"/>
    <w:rsid w:val="37D96780"/>
    <w:rsid w:val="38B9654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E62125"/>
    <w:rsid w:val="42441329"/>
    <w:rsid w:val="424B0183"/>
    <w:rsid w:val="42827FAD"/>
    <w:rsid w:val="435F0738"/>
    <w:rsid w:val="441377A8"/>
    <w:rsid w:val="444377B1"/>
    <w:rsid w:val="45D13C93"/>
    <w:rsid w:val="45F5412F"/>
    <w:rsid w:val="465042E3"/>
    <w:rsid w:val="473138EC"/>
    <w:rsid w:val="4755784C"/>
    <w:rsid w:val="47771AC7"/>
    <w:rsid w:val="479709E0"/>
    <w:rsid w:val="482C2B52"/>
    <w:rsid w:val="48AF480F"/>
    <w:rsid w:val="48D55946"/>
    <w:rsid w:val="49100CD7"/>
    <w:rsid w:val="4B7904A6"/>
    <w:rsid w:val="4BBB11F2"/>
    <w:rsid w:val="4C101BA2"/>
    <w:rsid w:val="4E5A0389"/>
    <w:rsid w:val="4E867B2E"/>
    <w:rsid w:val="4F9E443B"/>
    <w:rsid w:val="4FB2415F"/>
    <w:rsid w:val="503D1CD1"/>
    <w:rsid w:val="50595446"/>
    <w:rsid w:val="50EB7180"/>
    <w:rsid w:val="51075C5A"/>
    <w:rsid w:val="51A21F3D"/>
    <w:rsid w:val="51A74E82"/>
    <w:rsid w:val="525F1ECA"/>
    <w:rsid w:val="52F12FDC"/>
    <w:rsid w:val="52F77142"/>
    <w:rsid w:val="53112AB6"/>
    <w:rsid w:val="537D5B1F"/>
    <w:rsid w:val="53885680"/>
    <w:rsid w:val="57A82F18"/>
    <w:rsid w:val="59503A2E"/>
    <w:rsid w:val="59771907"/>
    <w:rsid w:val="599F2EC1"/>
    <w:rsid w:val="59E5547D"/>
    <w:rsid w:val="5A144CF0"/>
    <w:rsid w:val="5A1C5A23"/>
    <w:rsid w:val="5A246F8E"/>
    <w:rsid w:val="5B4D74F0"/>
    <w:rsid w:val="5E661FE6"/>
    <w:rsid w:val="5ED72AC2"/>
    <w:rsid w:val="5F9C06A7"/>
    <w:rsid w:val="612A4F36"/>
    <w:rsid w:val="62A819D0"/>
    <w:rsid w:val="62C124BF"/>
    <w:rsid w:val="62EC7940"/>
    <w:rsid w:val="638C1840"/>
    <w:rsid w:val="639826A5"/>
    <w:rsid w:val="643F2933"/>
    <w:rsid w:val="64D65719"/>
    <w:rsid w:val="65501489"/>
    <w:rsid w:val="65CD5731"/>
    <w:rsid w:val="65DF0A5F"/>
    <w:rsid w:val="670717DE"/>
    <w:rsid w:val="677102A6"/>
    <w:rsid w:val="67993F64"/>
    <w:rsid w:val="6A462692"/>
    <w:rsid w:val="6A6E367C"/>
    <w:rsid w:val="6C0C505C"/>
    <w:rsid w:val="6C3E4CD2"/>
    <w:rsid w:val="6CAB69A8"/>
    <w:rsid w:val="6CBE1293"/>
    <w:rsid w:val="6D0464DC"/>
    <w:rsid w:val="6D102A04"/>
    <w:rsid w:val="6E252855"/>
    <w:rsid w:val="6E2D073C"/>
    <w:rsid w:val="6F45735D"/>
    <w:rsid w:val="71A154FB"/>
    <w:rsid w:val="724867B5"/>
    <w:rsid w:val="72767ABF"/>
    <w:rsid w:val="72A6388B"/>
    <w:rsid w:val="7525795F"/>
    <w:rsid w:val="77737045"/>
    <w:rsid w:val="78880A9E"/>
    <w:rsid w:val="79627A17"/>
    <w:rsid w:val="79C36F21"/>
    <w:rsid w:val="7AC4542B"/>
    <w:rsid w:val="7AD249BD"/>
    <w:rsid w:val="7B155F4D"/>
    <w:rsid w:val="7B4C46EE"/>
    <w:rsid w:val="7B7C60D6"/>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7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4"/>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6"/>
    <w:autoRedefine/>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5"/>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3"/>
    <w:autoRedefine/>
    <w:qFormat/>
    <w:uiPriority w:val="0"/>
    <w:pPr>
      <w:keepNext/>
      <w:outlineLvl w:val="4"/>
    </w:pPr>
    <w:rPr>
      <w:rFonts w:hAnsi="Arial"/>
      <w:bCs/>
      <w:kern w:val="2"/>
      <w:sz w:val="28"/>
    </w:rPr>
  </w:style>
  <w:style w:type="paragraph" w:styleId="7">
    <w:name w:val="heading 6"/>
    <w:basedOn w:val="1"/>
    <w:next w:val="1"/>
    <w:link w:val="128"/>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5"/>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30"/>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7"/>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6">
    <w:name w:val="Default Paragraph Font"/>
    <w:autoRedefine/>
    <w:semiHidden/>
    <w:unhideWhenUsed/>
    <w:qFormat/>
    <w:uiPriority w:val="1"/>
  </w:style>
  <w:style w:type="table" w:default="1" w:styleId="64">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kern w:val="2"/>
      <w:sz w:val="21"/>
      <w:szCs w:val="22"/>
    </w:rPr>
  </w:style>
  <w:style w:type="paragraph" w:styleId="12">
    <w:name w:val="toc 7"/>
    <w:basedOn w:val="1"/>
    <w:next w:val="1"/>
    <w:autoRedefine/>
    <w:qFormat/>
    <w:uiPriority w:val="39"/>
    <w:pPr>
      <w:ind w:left="1260"/>
      <w:jc w:val="left"/>
    </w:pPr>
    <w:rPr>
      <w:szCs w:val="21"/>
    </w:rPr>
  </w:style>
  <w:style w:type="paragraph" w:styleId="13">
    <w:name w:val="table of authorities"/>
    <w:basedOn w:val="1"/>
    <w:next w:val="1"/>
    <w:autoRedefine/>
    <w:qFormat/>
    <w:uiPriority w:val="0"/>
    <w:pPr>
      <w:ind w:left="420" w:leftChars="200"/>
    </w:pPr>
  </w:style>
  <w:style w:type="paragraph" w:styleId="14">
    <w:name w:val="index 8"/>
    <w:basedOn w:val="1"/>
    <w:next w:val="1"/>
    <w:autoRedefine/>
    <w:qFormat/>
    <w:uiPriority w:val="0"/>
    <w:pPr>
      <w:ind w:left="1400" w:leftChars="1400"/>
    </w:pPr>
  </w:style>
  <w:style w:type="paragraph" w:styleId="15">
    <w:name w:val="Normal Indent"/>
    <w:basedOn w:val="1"/>
    <w:autoRedefine/>
    <w:qFormat/>
    <w:uiPriority w:val="0"/>
    <w:pPr>
      <w:ind w:firstLine="420" w:firstLineChars="200"/>
    </w:pPr>
    <w:rPr>
      <w:szCs w:val="24"/>
    </w:rPr>
  </w:style>
  <w:style w:type="paragraph" w:styleId="16">
    <w:name w:val="caption"/>
    <w:basedOn w:val="1"/>
    <w:next w:val="1"/>
    <w:autoRedefine/>
    <w:qFormat/>
    <w:uiPriority w:val="35"/>
    <w:pPr>
      <w:spacing w:before="152" w:after="160"/>
    </w:pPr>
    <w:rPr>
      <w:rFonts w:ascii="Arial" w:hAnsi="Arial" w:eastAsia="黑体" w:cs="Arial"/>
      <w:kern w:val="2"/>
      <w:sz w:val="20"/>
    </w:rPr>
  </w:style>
  <w:style w:type="paragraph" w:styleId="17">
    <w:name w:val="index 5"/>
    <w:basedOn w:val="1"/>
    <w:next w:val="1"/>
    <w:autoRedefine/>
    <w:qFormat/>
    <w:uiPriority w:val="0"/>
    <w:pPr>
      <w:ind w:left="800" w:leftChars="800"/>
    </w:pPr>
  </w:style>
  <w:style w:type="paragraph" w:styleId="18">
    <w:name w:val="Document Map"/>
    <w:basedOn w:val="1"/>
    <w:link w:val="124"/>
    <w:autoRedefine/>
    <w:qFormat/>
    <w:uiPriority w:val="0"/>
    <w:pPr>
      <w:shd w:val="clear" w:color="auto" w:fill="000080"/>
    </w:pPr>
    <w:rPr>
      <w:rFonts w:ascii="Times New Roman"/>
      <w:kern w:val="2"/>
      <w:sz w:val="21"/>
    </w:rPr>
  </w:style>
  <w:style w:type="paragraph" w:styleId="19">
    <w:name w:val="toa heading"/>
    <w:basedOn w:val="1"/>
    <w:next w:val="1"/>
    <w:autoRedefine/>
    <w:qFormat/>
    <w:uiPriority w:val="0"/>
    <w:pPr>
      <w:spacing w:before="120"/>
    </w:pPr>
    <w:rPr>
      <w:rFonts w:ascii="Arial" w:hAnsi="Arial"/>
      <w:b/>
      <w:bCs/>
      <w:szCs w:val="24"/>
    </w:rPr>
  </w:style>
  <w:style w:type="paragraph" w:styleId="20">
    <w:name w:val="annotation text"/>
    <w:basedOn w:val="1"/>
    <w:link w:val="132"/>
    <w:autoRedefine/>
    <w:qFormat/>
    <w:uiPriority w:val="99"/>
    <w:pPr>
      <w:jc w:val="left"/>
    </w:pPr>
    <w:rPr>
      <w:rFonts w:ascii="Times New Roman"/>
      <w:kern w:val="2"/>
      <w:sz w:val="21"/>
    </w:rPr>
  </w:style>
  <w:style w:type="paragraph" w:styleId="21">
    <w:name w:val="index 6"/>
    <w:basedOn w:val="1"/>
    <w:next w:val="1"/>
    <w:autoRedefine/>
    <w:qFormat/>
    <w:uiPriority w:val="0"/>
    <w:pPr>
      <w:ind w:left="1000" w:leftChars="1000"/>
    </w:pPr>
  </w:style>
  <w:style w:type="paragraph" w:styleId="22">
    <w:name w:val="Salutation"/>
    <w:basedOn w:val="1"/>
    <w:next w:val="1"/>
    <w:link w:val="126"/>
    <w:autoRedefine/>
    <w:qFormat/>
    <w:uiPriority w:val="0"/>
    <w:rPr>
      <w:rFonts w:ascii="仿宋_GB2312" w:eastAsia="仿宋_GB2312"/>
      <w:sz w:val="28"/>
    </w:rPr>
  </w:style>
  <w:style w:type="paragraph" w:styleId="23">
    <w:name w:val="Body Text 3"/>
    <w:basedOn w:val="1"/>
    <w:link w:val="131"/>
    <w:autoRedefine/>
    <w:qFormat/>
    <w:uiPriority w:val="0"/>
    <w:rPr>
      <w:rFonts w:ascii="黑体" w:hAnsi="Arial" w:eastAsia="黑体"/>
      <w:b/>
      <w:sz w:val="28"/>
    </w:rPr>
  </w:style>
  <w:style w:type="paragraph" w:styleId="24">
    <w:name w:val="Body Text"/>
    <w:basedOn w:val="1"/>
    <w:link w:val="176"/>
    <w:autoRedefine/>
    <w:qFormat/>
    <w:uiPriority w:val="0"/>
    <w:rPr>
      <w:rFonts w:hAnsi="Arial"/>
      <w:kern w:val="2"/>
      <w:sz w:val="28"/>
    </w:rPr>
  </w:style>
  <w:style w:type="paragraph" w:styleId="25">
    <w:name w:val="Body Text Indent"/>
    <w:basedOn w:val="1"/>
    <w:next w:val="26"/>
    <w:link w:val="77"/>
    <w:autoRedefine/>
    <w:qFormat/>
    <w:uiPriority w:val="0"/>
    <w:pPr>
      <w:ind w:firstLine="645"/>
    </w:pPr>
    <w:rPr>
      <w:rFonts w:ascii="楷体_GB2312" w:eastAsia="楷体_GB2312"/>
      <w:kern w:val="2"/>
      <w:sz w:val="32"/>
    </w:rPr>
  </w:style>
  <w:style w:type="paragraph" w:styleId="26">
    <w:name w:val="envelope return"/>
    <w:basedOn w:val="1"/>
    <w:autoRedefine/>
    <w:qFormat/>
    <w:uiPriority w:val="0"/>
    <w:pPr>
      <w:snapToGrid w:val="0"/>
    </w:pPr>
    <w:rPr>
      <w:rFonts w:ascii="Arial" w:hAnsi="Arial"/>
    </w:rPr>
  </w:style>
  <w:style w:type="paragraph" w:styleId="27">
    <w:name w:val="List 2"/>
    <w:basedOn w:val="1"/>
    <w:autoRedefine/>
    <w:qFormat/>
    <w:uiPriority w:val="0"/>
    <w:pPr>
      <w:ind w:left="100" w:leftChars="200" w:hanging="200" w:hangingChars="200"/>
    </w:pPr>
    <w:rPr>
      <w:szCs w:val="24"/>
    </w:rPr>
  </w:style>
  <w:style w:type="paragraph" w:styleId="28">
    <w:name w:val="List Continue"/>
    <w:basedOn w:val="1"/>
    <w:autoRedefine/>
    <w:qFormat/>
    <w:uiPriority w:val="0"/>
    <w:pPr>
      <w:spacing w:after="120"/>
      <w:ind w:left="420" w:leftChars="200"/>
    </w:pPr>
    <w:rPr>
      <w:szCs w:val="24"/>
    </w:rPr>
  </w:style>
  <w:style w:type="paragraph" w:styleId="29">
    <w:name w:val="Block Text"/>
    <w:basedOn w:val="1"/>
    <w:autoRedefine/>
    <w:qFormat/>
    <w:uiPriority w:val="0"/>
    <w:pPr>
      <w:spacing w:after="120"/>
      <w:ind w:left="1440" w:leftChars="700" w:right="1440" w:rightChars="700"/>
    </w:pPr>
    <w:rPr>
      <w:szCs w:val="24"/>
    </w:rPr>
  </w:style>
  <w:style w:type="paragraph" w:styleId="30">
    <w:name w:val="index 4"/>
    <w:basedOn w:val="1"/>
    <w:next w:val="1"/>
    <w:autoRedefine/>
    <w:qFormat/>
    <w:uiPriority w:val="0"/>
    <w:pPr>
      <w:ind w:left="600" w:leftChars="600"/>
    </w:pPr>
  </w:style>
  <w:style w:type="paragraph" w:styleId="31">
    <w:name w:val="toc 5"/>
    <w:basedOn w:val="1"/>
    <w:next w:val="1"/>
    <w:autoRedefine/>
    <w:qFormat/>
    <w:uiPriority w:val="39"/>
    <w:pPr>
      <w:ind w:left="840"/>
      <w:jc w:val="left"/>
    </w:pPr>
    <w:rPr>
      <w:szCs w:val="21"/>
    </w:rPr>
  </w:style>
  <w:style w:type="paragraph" w:styleId="32">
    <w:name w:val="toc 3"/>
    <w:basedOn w:val="1"/>
    <w:next w:val="1"/>
    <w:autoRedefine/>
    <w:qFormat/>
    <w:uiPriority w:val="39"/>
    <w:pPr>
      <w:ind w:left="420"/>
      <w:jc w:val="left"/>
    </w:pPr>
    <w:rPr>
      <w:i/>
      <w:iCs/>
      <w:szCs w:val="24"/>
    </w:rPr>
  </w:style>
  <w:style w:type="paragraph" w:styleId="33">
    <w:name w:val="Plain Text"/>
    <w:basedOn w:val="1"/>
    <w:link w:val="163"/>
    <w:autoRedefine/>
    <w:qFormat/>
    <w:uiPriority w:val="0"/>
    <w:rPr>
      <w:rFonts w:hAnsi="Courier New"/>
      <w:kern w:val="2"/>
      <w:sz w:val="21"/>
    </w:rPr>
  </w:style>
  <w:style w:type="paragraph" w:styleId="34">
    <w:name w:val="toc 8"/>
    <w:basedOn w:val="1"/>
    <w:next w:val="1"/>
    <w:autoRedefine/>
    <w:qFormat/>
    <w:uiPriority w:val="39"/>
    <w:pPr>
      <w:ind w:left="1470"/>
      <w:jc w:val="left"/>
    </w:pPr>
    <w:rPr>
      <w:szCs w:val="21"/>
    </w:rPr>
  </w:style>
  <w:style w:type="paragraph" w:styleId="35">
    <w:name w:val="index 3"/>
    <w:basedOn w:val="1"/>
    <w:next w:val="1"/>
    <w:autoRedefine/>
    <w:qFormat/>
    <w:uiPriority w:val="0"/>
    <w:pPr>
      <w:ind w:left="400" w:leftChars="400"/>
    </w:pPr>
  </w:style>
  <w:style w:type="paragraph" w:styleId="36">
    <w:name w:val="Date"/>
    <w:basedOn w:val="1"/>
    <w:next w:val="1"/>
    <w:link w:val="95"/>
    <w:autoRedefine/>
    <w:qFormat/>
    <w:uiPriority w:val="0"/>
    <w:rPr>
      <w:rFonts w:ascii="Times New Roman"/>
      <w:b/>
      <w:kern w:val="2"/>
      <w:sz w:val="28"/>
    </w:rPr>
  </w:style>
  <w:style w:type="paragraph" w:styleId="37">
    <w:name w:val="Body Text Indent 2"/>
    <w:basedOn w:val="1"/>
    <w:link w:val="179"/>
    <w:autoRedefine/>
    <w:qFormat/>
    <w:uiPriority w:val="0"/>
    <w:pPr>
      <w:ind w:left="630" w:firstLine="645"/>
    </w:pPr>
    <w:rPr>
      <w:rFonts w:ascii="Arial" w:hAnsi="Arial" w:eastAsia="仿宋_GB2312"/>
      <w:sz w:val="32"/>
    </w:rPr>
  </w:style>
  <w:style w:type="paragraph" w:styleId="38">
    <w:name w:val="Balloon Text"/>
    <w:basedOn w:val="1"/>
    <w:link w:val="88"/>
    <w:autoRedefine/>
    <w:qFormat/>
    <w:uiPriority w:val="99"/>
    <w:rPr>
      <w:sz w:val="18"/>
      <w:szCs w:val="18"/>
    </w:rPr>
  </w:style>
  <w:style w:type="paragraph" w:styleId="39">
    <w:name w:val="footer"/>
    <w:basedOn w:val="1"/>
    <w:link w:val="185"/>
    <w:autoRedefine/>
    <w:qFormat/>
    <w:uiPriority w:val="99"/>
    <w:pPr>
      <w:tabs>
        <w:tab w:val="center" w:pos="4153"/>
        <w:tab w:val="right" w:pos="8306"/>
      </w:tabs>
      <w:snapToGrid w:val="0"/>
      <w:jc w:val="left"/>
    </w:pPr>
    <w:rPr>
      <w:rFonts w:ascii="Times New Roman"/>
      <w:kern w:val="2"/>
      <w:sz w:val="18"/>
    </w:rPr>
  </w:style>
  <w:style w:type="paragraph" w:styleId="40">
    <w:name w:val="header"/>
    <w:basedOn w:val="1"/>
    <w:link w:val="105"/>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1">
    <w:name w:val="toc 1"/>
    <w:basedOn w:val="1"/>
    <w:next w:val="1"/>
    <w:autoRedefine/>
    <w:qFormat/>
    <w:uiPriority w:val="39"/>
    <w:pPr>
      <w:spacing w:before="120" w:after="120"/>
      <w:jc w:val="left"/>
    </w:pPr>
    <w:rPr>
      <w:caps/>
      <w:szCs w:val="24"/>
    </w:rPr>
  </w:style>
  <w:style w:type="paragraph" w:styleId="42">
    <w:name w:val="List Continue 4"/>
    <w:basedOn w:val="1"/>
    <w:autoRedefine/>
    <w:qFormat/>
    <w:uiPriority w:val="0"/>
    <w:pPr>
      <w:spacing w:after="120"/>
      <w:ind w:left="1680" w:leftChars="800"/>
    </w:pPr>
    <w:rPr>
      <w:rFonts w:ascii="Calibri" w:hAnsi="Calibri"/>
      <w:kern w:val="2"/>
      <w:sz w:val="21"/>
      <w:szCs w:val="22"/>
    </w:rPr>
  </w:style>
  <w:style w:type="paragraph" w:styleId="43">
    <w:name w:val="toc 4"/>
    <w:basedOn w:val="1"/>
    <w:next w:val="1"/>
    <w:autoRedefine/>
    <w:qFormat/>
    <w:uiPriority w:val="39"/>
    <w:pPr>
      <w:ind w:left="630"/>
      <w:jc w:val="left"/>
    </w:pPr>
    <w:rPr>
      <w:szCs w:val="21"/>
    </w:rPr>
  </w:style>
  <w:style w:type="paragraph" w:styleId="44">
    <w:name w:val="index heading"/>
    <w:basedOn w:val="1"/>
    <w:next w:val="45"/>
    <w:autoRedefine/>
    <w:qFormat/>
    <w:uiPriority w:val="0"/>
  </w:style>
  <w:style w:type="paragraph" w:styleId="45">
    <w:name w:val="index 1"/>
    <w:basedOn w:val="1"/>
    <w:next w:val="1"/>
    <w:autoRedefine/>
    <w:qFormat/>
    <w:uiPriority w:val="0"/>
    <w:pPr>
      <w:spacing w:line="300" w:lineRule="exact"/>
    </w:pPr>
    <w:rPr>
      <w:rFonts w:hAnsi="宋体"/>
      <w:b/>
      <w:bCs/>
      <w:szCs w:val="21"/>
    </w:rPr>
  </w:style>
  <w:style w:type="paragraph" w:styleId="46">
    <w:name w:val="Subtitle"/>
    <w:basedOn w:val="1"/>
    <w:link w:val="78"/>
    <w:autoRedefine/>
    <w:qFormat/>
    <w:uiPriority w:val="0"/>
    <w:pPr>
      <w:spacing w:before="240" w:after="60" w:line="312" w:lineRule="auto"/>
      <w:jc w:val="center"/>
      <w:outlineLvl w:val="1"/>
    </w:pPr>
    <w:rPr>
      <w:rFonts w:ascii="Arial" w:hAnsi="Arial" w:cs="Arial"/>
      <w:b/>
      <w:bCs/>
      <w:kern w:val="28"/>
      <w:sz w:val="32"/>
      <w:szCs w:val="32"/>
    </w:rPr>
  </w:style>
  <w:style w:type="paragraph" w:styleId="47">
    <w:name w:val="List"/>
    <w:basedOn w:val="1"/>
    <w:autoRedefine/>
    <w:qFormat/>
    <w:uiPriority w:val="0"/>
    <w:pPr>
      <w:ind w:left="200" w:hanging="200" w:hangingChars="200"/>
    </w:pPr>
    <w:rPr>
      <w:szCs w:val="24"/>
    </w:rPr>
  </w:style>
  <w:style w:type="paragraph" w:styleId="48">
    <w:name w:val="footnote text"/>
    <w:basedOn w:val="1"/>
    <w:link w:val="170"/>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49">
    <w:name w:val="toc 6"/>
    <w:basedOn w:val="1"/>
    <w:next w:val="1"/>
    <w:autoRedefine/>
    <w:qFormat/>
    <w:uiPriority w:val="39"/>
    <w:pPr>
      <w:ind w:left="1050"/>
      <w:jc w:val="left"/>
    </w:pPr>
    <w:rPr>
      <w:szCs w:val="21"/>
    </w:rPr>
  </w:style>
  <w:style w:type="paragraph" w:styleId="50">
    <w:name w:val="Body Text Indent 3"/>
    <w:basedOn w:val="1"/>
    <w:link w:val="159"/>
    <w:autoRedefine/>
    <w:qFormat/>
    <w:uiPriority w:val="0"/>
    <w:pPr>
      <w:ind w:firstLine="645"/>
    </w:pPr>
    <w:rPr>
      <w:rFonts w:ascii="仿宋_GB2312" w:hAnsi="Arial" w:eastAsia="仿宋_GB2312"/>
      <w:color w:val="000000"/>
      <w:sz w:val="30"/>
    </w:rPr>
  </w:style>
  <w:style w:type="paragraph" w:styleId="51">
    <w:name w:val="index 7"/>
    <w:basedOn w:val="1"/>
    <w:next w:val="1"/>
    <w:autoRedefine/>
    <w:qFormat/>
    <w:uiPriority w:val="0"/>
    <w:pPr>
      <w:ind w:left="1200" w:leftChars="1200"/>
    </w:pPr>
  </w:style>
  <w:style w:type="paragraph" w:styleId="52">
    <w:name w:val="index 9"/>
    <w:basedOn w:val="1"/>
    <w:next w:val="1"/>
    <w:autoRedefine/>
    <w:qFormat/>
    <w:uiPriority w:val="0"/>
    <w:pPr>
      <w:ind w:left="1600" w:leftChars="1600"/>
    </w:pPr>
  </w:style>
  <w:style w:type="paragraph" w:styleId="53">
    <w:name w:val="toc 2"/>
    <w:basedOn w:val="1"/>
    <w:next w:val="1"/>
    <w:autoRedefine/>
    <w:qFormat/>
    <w:uiPriority w:val="39"/>
    <w:pPr>
      <w:ind w:left="210"/>
      <w:jc w:val="left"/>
    </w:pPr>
    <w:rPr>
      <w:smallCaps/>
      <w:sz w:val="28"/>
      <w:szCs w:val="24"/>
    </w:rPr>
  </w:style>
  <w:style w:type="paragraph" w:styleId="54">
    <w:name w:val="toc 9"/>
    <w:basedOn w:val="1"/>
    <w:next w:val="1"/>
    <w:autoRedefine/>
    <w:qFormat/>
    <w:uiPriority w:val="39"/>
    <w:pPr>
      <w:ind w:left="1680"/>
      <w:jc w:val="left"/>
    </w:pPr>
    <w:rPr>
      <w:szCs w:val="21"/>
    </w:rPr>
  </w:style>
  <w:style w:type="paragraph" w:styleId="55">
    <w:name w:val="Body Text 2"/>
    <w:basedOn w:val="1"/>
    <w:link w:val="141"/>
    <w:autoRedefine/>
    <w:qFormat/>
    <w:uiPriority w:val="0"/>
    <w:rPr>
      <w:rFonts w:ascii="仿宋_GB2312" w:eastAsia="仿宋_GB2312"/>
      <w:b/>
    </w:rPr>
  </w:style>
  <w:style w:type="paragraph" w:styleId="56">
    <w:name w:val="List 4"/>
    <w:basedOn w:val="1"/>
    <w:autoRedefine/>
    <w:qFormat/>
    <w:uiPriority w:val="0"/>
    <w:pPr>
      <w:ind w:left="100" w:leftChars="600" w:hanging="200" w:hangingChars="200"/>
    </w:pPr>
    <w:rPr>
      <w:rFonts w:ascii="Calibri" w:hAnsi="Calibri"/>
      <w:kern w:val="2"/>
      <w:sz w:val="21"/>
      <w:szCs w:val="22"/>
    </w:rPr>
  </w:style>
  <w:style w:type="paragraph" w:styleId="57">
    <w:name w:val="List Continue 2"/>
    <w:basedOn w:val="1"/>
    <w:autoRedefine/>
    <w:qFormat/>
    <w:uiPriority w:val="0"/>
    <w:pPr>
      <w:spacing w:after="120"/>
      <w:ind w:left="840" w:leftChars="400"/>
    </w:pPr>
    <w:rPr>
      <w:rFonts w:ascii="Calibri" w:hAnsi="Calibri"/>
      <w:kern w:val="2"/>
      <w:sz w:val="21"/>
      <w:szCs w:val="22"/>
    </w:rPr>
  </w:style>
  <w:style w:type="paragraph" w:styleId="58">
    <w:name w:val="Normal (Web)"/>
    <w:basedOn w:val="1"/>
    <w:autoRedefine/>
    <w:qFormat/>
    <w:uiPriority w:val="0"/>
    <w:pPr>
      <w:widowControl/>
      <w:spacing w:before="100" w:beforeAutospacing="1" w:after="100" w:afterAutospacing="1"/>
      <w:jc w:val="left"/>
    </w:pPr>
    <w:rPr>
      <w:rFonts w:hAnsi="宋体"/>
      <w:szCs w:val="24"/>
    </w:rPr>
  </w:style>
  <w:style w:type="paragraph" w:styleId="59">
    <w:name w:val="index 2"/>
    <w:basedOn w:val="1"/>
    <w:next w:val="1"/>
    <w:autoRedefine/>
    <w:qFormat/>
    <w:uiPriority w:val="0"/>
    <w:pPr>
      <w:ind w:left="200" w:leftChars="200"/>
    </w:pPr>
  </w:style>
  <w:style w:type="paragraph" w:styleId="60">
    <w:name w:val="Title"/>
    <w:basedOn w:val="1"/>
    <w:next w:val="1"/>
    <w:link w:val="169"/>
    <w:autoRedefine/>
    <w:qFormat/>
    <w:uiPriority w:val="0"/>
    <w:pPr>
      <w:spacing w:before="240" w:after="60"/>
      <w:jc w:val="center"/>
      <w:outlineLvl w:val="0"/>
    </w:pPr>
    <w:rPr>
      <w:rFonts w:ascii="Cambria" w:hAnsi="Cambria"/>
      <w:b/>
      <w:bCs/>
      <w:kern w:val="2"/>
      <w:sz w:val="32"/>
      <w:szCs w:val="32"/>
    </w:rPr>
  </w:style>
  <w:style w:type="paragraph" w:styleId="61">
    <w:name w:val="annotation subject"/>
    <w:basedOn w:val="20"/>
    <w:next w:val="20"/>
    <w:link w:val="183"/>
    <w:autoRedefine/>
    <w:qFormat/>
    <w:uiPriority w:val="0"/>
    <w:rPr>
      <w:rFonts w:ascii="宋体"/>
      <w:b/>
      <w:bCs/>
      <w:kern w:val="0"/>
      <w:sz w:val="28"/>
    </w:rPr>
  </w:style>
  <w:style w:type="paragraph" w:styleId="62">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3">
    <w:name w:val="Body Text First Indent 2"/>
    <w:basedOn w:val="25"/>
    <w:next w:val="1"/>
    <w:autoRedefine/>
    <w:qFormat/>
    <w:uiPriority w:val="0"/>
    <w:pPr>
      <w:ind w:left="420" w:firstLine="420"/>
    </w:pPr>
  </w:style>
  <w:style w:type="table" w:styleId="65">
    <w:name w:val="Table Grid"/>
    <w:basedOn w:val="6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7">
    <w:name w:val="Strong"/>
    <w:autoRedefine/>
    <w:qFormat/>
    <w:uiPriority w:val="0"/>
    <w:rPr>
      <w:b/>
      <w:bCs/>
    </w:rPr>
  </w:style>
  <w:style w:type="character" w:styleId="68">
    <w:name w:val="page number"/>
    <w:basedOn w:val="66"/>
    <w:autoRedefine/>
    <w:qFormat/>
    <w:uiPriority w:val="0"/>
  </w:style>
  <w:style w:type="character" w:styleId="69">
    <w:name w:val="FollowedHyperlink"/>
    <w:basedOn w:val="66"/>
    <w:autoRedefine/>
    <w:qFormat/>
    <w:uiPriority w:val="99"/>
    <w:rPr>
      <w:color w:val="2490F8"/>
      <w:u w:val="none"/>
    </w:rPr>
  </w:style>
  <w:style w:type="character" w:styleId="70">
    <w:name w:val="Emphasis"/>
    <w:autoRedefine/>
    <w:qFormat/>
    <w:uiPriority w:val="0"/>
    <w:rPr>
      <w:color w:val="CC0033"/>
    </w:rPr>
  </w:style>
  <w:style w:type="character" w:styleId="71">
    <w:name w:val="HTML Definition"/>
    <w:basedOn w:val="66"/>
    <w:autoRedefine/>
    <w:semiHidden/>
    <w:unhideWhenUsed/>
    <w:qFormat/>
    <w:uiPriority w:val="99"/>
  </w:style>
  <w:style w:type="character" w:styleId="72">
    <w:name w:val="HTML Variable"/>
    <w:basedOn w:val="66"/>
    <w:autoRedefine/>
    <w:semiHidden/>
    <w:unhideWhenUsed/>
    <w:qFormat/>
    <w:uiPriority w:val="99"/>
  </w:style>
  <w:style w:type="character" w:styleId="73">
    <w:name w:val="Hyperlink"/>
    <w:basedOn w:val="66"/>
    <w:autoRedefine/>
    <w:qFormat/>
    <w:uiPriority w:val="99"/>
    <w:rPr>
      <w:color w:val="2490F8"/>
      <w:u w:val="none"/>
    </w:rPr>
  </w:style>
  <w:style w:type="character" w:styleId="74">
    <w:name w:val="HTML Code"/>
    <w:basedOn w:val="66"/>
    <w:autoRedefine/>
    <w:semiHidden/>
    <w:unhideWhenUsed/>
    <w:qFormat/>
    <w:uiPriority w:val="99"/>
    <w:rPr>
      <w:rFonts w:ascii="微软雅黑" w:hAnsi="微软雅黑" w:eastAsia="微软雅黑" w:cs="微软雅黑"/>
      <w:sz w:val="20"/>
    </w:rPr>
  </w:style>
  <w:style w:type="character" w:styleId="75">
    <w:name w:val="annotation reference"/>
    <w:autoRedefine/>
    <w:unhideWhenUsed/>
    <w:qFormat/>
    <w:uiPriority w:val="99"/>
    <w:rPr>
      <w:sz w:val="21"/>
      <w:szCs w:val="21"/>
    </w:rPr>
  </w:style>
  <w:style w:type="character" w:styleId="76">
    <w:name w:val="HTML Cite"/>
    <w:basedOn w:val="66"/>
    <w:autoRedefine/>
    <w:semiHidden/>
    <w:unhideWhenUsed/>
    <w:qFormat/>
    <w:uiPriority w:val="99"/>
  </w:style>
  <w:style w:type="character" w:customStyle="1" w:styleId="77">
    <w:name w:val="正文文本缩进 Char"/>
    <w:link w:val="25"/>
    <w:autoRedefine/>
    <w:qFormat/>
    <w:uiPriority w:val="0"/>
    <w:rPr>
      <w:rFonts w:ascii="楷体_GB2312" w:eastAsia="楷体_GB2312"/>
      <w:kern w:val="2"/>
      <w:sz w:val="32"/>
    </w:rPr>
  </w:style>
  <w:style w:type="character" w:customStyle="1" w:styleId="78">
    <w:name w:val="副标题 Char"/>
    <w:link w:val="46"/>
    <w:autoRedefine/>
    <w:qFormat/>
    <w:uiPriority w:val="0"/>
    <w:rPr>
      <w:rFonts w:ascii="Arial" w:hAnsi="Arial" w:eastAsia="宋体" w:cs="Arial"/>
      <w:b/>
      <w:bCs/>
      <w:kern w:val="28"/>
      <w:sz w:val="32"/>
      <w:szCs w:val="32"/>
      <w:lang w:val="en-US" w:eastAsia="zh-CN" w:bidi="ar-SA"/>
    </w:rPr>
  </w:style>
  <w:style w:type="character" w:customStyle="1" w:styleId="79">
    <w:name w:val="标题 6 Char1"/>
    <w:autoRedefine/>
    <w:semiHidden/>
    <w:qFormat/>
    <w:uiPriority w:val="0"/>
    <w:rPr>
      <w:rFonts w:ascii="Cambria" w:hAnsi="Cambria" w:eastAsia="宋体"/>
      <w:b/>
      <w:kern w:val="2"/>
      <w:sz w:val="24"/>
      <w:szCs w:val="24"/>
    </w:rPr>
  </w:style>
  <w:style w:type="character" w:customStyle="1" w:styleId="80">
    <w:name w:val="脚注文本 Char_0"/>
    <w:link w:val="81"/>
    <w:autoRedefine/>
    <w:qFormat/>
    <w:uiPriority w:val="0"/>
    <w:rPr>
      <w:sz w:val="18"/>
    </w:rPr>
  </w:style>
  <w:style w:type="paragraph" w:customStyle="1" w:styleId="81">
    <w:name w:val="脚注文本_0"/>
    <w:basedOn w:val="82"/>
    <w:link w:val="80"/>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3">
    <w:name w:val="标题 Char1"/>
    <w:autoRedefine/>
    <w:qFormat/>
    <w:uiPriority w:val="10"/>
    <w:rPr>
      <w:rFonts w:ascii="Calibri Light" w:hAnsi="Calibri Light" w:cs="Times New Roman"/>
      <w:b/>
      <w:bCs/>
      <w:kern w:val="2"/>
      <w:sz w:val="32"/>
      <w:szCs w:val="32"/>
    </w:rPr>
  </w:style>
  <w:style w:type="character" w:customStyle="1" w:styleId="84">
    <w:name w:val="Blockquote Char"/>
    <w:link w:val="85"/>
    <w:autoRedefine/>
    <w:qFormat/>
    <w:uiPriority w:val="0"/>
    <w:rPr>
      <w:rFonts w:ascii="宋体"/>
      <w:sz w:val="24"/>
    </w:rPr>
  </w:style>
  <w:style w:type="paragraph" w:customStyle="1" w:styleId="85">
    <w:name w:val="Blockquote"/>
    <w:basedOn w:val="1"/>
    <w:link w:val="84"/>
    <w:autoRedefine/>
    <w:qFormat/>
    <w:uiPriority w:val="0"/>
    <w:pPr>
      <w:autoSpaceDE w:val="0"/>
      <w:autoSpaceDN w:val="0"/>
      <w:adjustRightInd w:val="0"/>
      <w:spacing w:before="100" w:after="100"/>
      <w:ind w:left="360" w:right="360"/>
      <w:jc w:val="left"/>
    </w:pPr>
  </w:style>
  <w:style w:type="character" w:customStyle="1" w:styleId="86">
    <w:name w:val="脚注文本 Char1"/>
    <w:autoRedefine/>
    <w:qFormat/>
    <w:uiPriority w:val="0"/>
    <w:rPr>
      <w:kern w:val="2"/>
      <w:sz w:val="18"/>
      <w:szCs w:val="18"/>
    </w:rPr>
  </w:style>
  <w:style w:type="character" w:customStyle="1" w:styleId="87">
    <w:name w:val="标题 3 Char2"/>
    <w:autoRedefine/>
    <w:qFormat/>
    <w:uiPriority w:val="0"/>
    <w:rPr>
      <w:rFonts w:ascii="Calibri" w:hAnsi="Calibri" w:eastAsia="黑体"/>
      <w:b/>
      <w:bCs/>
      <w:kern w:val="2"/>
      <w:sz w:val="32"/>
      <w:szCs w:val="32"/>
    </w:rPr>
  </w:style>
  <w:style w:type="character" w:customStyle="1" w:styleId="88">
    <w:name w:val="批注框文本 Char"/>
    <w:link w:val="38"/>
    <w:autoRedefine/>
    <w:qFormat/>
    <w:uiPriority w:val="99"/>
    <w:rPr>
      <w:rFonts w:ascii="宋体"/>
      <w:sz w:val="18"/>
      <w:szCs w:val="18"/>
    </w:rPr>
  </w:style>
  <w:style w:type="character" w:customStyle="1" w:styleId="89">
    <w:name w:val="标题5 Char Char"/>
    <w:link w:val="90"/>
    <w:autoRedefine/>
    <w:qFormat/>
    <w:uiPriority w:val="0"/>
    <w:rPr>
      <w:rFonts w:ascii="Arial" w:hAnsi="Arial"/>
      <w:b/>
      <w:bCs/>
      <w:sz w:val="24"/>
      <w:szCs w:val="32"/>
      <w:lang w:bidi="ar-SA"/>
    </w:rPr>
  </w:style>
  <w:style w:type="paragraph" w:customStyle="1" w:styleId="90">
    <w:name w:val="标题5"/>
    <w:basedOn w:val="4"/>
    <w:link w:val="89"/>
    <w:autoRedefine/>
    <w:qFormat/>
    <w:uiPriority w:val="0"/>
    <w:pPr>
      <w:spacing w:line="413" w:lineRule="auto"/>
      <w:jc w:val="both"/>
    </w:pPr>
    <w:rPr>
      <w:rFonts w:ascii="Arial" w:hAnsi="Arial"/>
      <w:kern w:val="0"/>
      <w:sz w:val="24"/>
    </w:rPr>
  </w:style>
  <w:style w:type="character" w:customStyle="1" w:styleId="91">
    <w:name w:val="页脚 字符"/>
    <w:autoRedefine/>
    <w:qFormat/>
    <w:uiPriority w:val="99"/>
    <w:rPr>
      <w:kern w:val="2"/>
      <w:sz w:val="18"/>
    </w:rPr>
  </w:style>
  <w:style w:type="character" w:customStyle="1" w:styleId="92">
    <w:name w:val="纯文本 Char1_1"/>
    <w:link w:val="93"/>
    <w:autoRedefine/>
    <w:qFormat/>
    <w:uiPriority w:val="0"/>
    <w:rPr>
      <w:rFonts w:ascii="宋体" w:hAnsi="Courier New"/>
      <w:kern w:val="2"/>
      <w:sz w:val="21"/>
      <w:szCs w:val="21"/>
    </w:rPr>
  </w:style>
  <w:style w:type="paragraph" w:customStyle="1" w:styleId="93">
    <w:name w:val="纯文本_2"/>
    <w:basedOn w:val="94"/>
    <w:link w:val="92"/>
    <w:autoRedefine/>
    <w:qFormat/>
    <w:uiPriority w:val="0"/>
    <w:rPr>
      <w:rFonts w:ascii="宋体" w:hAnsi="Courier New"/>
      <w:szCs w:val="21"/>
    </w:rPr>
  </w:style>
  <w:style w:type="paragraph" w:customStyle="1" w:styleId="94">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日期 Char"/>
    <w:link w:val="36"/>
    <w:autoRedefine/>
    <w:qFormat/>
    <w:uiPriority w:val="0"/>
    <w:rPr>
      <w:rFonts w:eastAsia="宋体"/>
      <w:b/>
      <w:kern w:val="2"/>
      <w:sz w:val="28"/>
      <w:lang w:val="en-US" w:eastAsia="zh-CN" w:bidi="ar-SA"/>
    </w:rPr>
  </w:style>
  <w:style w:type="character" w:customStyle="1" w:styleId="96">
    <w:name w:val="标题 6 Char_0"/>
    <w:link w:val="97"/>
    <w:autoRedefine/>
    <w:qFormat/>
    <w:uiPriority w:val="0"/>
    <w:rPr>
      <w:rFonts w:ascii="Arial" w:hAnsi="Arial" w:eastAsia="黑体"/>
      <w:b/>
      <w:bCs/>
      <w:sz w:val="24"/>
      <w:szCs w:val="24"/>
    </w:rPr>
  </w:style>
  <w:style w:type="paragraph" w:customStyle="1" w:styleId="97">
    <w:name w:val="标题 6_0"/>
    <w:basedOn w:val="94"/>
    <w:next w:val="94"/>
    <w:link w:val="96"/>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8">
    <w:name w:val="Blockquote Char_0_1"/>
    <w:link w:val="99"/>
    <w:autoRedefine/>
    <w:qFormat/>
    <w:locked/>
    <w:uiPriority w:val="0"/>
    <w:rPr>
      <w:sz w:val="24"/>
    </w:rPr>
  </w:style>
  <w:style w:type="paragraph" w:customStyle="1" w:styleId="99">
    <w:name w:val="Blockquote_0_1"/>
    <w:basedOn w:val="100"/>
    <w:link w:val="98"/>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标题 7 Char_0"/>
    <w:link w:val="102"/>
    <w:autoRedefine/>
    <w:qFormat/>
    <w:uiPriority w:val="0"/>
    <w:rPr>
      <w:b/>
      <w:bCs/>
      <w:sz w:val="24"/>
      <w:szCs w:val="24"/>
    </w:rPr>
  </w:style>
  <w:style w:type="paragraph" w:customStyle="1" w:styleId="102">
    <w:name w:val="标题 7_0"/>
    <w:basedOn w:val="94"/>
    <w:next w:val="94"/>
    <w:link w:val="101"/>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3">
    <w:name w:val="tdrownotice1"/>
    <w:autoRedefine/>
    <w:qFormat/>
    <w:uiPriority w:val="0"/>
    <w:rPr>
      <w:sz w:val="22"/>
    </w:rPr>
  </w:style>
  <w:style w:type="character" w:customStyle="1" w:styleId="104">
    <w:name w:val="font01"/>
    <w:autoRedefine/>
    <w:qFormat/>
    <w:uiPriority w:val="0"/>
    <w:rPr>
      <w:rFonts w:ascii="font-weight : 400" w:hAnsi="font-weight : 400" w:eastAsia="font-weight : 400" w:cs="font-weight : 400"/>
      <w:color w:val="000000"/>
      <w:sz w:val="22"/>
      <w:szCs w:val="22"/>
      <w:u w:val="none"/>
    </w:rPr>
  </w:style>
  <w:style w:type="character" w:customStyle="1" w:styleId="105">
    <w:name w:val="页眉 Char"/>
    <w:link w:val="40"/>
    <w:autoRedefine/>
    <w:qFormat/>
    <w:uiPriority w:val="99"/>
    <w:rPr>
      <w:rFonts w:eastAsia="宋体"/>
      <w:kern w:val="2"/>
      <w:sz w:val="18"/>
      <w:lang w:val="en-US" w:eastAsia="zh-CN" w:bidi="ar-SA"/>
    </w:rPr>
  </w:style>
  <w:style w:type="character" w:customStyle="1" w:styleId="106">
    <w:name w:val="引用 Char"/>
    <w:link w:val="107"/>
    <w:autoRedefine/>
    <w:qFormat/>
    <w:uiPriority w:val="0"/>
    <w:rPr>
      <w:i/>
      <w:iCs/>
      <w:color w:val="000000"/>
      <w:kern w:val="2"/>
      <w:sz w:val="21"/>
      <w:szCs w:val="22"/>
      <w:lang w:bidi="ar-SA"/>
    </w:rPr>
  </w:style>
  <w:style w:type="paragraph" w:styleId="107">
    <w:name w:val="Quote"/>
    <w:basedOn w:val="1"/>
    <w:next w:val="1"/>
    <w:link w:val="106"/>
    <w:autoRedefine/>
    <w:qFormat/>
    <w:uiPriority w:val="0"/>
    <w:rPr>
      <w:rFonts w:ascii="Times New Roman"/>
      <w:i/>
      <w:iCs/>
      <w:color w:val="000000"/>
      <w:kern w:val="2"/>
      <w:sz w:val="21"/>
      <w:szCs w:val="22"/>
    </w:rPr>
  </w:style>
  <w:style w:type="character" w:customStyle="1" w:styleId="108">
    <w:name w:val="Texte Char1"/>
    <w:link w:val="109"/>
    <w:autoRedefine/>
    <w:qFormat/>
    <w:uiPriority w:val="99"/>
    <w:rPr>
      <w:rFonts w:ascii="宋体" w:hAnsi="Courier New"/>
      <w:kern w:val="2"/>
      <w:sz w:val="21"/>
      <w:szCs w:val="21"/>
      <w:lang w:val="en-US" w:eastAsia="zh-CN"/>
    </w:rPr>
  </w:style>
  <w:style w:type="paragraph" w:customStyle="1" w:styleId="109">
    <w:name w:val="纯文本_0"/>
    <w:basedOn w:val="110"/>
    <w:link w:val="108"/>
    <w:autoRedefine/>
    <w:qFormat/>
    <w:uiPriority w:val="99"/>
    <w:rPr>
      <w:rFonts w:ascii="宋体" w:hAnsi="Courier New" w:cs="Times New Roman"/>
      <w:szCs w:val="21"/>
    </w:rPr>
  </w:style>
  <w:style w:type="paragraph" w:customStyle="1" w:styleId="110">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11">
    <w:name w:val="标题 3 Char_0"/>
    <w:link w:val="112"/>
    <w:autoRedefine/>
    <w:qFormat/>
    <w:uiPriority w:val="0"/>
    <w:rPr>
      <w:b/>
      <w:sz w:val="32"/>
    </w:rPr>
  </w:style>
  <w:style w:type="paragraph" w:customStyle="1" w:styleId="112">
    <w:name w:val="标题 3_0"/>
    <w:basedOn w:val="94"/>
    <w:next w:val="113"/>
    <w:link w:val="111"/>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3">
    <w:name w:val="正文缩进_0"/>
    <w:basedOn w:val="94"/>
    <w:autoRedefine/>
    <w:unhideWhenUsed/>
    <w:qFormat/>
    <w:uiPriority w:val="0"/>
    <w:pPr>
      <w:ind w:firstLine="420" w:firstLineChars="200"/>
    </w:pPr>
    <w:rPr>
      <w:rFonts w:ascii="Calibri" w:hAnsi="Calibri"/>
      <w:bCs/>
      <w:szCs w:val="32"/>
    </w:rPr>
  </w:style>
  <w:style w:type="character" w:customStyle="1" w:styleId="114">
    <w:name w:val="标题 2 Char"/>
    <w:link w:val="3"/>
    <w:autoRedefine/>
    <w:qFormat/>
    <w:uiPriority w:val="9"/>
    <w:rPr>
      <w:rFonts w:ascii="Arial" w:hAnsi="Arial" w:eastAsia="黑体"/>
      <w:b/>
      <w:bCs/>
      <w:kern w:val="2"/>
      <w:sz w:val="32"/>
      <w:szCs w:val="32"/>
      <w:lang w:val="en-US" w:eastAsia="zh-CN" w:bidi="ar-SA"/>
    </w:rPr>
  </w:style>
  <w:style w:type="character" w:customStyle="1" w:styleId="115">
    <w:name w:val="标题 1 Char1"/>
    <w:autoRedefine/>
    <w:qFormat/>
    <w:uiPriority w:val="0"/>
    <w:rPr>
      <w:rFonts w:ascii="Calibri" w:hAnsi="Calibri" w:eastAsia="宋体"/>
      <w:b/>
      <w:kern w:val="44"/>
      <w:sz w:val="44"/>
      <w:szCs w:val="44"/>
    </w:rPr>
  </w:style>
  <w:style w:type="character" w:customStyle="1" w:styleId="116">
    <w:name w:val="标题 7 Char1"/>
    <w:autoRedefine/>
    <w:semiHidden/>
    <w:qFormat/>
    <w:uiPriority w:val="0"/>
    <w:rPr>
      <w:rFonts w:ascii="Calibri" w:hAnsi="Calibri" w:eastAsia="宋体"/>
      <w:b/>
      <w:kern w:val="2"/>
      <w:sz w:val="24"/>
      <w:szCs w:val="24"/>
    </w:rPr>
  </w:style>
  <w:style w:type="character" w:customStyle="1" w:styleId="117">
    <w:name w:val="Blockquote Char_0"/>
    <w:link w:val="118"/>
    <w:autoRedefine/>
    <w:qFormat/>
    <w:locked/>
    <w:uiPriority w:val="0"/>
    <w:rPr>
      <w:sz w:val="24"/>
    </w:rPr>
  </w:style>
  <w:style w:type="paragraph" w:customStyle="1" w:styleId="118">
    <w:name w:val="Blockquote_0"/>
    <w:basedOn w:val="94"/>
    <w:link w:val="117"/>
    <w:autoRedefine/>
    <w:qFormat/>
    <w:uiPriority w:val="0"/>
    <w:pPr>
      <w:autoSpaceDE w:val="0"/>
      <w:autoSpaceDN w:val="0"/>
      <w:adjustRightInd w:val="0"/>
      <w:spacing w:before="100" w:after="100"/>
      <w:ind w:left="360" w:right="360"/>
      <w:jc w:val="left"/>
    </w:pPr>
    <w:rPr>
      <w:kern w:val="0"/>
      <w:sz w:val="24"/>
      <w:szCs w:val="20"/>
    </w:rPr>
  </w:style>
  <w:style w:type="character" w:customStyle="1" w:styleId="119">
    <w:name w:val="封面日期 Char Char"/>
    <w:autoRedefine/>
    <w:qFormat/>
    <w:uiPriority w:val="0"/>
    <w:rPr>
      <w:rFonts w:ascii="Times New Roman" w:hAnsi="Times New Roman" w:eastAsia="宋体" w:cs="Times New Roman"/>
      <w:b/>
      <w:sz w:val="28"/>
      <w:szCs w:val="20"/>
    </w:rPr>
  </w:style>
  <w:style w:type="character" w:customStyle="1" w:styleId="120">
    <w:name w:val="称呼 Char1"/>
    <w:autoRedefine/>
    <w:qFormat/>
    <w:uiPriority w:val="0"/>
    <w:rPr>
      <w:kern w:val="2"/>
      <w:sz w:val="21"/>
      <w:szCs w:val="24"/>
    </w:rPr>
  </w:style>
  <w:style w:type="character" w:customStyle="1" w:styleId="121">
    <w:name w:val="纯文本 Char1_0"/>
    <w:link w:val="122"/>
    <w:autoRedefine/>
    <w:qFormat/>
    <w:uiPriority w:val="0"/>
    <w:rPr>
      <w:rFonts w:ascii="宋体" w:hAnsi="Courier New"/>
      <w:kern w:val="2"/>
      <w:sz w:val="21"/>
      <w:szCs w:val="21"/>
    </w:rPr>
  </w:style>
  <w:style w:type="paragraph" w:customStyle="1" w:styleId="122">
    <w:name w:val="纯文本_1"/>
    <w:basedOn w:val="123"/>
    <w:link w:val="121"/>
    <w:autoRedefine/>
    <w:qFormat/>
    <w:uiPriority w:val="0"/>
    <w:rPr>
      <w:rFonts w:ascii="宋体" w:hAnsi="Courier New"/>
      <w:szCs w:val="21"/>
    </w:rPr>
  </w:style>
  <w:style w:type="paragraph" w:customStyle="1" w:styleId="12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文档结构图 Char"/>
    <w:link w:val="18"/>
    <w:autoRedefine/>
    <w:qFormat/>
    <w:uiPriority w:val="0"/>
    <w:rPr>
      <w:rFonts w:eastAsia="宋体"/>
      <w:kern w:val="2"/>
      <w:sz w:val="21"/>
      <w:lang w:val="en-US" w:eastAsia="zh-CN" w:bidi="ar-SA"/>
    </w:rPr>
  </w:style>
  <w:style w:type="character" w:customStyle="1" w:styleId="125">
    <w:name w:val="纯文本 Char1"/>
    <w:autoRedefine/>
    <w:qFormat/>
    <w:uiPriority w:val="99"/>
    <w:rPr>
      <w:rFonts w:ascii="宋体" w:hAnsi="Courier New" w:eastAsia="宋体" w:cs="Courier New"/>
      <w:kern w:val="2"/>
      <w:sz w:val="21"/>
      <w:szCs w:val="21"/>
      <w:lang w:val="en-US" w:eastAsia="zh-CN" w:bidi="ar-SA"/>
    </w:rPr>
  </w:style>
  <w:style w:type="character" w:customStyle="1" w:styleId="126">
    <w:name w:val="称呼 Char"/>
    <w:link w:val="22"/>
    <w:autoRedefine/>
    <w:qFormat/>
    <w:uiPriority w:val="0"/>
    <w:rPr>
      <w:rFonts w:ascii="仿宋_GB2312" w:eastAsia="仿宋_GB2312"/>
      <w:sz w:val="28"/>
    </w:rPr>
  </w:style>
  <w:style w:type="character" w:customStyle="1" w:styleId="127">
    <w:name w:val="t_tag"/>
    <w:autoRedefine/>
    <w:qFormat/>
    <w:uiPriority w:val="0"/>
  </w:style>
  <w:style w:type="character" w:customStyle="1" w:styleId="128">
    <w:name w:val="标题 6 Char"/>
    <w:link w:val="7"/>
    <w:autoRedefine/>
    <w:qFormat/>
    <w:uiPriority w:val="0"/>
    <w:rPr>
      <w:rFonts w:ascii="宋体" w:hAnsi="宋体" w:eastAsia="宋体"/>
      <w:sz w:val="28"/>
      <w:lang w:val="en-US" w:eastAsia="zh-CN" w:bidi="ar-SA"/>
    </w:rPr>
  </w:style>
  <w:style w:type="character" w:customStyle="1" w:styleId="129">
    <w:name w:val="Char Char3"/>
    <w:autoRedefine/>
    <w:qFormat/>
    <w:uiPriority w:val="0"/>
    <w:rPr>
      <w:rFonts w:eastAsia="宋体"/>
      <w:kern w:val="2"/>
      <w:sz w:val="21"/>
      <w:lang w:val="en-US" w:eastAsia="zh-CN" w:bidi="ar-SA"/>
    </w:rPr>
  </w:style>
  <w:style w:type="character" w:customStyle="1" w:styleId="130">
    <w:name w:val="标题 8 Char"/>
    <w:link w:val="9"/>
    <w:autoRedefine/>
    <w:qFormat/>
    <w:uiPriority w:val="0"/>
    <w:rPr>
      <w:rFonts w:ascii="Arial" w:hAnsi="Arial" w:eastAsia="黑体"/>
      <w:sz w:val="24"/>
      <w:szCs w:val="24"/>
      <w:lang w:val="en-US" w:eastAsia="zh-CN" w:bidi="ar-SA"/>
    </w:rPr>
  </w:style>
  <w:style w:type="character" w:customStyle="1" w:styleId="131">
    <w:name w:val="正文文本 3 Char"/>
    <w:link w:val="23"/>
    <w:autoRedefine/>
    <w:qFormat/>
    <w:uiPriority w:val="0"/>
    <w:rPr>
      <w:rFonts w:ascii="黑体" w:hAnsi="Arial" w:eastAsia="黑体"/>
      <w:b/>
      <w:sz w:val="28"/>
    </w:rPr>
  </w:style>
  <w:style w:type="character" w:customStyle="1" w:styleId="132">
    <w:name w:val="批注文字 Char"/>
    <w:link w:val="20"/>
    <w:autoRedefine/>
    <w:qFormat/>
    <w:uiPriority w:val="99"/>
    <w:rPr>
      <w:rFonts w:eastAsia="宋体"/>
      <w:kern w:val="2"/>
      <w:sz w:val="21"/>
      <w:lang w:val="en-US" w:eastAsia="zh-CN" w:bidi="ar-SA"/>
    </w:rPr>
  </w:style>
  <w:style w:type="character" w:customStyle="1" w:styleId="133">
    <w:name w:val="引用 Char2"/>
    <w:autoRedefine/>
    <w:qFormat/>
    <w:uiPriority w:val="29"/>
    <w:rPr>
      <w:i/>
      <w:iCs/>
      <w:color w:val="000000"/>
      <w:kern w:val="2"/>
      <w:sz w:val="21"/>
      <w:szCs w:val="24"/>
    </w:rPr>
  </w:style>
  <w:style w:type="character" w:customStyle="1" w:styleId="134">
    <w:name w:val="标题 4 Char_0"/>
    <w:link w:val="135"/>
    <w:autoRedefine/>
    <w:qFormat/>
    <w:uiPriority w:val="0"/>
    <w:rPr>
      <w:rFonts w:ascii="Arial" w:hAnsi="Arial" w:eastAsia="黑体"/>
      <w:sz w:val="28"/>
    </w:rPr>
  </w:style>
  <w:style w:type="paragraph" w:customStyle="1" w:styleId="135">
    <w:name w:val="标题 4_0"/>
    <w:basedOn w:val="94"/>
    <w:next w:val="94"/>
    <w:link w:val="134"/>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6">
    <w:name w:val="标题 9 Char_0"/>
    <w:link w:val="137"/>
    <w:autoRedefine/>
    <w:qFormat/>
    <w:uiPriority w:val="0"/>
    <w:rPr>
      <w:rFonts w:ascii="Arial" w:hAnsi="Arial" w:eastAsia="黑体"/>
      <w:sz w:val="21"/>
      <w:szCs w:val="21"/>
    </w:rPr>
  </w:style>
  <w:style w:type="paragraph" w:customStyle="1" w:styleId="137">
    <w:name w:val="标题 9_0"/>
    <w:basedOn w:val="94"/>
    <w:next w:val="94"/>
    <w:link w:val="136"/>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8">
    <w:name w:val="标题 2 Char_0"/>
    <w:link w:val="139"/>
    <w:autoRedefine/>
    <w:qFormat/>
    <w:uiPriority w:val="0"/>
    <w:rPr>
      <w:rFonts w:ascii="黑体" w:hAnsi="宋体" w:eastAsia="黑体"/>
      <w:b/>
      <w:smallCaps/>
      <w:sz w:val="36"/>
      <w:szCs w:val="24"/>
    </w:rPr>
  </w:style>
  <w:style w:type="paragraph" w:customStyle="1" w:styleId="139">
    <w:name w:val="标题 2_0"/>
    <w:basedOn w:val="140"/>
    <w:next w:val="110"/>
    <w:link w:val="138"/>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4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1">
    <w:name w:val="正文文本 2 Char"/>
    <w:link w:val="55"/>
    <w:autoRedefine/>
    <w:qFormat/>
    <w:uiPriority w:val="0"/>
    <w:rPr>
      <w:rFonts w:ascii="仿宋_GB2312" w:eastAsia="仿宋_GB2312"/>
      <w:b/>
      <w:sz w:val="24"/>
    </w:rPr>
  </w:style>
  <w:style w:type="character" w:customStyle="1" w:styleId="142">
    <w:name w:val="批注文字 Char1"/>
    <w:autoRedefine/>
    <w:semiHidden/>
    <w:qFormat/>
    <w:uiPriority w:val="99"/>
  </w:style>
  <w:style w:type="character" w:customStyle="1" w:styleId="143">
    <w:name w:val="明显引用 Char1"/>
    <w:autoRedefine/>
    <w:qFormat/>
    <w:uiPriority w:val="30"/>
    <w:rPr>
      <w:b/>
      <w:bCs/>
      <w:i/>
      <w:iCs/>
      <w:color w:val="4F81BD"/>
      <w:kern w:val="2"/>
      <w:sz w:val="21"/>
      <w:szCs w:val="24"/>
    </w:rPr>
  </w:style>
  <w:style w:type="character" w:customStyle="1" w:styleId="144">
    <w:name w:val="标题 8 Char1"/>
    <w:autoRedefine/>
    <w:semiHidden/>
    <w:qFormat/>
    <w:uiPriority w:val="0"/>
    <w:rPr>
      <w:rFonts w:ascii="Cambria" w:hAnsi="Cambria" w:eastAsia="宋体"/>
      <w:kern w:val="2"/>
      <w:sz w:val="24"/>
      <w:szCs w:val="24"/>
    </w:rPr>
  </w:style>
  <w:style w:type="character" w:customStyle="1" w:styleId="145">
    <w:name w:val="font31"/>
    <w:basedOn w:val="66"/>
    <w:autoRedefine/>
    <w:qFormat/>
    <w:uiPriority w:val="0"/>
    <w:rPr>
      <w:rFonts w:hint="eastAsia" w:ascii="宋体" w:hAnsi="宋体" w:eastAsia="宋体" w:cs="宋体"/>
      <w:color w:val="FF0000"/>
      <w:sz w:val="24"/>
      <w:szCs w:val="24"/>
      <w:u w:val="none"/>
    </w:rPr>
  </w:style>
  <w:style w:type="character" w:customStyle="1" w:styleId="146">
    <w:name w:val="标题 3 Char"/>
    <w:link w:val="4"/>
    <w:autoRedefine/>
    <w:qFormat/>
    <w:uiPriority w:val="0"/>
    <w:rPr>
      <w:rFonts w:ascii="宋体" w:eastAsia="宋体"/>
      <w:b/>
      <w:bCs/>
      <w:kern w:val="2"/>
      <w:sz w:val="32"/>
      <w:szCs w:val="32"/>
      <w:lang w:val="en-US" w:eastAsia="zh-CN" w:bidi="ar-SA"/>
    </w:rPr>
  </w:style>
  <w:style w:type="character" w:customStyle="1" w:styleId="147">
    <w:name w:val="标题 9 Char"/>
    <w:link w:val="10"/>
    <w:autoRedefine/>
    <w:qFormat/>
    <w:uiPriority w:val="0"/>
    <w:rPr>
      <w:rFonts w:ascii="Arial" w:hAnsi="Arial" w:eastAsia="黑体"/>
      <w:sz w:val="21"/>
      <w:szCs w:val="21"/>
      <w:lang w:val="en-US" w:eastAsia="zh-CN" w:bidi="ar-SA"/>
    </w:rPr>
  </w:style>
  <w:style w:type="character" w:customStyle="1" w:styleId="148">
    <w:name w:val="批注框文本 Char1"/>
    <w:autoRedefine/>
    <w:semiHidden/>
    <w:qFormat/>
    <w:uiPriority w:val="99"/>
    <w:rPr>
      <w:sz w:val="18"/>
      <w:szCs w:val="18"/>
    </w:rPr>
  </w:style>
  <w:style w:type="character" w:customStyle="1" w:styleId="149">
    <w:name w:val="批注主题 Char1"/>
    <w:autoRedefine/>
    <w:qFormat/>
    <w:uiPriority w:val="99"/>
    <w:rPr>
      <w:rFonts w:eastAsia="宋体"/>
      <w:b/>
      <w:bCs/>
      <w:kern w:val="2"/>
      <w:sz w:val="21"/>
      <w:szCs w:val="24"/>
      <w:lang w:val="en-US" w:eastAsia="zh-CN" w:bidi="ar-SA"/>
    </w:rPr>
  </w:style>
  <w:style w:type="character" w:customStyle="1" w:styleId="150">
    <w:name w:val="标题 8 Char_0"/>
    <w:link w:val="151"/>
    <w:autoRedefine/>
    <w:qFormat/>
    <w:uiPriority w:val="0"/>
    <w:rPr>
      <w:rFonts w:ascii="Arial" w:hAnsi="Arial" w:eastAsia="黑体"/>
      <w:sz w:val="24"/>
      <w:szCs w:val="24"/>
    </w:rPr>
  </w:style>
  <w:style w:type="paragraph" w:customStyle="1" w:styleId="151">
    <w:name w:val="标题 8_0"/>
    <w:basedOn w:val="94"/>
    <w:next w:val="94"/>
    <w:link w:val="150"/>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2">
    <w:name w:val="标题 9 Char1"/>
    <w:autoRedefine/>
    <w:semiHidden/>
    <w:qFormat/>
    <w:uiPriority w:val="0"/>
    <w:rPr>
      <w:rFonts w:ascii="Cambria" w:hAnsi="Cambria" w:eastAsia="宋体"/>
      <w:kern w:val="2"/>
      <w:sz w:val="21"/>
      <w:szCs w:val="21"/>
    </w:rPr>
  </w:style>
  <w:style w:type="character" w:customStyle="1" w:styleId="153">
    <w:name w:val="标题 1 Char_0"/>
    <w:link w:val="154"/>
    <w:autoRedefine/>
    <w:qFormat/>
    <w:uiPriority w:val="0"/>
    <w:rPr>
      <w:rFonts w:ascii="黑体" w:eastAsia="黑体"/>
      <w:sz w:val="52"/>
    </w:rPr>
  </w:style>
  <w:style w:type="paragraph" w:customStyle="1" w:styleId="154">
    <w:name w:val="标题 1_0"/>
    <w:basedOn w:val="94"/>
    <w:next w:val="94"/>
    <w:link w:val="153"/>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5">
    <w:name w:val="标题 4 Char"/>
    <w:link w:val="5"/>
    <w:autoRedefine/>
    <w:qFormat/>
    <w:uiPriority w:val="0"/>
    <w:rPr>
      <w:rFonts w:ascii="Arial" w:hAnsi="Arial" w:eastAsia="黑体"/>
      <w:b/>
      <w:bCs/>
      <w:kern w:val="2"/>
      <w:sz w:val="28"/>
      <w:szCs w:val="28"/>
      <w:lang w:val="en-US" w:eastAsia="zh-CN" w:bidi="ar-SA"/>
    </w:rPr>
  </w:style>
  <w:style w:type="character" w:customStyle="1" w:styleId="156">
    <w:name w:val="引用 Char1"/>
    <w:autoRedefine/>
    <w:qFormat/>
    <w:uiPriority w:val="29"/>
    <w:rPr>
      <w:i/>
      <w:iCs/>
      <w:color w:val="000000"/>
      <w:kern w:val="2"/>
      <w:sz w:val="21"/>
      <w:szCs w:val="24"/>
    </w:rPr>
  </w:style>
  <w:style w:type="character" w:customStyle="1" w:styleId="157">
    <w:name w:val="apple-converted-space"/>
    <w:autoRedefine/>
    <w:qFormat/>
    <w:uiPriority w:val="0"/>
  </w:style>
  <w:style w:type="character" w:customStyle="1" w:styleId="158">
    <w:name w:val="ask-title2"/>
    <w:autoRedefine/>
    <w:qFormat/>
    <w:uiPriority w:val="0"/>
  </w:style>
  <w:style w:type="character" w:customStyle="1" w:styleId="159">
    <w:name w:val="正文文本缩进 3 Char"/>
    <w:link w:val="50"/>
    <w:autoRedefine/>
    <w:qFormat/>
    <w:uiPriority w:val="0"/>
    <w:rPr>
      <w:rFonts w:ascii="仿宋_GB2312" w:hAnsi="Arial" w:eastAsia="仿宋_GB2312"/>
      <w:color w:val="000000"/>
      <w:sz w:val="30"/>
    </w:rPr>
  </w:style>
  <w:style w:type="character" w:customStyle="1" w:styleId="160">
    <w:name w:val="标题4 Char Char"/>
    <w:link w:val="161"/>
    <w:autoRedefine/>
    <w:qFormat/>
    <w:uiPriority w:val="0"/>
    <w:rPr>
      <w:rFonts w:ascii="Arial" w:hAnsi="Arial"/>
      <w:b/>
      <w:bCs/>
      <w:sz w:val="24"/>
      <w:szCs w:val="32"/>
      <w:lang w:bidi="ar-SA"/>
    </w:rPr>
  </w:style>
  <w:style w:type="paragraph" w:customStyle="1" w:styleId="161">
    <w:name w:val="标题4"/>
    <w:basedOn w:val="3"/>
    <w:next w:val="30"/>
    <w:link w:val="160"/>
    <w:autoRedefine/>
    <w:qFormat/>
    <w:uiPriority w:val="0"/>
    <w:pPr>
      <w:spacing w:line="413" w:lineRule="auto"/>
      <w:ind w:firstLine="0"/>
      <w:jc w:val="both"/>
    </w:pPr>
    <w:rPr>
      <w:rFonts w:eastAsia="宋体"/>
      <w:kern w:val="0"/>
      <w:sz w:val="24"/>
    </w:rPr>
  </w:style>
  <w:style w:type="character" w:customStyle="1" w:styleId="162">
    <w:name w:val="标题 4 Char1"/>
    <w:autoRedefine/>
    <w:semiHidden/>
    <w:qFormat/>
    <w:uiPriority w:val="0"/>
    <w:rPr>
      <w:rFonts w:ascii="Cambria" w:hAnsi="Cambria" w:eastAsia="宋体"/>
      <w:b/>
      <w:kern w:val="2"/>
      <w:sz w:val="28"/>
      <w:szCs w:val="28"/>
    </w:rPr>
  </w:style>
  <w:style w:type="character" w:customStyle="1" w:styleId="163">
    <w:name w:val="纯文本 Char"/>
    <w:link w:val="33"/>
    <w:autoRedefine/>
    <w:qFormat/>
    <w:uiPriority w:val="0"/>
    <w:rPr>
      <w:rFonts w:ascii="宋体" w:hAnsi="Courier New" w:eastAsia="宋体"/>
      <w:kern w:val="2"/>
      <w:sz w:val="21"/>
      <w:lang w:val="en-US" w:eastAsia="zh-CN" w:bidi="ar-SA"/>
    </w:rPr>
  </w:style>
  <w:style w:type="character" w:customStyle="1" w:styleId="164">
    <w:name w:val="明显引用 Char"/>
    <w:link w:val="165"/>
    <w:autoRedefine/>
    <w:qFormat/>
    <w:uiPriority w:val="0"/>
    <w:rPr>
      <w:b/>
      <w:bCs/>
      <w:i/>
      <w:iCs/>
      <w:color w:val="4F81BD"/>
      <w:kern w:val="2"/>
      <w:sz w:val="21"/>
      <w:szCs w:val="22"/>
      <w:lang w:bidi="ar-SA"/>
    </w:rPr>
  </w:style>
  <w:style w:type="paragraph" w:styleId="165">
    <w:name w:val="Intense Quote"/>
    <w:basedOn w:val="1"/>
    <w:next w:val="1"/>
    <w:link w:val="164"/>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6">
    <w:name w:val="批注主题 Char2"/>
    <w:autoRedefine/>
    <w:qFormat/>
    <w:uiPriority w:val="0"/>
    <w:rPr>
      <w:rFonts w:eastAsia="宋体"/>
      <w:b/>
      <w:bCs/>
      <w:kern w:val="2"/>
      <w:sz w:val="21"/>
      <w:szCs w:val="24"/>
      <w:lang w:val="en-US" w:eastAsia="zh-CN" w:bidi="ar-SA"/>
    </w:rPr>
  </w:style>
  <w:style w:type="character" w:customStyle="1" w:styleId="167">
    <w:name w:val="标题 5 Char1"/>
    <w:autoRedefine/>
    <w:semiHidden/>
    <w:qFormat/>
    <w:uiPriority w:val="0"/>
    <w:rPr>
      <w:rFonts w:ascii="Calibri" w:hAnsi="Calibri" w:eastAsia="宋体"/>
      <w:b/>
      <w:kern w:val="2"/>
      <w:sz w:val="28"/>
      <w:szCs w:val="28"/>
    </w:rPr>
  </w:style>
  <w:style w:type="character" w:customStyle="1" w:styleId="168">
    <w:name w:val="日期 Char1"/>
    <w:autoRedefine/>
    <w:qFormat/>
    <w:uiPriority w:val="0"/>
    <w:rPr>
      <w:rFonts w:eastAsia="宋体"/>
      <w:kern w:val="2"/>
      <w:sz w:val="21"/>
      <w:szCs w:val="24"/>
      <w:lang w:val="en-US" w:eastAsia="zh-CN" w:bidi="ar-SA"/>
    </w:rPr>
  </w:style>
  <w:style w:type="character" w:customStyle="1" w:styleId="169">
    <w:name w:val="标题 Char"/>
    <w:link w:val="60"/>
    <w:autoRedefine/>
    <w:qFormat/>
    <w:uiPriority w:val="0"/>
    <w:rPr>
      <w:rFonts w:ascii="Cambria" w:hAnsi="Cambria"/>
      <w:b/>
      <w:bCs/>
      <w:kern w:val="2"/>
      <w:sz w:val="32"/>
      <w:szCs w:val="32"/>
      <w:lang w:bidi="ar-SA"/>
    </w:rPr>
  </w:style>
  <w:style w:type="character" w:customStyle="1" w:styleId="170">
    <w:name w:val="脚注文本 Char"/>
    <w:link w:val="48"/>
    <w:autoRedefine/>
    <w:qFormat/>
    <w:uiPriority w:val="0"/>
    <w:rPr>
      <w:rFonts w:ascii="Calibri" w:hAnsi="Calibri"/>
      <w:bCs/>
      <w:sz w:val="18"/>
    </w:rPr>
  </w:style>
  <w:style w:type="character" w:customStyle="1" w:styleId="171">
    <w:name w:val="标题 1 Char"/>
    <w:link w:val="2"/>
    <w:autoRedefine/>
    <w:qFormat/>
    <w:uiPriority w:val="0"/>
    <w:rPr>
      <w:rFonts w:eastAsia="宋体"/>
      <w:b/>
      <w:bCs/>
      <w:kern w:val="44"/>
      <w:sz w:val="30"/>
      <w:szCs w:val="44"/>
      <w:lang w:val="en-US" w:eastAsia="zh-CN" w:bidi="ar-SA"/>
    </w:rPr>
  </w:style>
  <w:style w:type="character" w:customStyle="1" w:styleId="172">
    <w:name w:val="font11"/>
    <w:autoRedefine/>
    <w:qFormat/>
    <w:uiPriority w:val="0"/>
    <w:rPr>
      <w:rFonts w:hint="eastAsia" w:ascii="宋体" w:hAnsi="宋体" w:eastAsia="宋体" w:cs="宋体"/>
      <w:color w:val="000000"/>
      <w:sz w:val="24"/>
      <w:szCs w:val="24"/>
      <w:u w:val="none"/>
    </w:rPr>
  </w:style>
  <w:style w:type="character" w:customStyle="1" w:styleId="173">
    <w:name w:val="标题 5 Char"/>
    <w:link w:val="6"/>
    <w:autoRedefine/>
    <w:qFormat/>
    <w:uiPriority w:val="0"/>
    <w:rPr>
      <w:rFonts w:ascii="宋体" w:hAnsi="Arial" w:eastAsia="宋体"/>
      <w:bCs/>
      <w:kern w:val="2"/>
      <w:sz w:val="28"/>
      <w:lang w:val="en-US" w:eastAsia="zh-CN" w:bidi="ar-SA"/>
    </w:rPr>
  </w:style>
  <w:style w:type="character" w:customStyle="1" w:styleId="174">
    <w:name w:val="font21"/>
    <w:autoRedefine/>
    <w:qFormat/>
    <w:uiPriority w:val="0"/>
    <w:rPr>
      <w:rFonts w:hint="eastAsia" w:ascii="仿宋" w:hAnsi="仿宋" w:eastAsia="仿宋" w:cs="仿宋"/>
      <w:color w:val="000000"/>
      <w:sz w:val="24"/>
      <w:szCs w:val="24"/>
      <w:u w:val="none"/>
    </w:rPr>
  </w:style>
  <w:style w:type="character" w:customStyle="1" w:styleId="175">
    <w:name w:val="标题 7 Char"/>
    <w:link w:val="8"/>
    <w:autoRedefine/>
    <w:qFormat/>
    <w:uiPriority w:val="0"/>
    <w:rPr>
      <w:rFonts w:ascii="Arial" w:hAnsi="Arial" w:eastAsia="仿宋_GB2312" w:cs="Arial"/>
      <w:b/>
      <w:bCs/>
      <w:spacing w:val="-4"/>
      <w:kern w:val="2"/>
      <w:sz w:val="24"/>
      <w:szCs w:val="24"/>
      <w:lang w:val="en-US" w:eastAsia="zh-CN" w:bidi="ar-SA"/>
    </w:rPr>
  </w:style>
  <w:style w:type="character" w:customStyle="1" w:styleId="176">
    <w:name w:val="正文文本 Char"/>
    <w:link w:val="24"/>
    <w:autoRedefine/>
    <w:qFormat/>
    <w:uiPriority w:val="0"/>
    <w:rPr>
      <w:rFonts w:ascii="宋体" w:hAnsi="Arial" w:eastAsia="宋体"/>
      <w:kern w:val="2"/>
      <w:sz w:val="28"/>
      <w:lang w:val="en-US" w:eastAsia="zh-CN" w:bidi="ar-SA"/>
    </w:rPr>
  </w:style>
  <w:style w:type="character" w:customStyle="1" w:styleId="177">
    <w:name w:val="Char Char"/>
    <w:autoRedefine/>
    <w:qFormat/>
    <w:uiPriority w:val="0"/>
    <w:rPr>
      <w:rFonts w:ascii="宋体" w:hAnsi="Courier New" w:eastAsia="宋体" w:cs="Courier New"/>
      <w:kern w:val="2"/>
      <w:sz w:val="21"/>
      <w:szCs w:val="21"/>
      <w:lang w:val="en-US" w:eastAsia="zh-CN" w:bidi="ar-SA"/>
    </w:rPr>
  </w:style>
  <w:style w:type="character" w:customStyle="1" w:styleId="178">
    <w:name w:val="副标题 Char1"/>
    <w:autoRedefine/>
    <w:qFormat/>
    <w:uiPriority w:val="0"/>
    <w:rPr>
      <w:rFonts w:ascii="Cambria" w:hAnsi="Cambria" w:cs="Times New Roman"/>
      <w:b/>
      <w:bCs/>
      <w:kern w:val="28"/>
      <w:sz w:val="32"/>
      <w:szCs w:val="32"/>
    </w:rPr>
  </w:style>
  <w:style w:type="character" w:customStyle="1" w:styleId="179">
    <w:name w:val="正文文本缩进 2 Char"/>
    <w:link w:val="37"/>
    <w:autoRedefine/>
    <w:qFormat/>
    <w:uiPriority w:val="0"/>
    <w:rPr>
      <w:rFonts w:ascii="Arial" w:hAnsi="Arial" w:eastAsia="仿宋_GB2312"/>
      <w:sz w:val="32"/>
    </w:rPr>
  </w:style>
  <w:style w:type="character" w:customStyle="1" w:styleId="180">
    <w:name w:val="标题 3 Char1"/>
    <w:autoRedefine/>
    <w:semiHidden/>
    <w:qFormat/>
    <w:uiPriority w:val="0"/>
    <w:rPr>
      <w:rFonts w:ascii="Calibri" w:hAnsi="Calibri" w:eastAsia="宋体"/>
      <w:b/>
      <w:kern w:val="2"/>
      <w:sz w:val="32"/>
    </w:rPr>
  </w:style>
  <w:style w:type="character" w:customStyle="1" w:styleId="181">
    <w:name w:val="正文文本 Char_0"/>
    <w:link w:val="182"/>
    <w:autoRedefine/>
    <w:qFormat/>
    <w:uiPriority w:val="0"/>
    <w:rPr>
      <w:kern w:val="2"/>
      <w:sz w:val="21"/>
      <w:szCs w:val="24"/>
    </w:rPr>
  </w:style>
  <w:style w:type="paragraph" w:customStyle="1" w:styleId="182">
    <w:name w:val="正文文本_0"/>
    <w:basedOn w:val="94"/>
    <w:link w:val="181"/>
    <w:autoRedefine/>
    <w:qFormat/>
    <w:uiPriority w:val="0"/>
    <w:pPr>
      <w:spacing w:after="120"/>
    </w:pPr>
  </w:style>
  <w:style w:type="character" w:customStyle="1" w:styleId="183">
    <w:name w:val="批注主题 Char"/>
    <w:link w:val="61"/>
    <w:autoRedefine/>
    <w:qFormat/>
    <w:uiPriority w:val="0"/>
    <w:rPr>
      <w:rFonts w:ascii="宋体"/>
      <w:b/>
      <w:bCs/>
      <w:sz w:val="28"/>
      <w:lang w:bidi="ar-SA"/>
    </w:rPr>
  </w:style>
  <w:style w:type="character" w:customStyle="1" w:styleId="184">
    <w:name w:val="明显引用 Char2"/>
    <w:autoRedefine/>
    <w:qFormat/>
    <w:uiPriority w:val="30"/>
    <w:rPr>
      <w:b/>
      <w:bCs/>
      <w:i/>
      <w:iCs/>
      <w:color w:val="4F81BD"/>
      <w:kern w:val="2"/>
      <w:sz w:val="21"/>
      <w:szCs w:val="24"/>
    </w:rPr>
  </w:style>
  <w:style w:type="character" w:customStyle="1" w:styleId="185">
    <w:name w:val="页脚 Char"/>
    <w:link w:val="39"/>
    <w:autoRedefine/>
    <w:qFormat/>
    <w:uiPriority w:val="99"/>
    <w:rPr>
      <w:rFonts w:eastAsia="宋体"/>
      <w:kern w:val="2"/>
      <w:sz w:val="18"/>
      <w:lang w:val="en-US" w:eastAsia="zh-CN" w:bidi="ar-SA"/>
    </w:rPr>
  </w:style>
  <w:style w:type="character" w:customStyle="1" w:styleId="186">
    <w:name w:val="脚注文本 Char2"/>
    <w:autoRedefine/>
    <w:semiHidden/>
    <w:qFormat/>
    <w:uiPriority w:val="99"/>
    <w:rPr>
      <w:rFonts w:ascii="宋体"/>
      <w:sz w:val="18"/>
      <w:szCs w:val="18"/>
    </w:rPr>
  </w:style>
  <w:style w:type="paragraph" w:customStyle="1" w:styleId="187">
    <w:name w:val="Normal_0"/>
    <w:autoRedefine/>
    <w:qFormat/>
    <w:uiPriority w:val="0"/>
    <w:rPr>
      <w:rFonts w:ascii="Times New Roman" w:hAnsi="Times New Roman" w:eastAsia="宋体" w:cs="Times New Roman"/>
      <w:sz w:val="24"/>
      <w:szCs w:val="24"/>
      <w:lang w:val="en-US" w:eastAsia="zh-CN" w:bidi="ar-SA"/>
    </w:rPr>
  </w:style>
  <w:style w:type="paragraph" w:customStyle="1" w:styleId="188">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9">
    <w:name w:val="Char"/>
    <w:basedOn w:val="1"/>
    <w:autoRedefine/>
    <w:qFormat/>
    <w:uiPriority w:val="0"/>
    <w:rPr>
      <w:rFonts w:ascii="Tahoma" w:hAnsi="Tahoma"/>
    </w:rPr>
  </w:style>
  <w:style w:type="paragraph" w:customStyle="1" w:styleId="190">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91">
    <w:name w:val="样式 宋体 五号 行距: 单倍行距"/>
    <w:basedOn w:val="1"/>
    <w:autoRedefine/>
    <w:qFormat/>
    <w:uiPriority w:val="0"/>
    <w:pPr>
      <w:adjustRightInd w:val="0"/>
      <w:jc w:val="left"/>
      <w:textAlignment w:val="baseline"/>
    </w:pPr>
    <w:rPr>
      <w:rFonts w:hAnsi="宋体"/>
      <w:sz w:val="21"/>
    </w:rPr>
  </w:style>
  <w:style w:type="paragraph" w:customStyle="1" w:styleId="192">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3">
    <w:name w:val="列出段落2"/>
    <w:basedOn w:val="1"/>
    <w:autoRedefine/>
    <w:qFormat/>
    <w:uiPriority w:val="0"/>
    <w:pPr>
      <w:ind w:firstLine="420" w:firstLineChars="200"/>
    </w:pPr>
    <w:rPr>
      <w:rFonts w:ascii="Calibri" w:hAnsi="Calibri"/>
      <w:kern w:val="2"/>
      <w:sz w:val="21"/>
      <w:szCs w:val="22"/>
    </w:rPr>
  </w:style>
  <w:style w:type="paragraph" w:customStyle="1" w:styleId="194">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5">
    <w:name w:val="Char Char2 Char"/>
    <w:basedOn w:val="1"/>
    <w:autoRedefine/>
    <w:qFormat/>
    <w:uiPriority w:val="0"/>
    <w:rPr>
      <w:rFonts w:ascii="Tahoma" w:hAnsi="Tahoma"/>
      <w:kern w:val="2"/>
      <w:szCs w:val="24"/>
    </w:rPr>
  </w:style>
  <w:style w:type="paragraph" w:customStyle="1" w:styleId="196">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7">
    <w:name w:val="List Paragraph"/>
    <w:basedOn w:val="1"/>
    <w:autoRedefine/>
    <w:qFormat/>
    <w:uiPriority w:val="0"/>
    <w:pPr>
      <w:ind w:firstLine="420" w:firstLineChars="200"/>
    </w:pPr>
    <w:rPr>
      <w:rFonts w:ascii="Calibri" w:hAnsi="Calibri"/>
      <w:szCs w:val="22"/>
    </w:rPr>
  </w:style>
  <w:style w:type="paragraph" w:customStyle="1" w:styleId="198">
    <w:name w:val="_Style 4"/>
    <w:basedOn w:val="1"/>
    <w:autoRedefine/>
    <w:qFormat/>
    <w:uiPriority w:val="0"/>
    <w:rPr>
      <w:rFonts w:ascii="Times New Roman"/>
      <w:kern w:val="2"/>
      <w:sz w:val="21"/>
      <w:szCs w:val="24"/>
    </w:rPr>
  </w:style>
  <w:style w:type="paragraph" w:customStyle="1" w:styleId="19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0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201">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2">
    <w:name w:val="_Style 8"/>
    <w:basedOn w:val="1"/>
    <w:autoRedefine/>
    <w:qFormat/>
    <w:uiPriority w:val="0"/>
  </w:style>
  <w:style w:type="paragraph" w:customStyle="1" w:styleId="203">
    <w:name w:val="样式 标题 2 + Times New Roman 四号 非加粗 段前: 5 磅 段后: 0 磅 行距: 固定值 20..."/>
    <w:basedOn w:val="3"/>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4">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6">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8">
    <w:name w:val="p0"/>
    <w:basedOn w:val="1"/>
    <w:autoRedefine/>
    <w:qFormat/>
    <w:uiPriority w:val="0"/>
    <w:pPr>
      <w:widowControl/>
    </w:pPr>
    <w:rPr>
      <w:rFonts w:ascii="Times New Roman"/>
      <w:sz w:val="21"/>
      <w:szCs w:val="21"/>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10">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1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2">
    <w:name w:val="Char10 Char Char Char Char Char Char Char Char Char"/>
    <w:basedOn w:val="1"/>
    <w:next w:val="1"/>
    <w:autoRedefine/>
    <w:qFormat/>
    <w:uiPriority w:val="0"/>
    <w:rPr>
      <w:rFonts w:ascii="Calibri" w:hAnsi="Calibri"/>
      <w:kern w:val="2"/>
      <w:sz w:val="21"/>
      <w:szCs w:val="22"/>
    </w:rPr>
  </w:style>
  <w:style w:type="paragraph" w:customStyle="1" w:styleId="213">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4">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5">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7">
    <w:name w:val="普通(网站)_0"/>
    <w:basedOn w:val="94"/>
    <w:autoRedefine/>
    <w:qFormat/>
    <w:uiPriority w:val="0"/>
    <w:pPr>
      <w:widowControl/>
      <w:spacing w:before="100" w:beforeAutospacing="1" w:after="100" w:afterAutospacing="1"/>
      <w:jc w:val="left"/>
    </w:pPr>
    <w:rPr>
      <w:rFonts w:ascii="宋体" w:hAnsi="宋体"/>
      <w:kern w:val="0"/>
      <w:sz w:val="24"/>
    </w:rPr>
  </w:style>
  <w:style w:type="paragraph" w:customStyle="1" w:styleId="218">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20">
    <w:name w:val="D&amp;L"/>
    <w:basedOn w:val="40"/>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2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2">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3">
    <w:name w:val="简单回函地址"/>
    <w:basedOn w:val="1"/>
    <w:autoRedefine/>
    <w:qFormat/>
    <w:uiPriority w:val="0"/>
    <w:rPr>
      <w:rFonts w:ascii="Calibri" w:hAnsi="Calibri"/>
      <w:kern w:val="2"/>
      <w:sz w:val="21"/>
      <w:szCs w:val="22"/>
    </w:rPr>
  </w:style>
  <w:style w:type="paragraph" w:customStyle="1" w:styleId="224">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5">
    <w:name w:val="Char Char Char Char Char Char Char1 Char"/>
    <w:basedOn w:val="1"/>
    <w:autoRedefine/>
    <w:qFormat/>
    <w:uiPriority w:val="0"/>
    <w:rPr>
      <w:rFonts w:ascii="Tahoma" w:hAnsi="Tahoma"/>
    </w:rPr>
  </w:style>
  <w:style w:type="paragraph" w:customStyle="1" w:styleId="2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7">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8">
    <w:name w:val="Default Paragraph Char Char Char Char"/>
    <w:basedOn w:val="1"/>
    <w:next w:val="1"/>
    <w:autoRedefine/>
    <w:qFormat/>
    <w:uiPriority w:val="0"/>
    <w:pPr>
      <w:widowControl/>
      <w:spacing w:line="360" w:lineRule="auto"/>
      <w:jc w:val="left"/>
    </w:pPr>
    <w:rPr>
      <w:lang w:eastAsia="en-US"/>
    </w:rPr>
  </w:style>
  <w:style w:type="paragraph" w:customStyle="1" w:styleId="229">
    <w:name w:val="Char Char Char Char Char Char"/>
    <w:basedOn w:val="1"/>
    <w:autoRedefine/>
    <w:qFormat/>
    <w:uiPriority w:val="0"/>
    <w:rPr>
      <w:rFonts w:ascii="Tahoma" w:hAnsi="Tahoma"/>
      <w:kern w:val="2"/>
    </w:rPr>
  </w:style>
  <w:style w:type="paragraph" w:customStyle="1" w:styleId="2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3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2">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3">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4">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5">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6">
    <w:name w:val="TOC 标题1"/>
    <w:basedOn w:val="2"/>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7">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8">
    <w:name w:val="Char Char Char Char Char"/>
    <w:basedOn w:val="1"/>
    <w:autoRedefine/>
    <w:qFormat/>
    <w:uiPriority w:val="0"/>
    <w:rPr>
      <w:rFonts w:ascii="Tahoma" w:hAnsi="Tahoma"/>
      <w:kern w:val="2"/>
    </w:rPr>
  </w:style>
  <w:style w:type="paragraph" w:customStyle="1" w:styleId="239">
    <w:name w:val="二级标题"/>
    <w:basedOn w:val="1"/>
    <w:next w:val="240"/>
    <w:autoRedefine/>
    <w:qFormat/>
    <w:uiPriority w:val="0"/>
    <w:pPr>
      <w:tabs>
        <w:tab w:val="left" w:pos="992"/>
      </w:tabs>
      <w:ind w:left="992" w:hanging="567"/>
      <w:outlineLvl w:val="1"/>
    </w:pPr>
    <w:rPr>
      <w:rFonts w:ascii="黑体" w:eastAsia="黑体"/>
      <w:sz w:val="28"/>
      <w:szCs w:val="24"/>
    </w:rPr>
  </w:style>
  <w:style w:type="paragraph" w:customStyle="1" w:styleId="240">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41">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4">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5">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7">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8">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9">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50">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51">
    <w:name w:val="Char Char Char Char Char Char1"/>
    <w:basedOn w:val="1"/>
    <w:autoRedefine/>
    <w:qFormat/>
    <w:uiPriority w:val="0"/>
    <w:rPr>
      <w:rFonts w:ascii="Tahoma" w:hAnsi="Tahoma"/>
      <w:kern w:val="2"/>
    </w:rPr>
  </w:style>
  <w:style w:type="paragraph" w:customStyle="1" w:styleId="252">
    <w:name w:val="样式 标题 3 + (中文) 黑体 小四 非加粗 段前: 7.8 磅 段后: 0 磅 行距: 固定值 20 磅"/>
    <w:basedOn w:val="4"/>
    <w:autoRedefine/>
    <w:qFormat/>
    <w:uiPriority w:val="0"/>
    <w:pPr>
      <w:spacing w:line="400" w:lineRule="exact"/>
      <w:jc w:val="both"/>
    </w:pPr>
    <w:rPr>
      <w:rFonts w:ascii="Calibri" w:hAnsi="Calibri" w:eastAsia="黑体" w:cs="宋体"/>
      <w:b w:val="0"/>
      <w:bCs w:val="0"/>
      <w:szCs w:val="20"/>
    </w:rPr>
  </w:style>
  <w:style w:type="paragraph" w:customStyle="1" w:styleId="25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4">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5">
    <w:name w:val="段落1 Char"/>
    <w:basedOn w:val="33"/>
    <w:autoRedefine/>
    <w:qFormat/>
    <w:uiPriority w:val="0"/>
    <w:pPr>
      <w:spacing w:line="360" w:lineRule="auto"/>
    </w:pPr>
    <w:rPr>
      <w:rFonts w:ascii="Times New Roman" w:hAnsi="Times New Roman" w:cs="Courier New"/>
      <w:sz w:val="24"/>
      <w:szCs w:val="21"/>
    </w:rPr>
  </w:style>
  <w:style w:type="paragraph" w:customStyle="1" w:styleId="25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7">
    <w:name w:val="Char1"/>
    <w:basedOn w:val="1"/>
    <w:next w:val="1"/>
    <w:autoRedefine/>
    <w:qFormat/>
    <w:uiPriority w:val="0"/>
    <w:pPr>
      <w:widowControl/>
      <w:spacing w:line="360" w:lineRule="auto"/>
      <w:jc w:val="left"/>
    </w:pPr>
    <w:rPr>
      <w:lang w:eastAsia="en-US"/>
    </w:rPr>
  </w:style>
  <w:style w:type="paragraph" w:customStyle="1" w:styleId="258">
    <w:name w:val="MsoNormal"/>
    <w:basedOn w:val="187"/>
    <w:autoRedefine/>
    <w:qFormat/>
    <w:uiPriority w:val="0"/>
    <w:rPr>
      <w:rFonts w:ascii="Calibri" w:hAnsi="Calibri" w:eastAsia="Calibri"/>
      <w:sz w:val="21"/>
    </w:rPr>
  </w:style>
  <w:style w:type="paragraph" w:customStyle="1" w:styleId="259">
    <w:name w:val="Table Paragraph"/>
    <w:basedOn w:val="1"/>
    <w:autoRedefine/>
    <w:qFormat/>
    <w:uiPriority w:val="1"/>
    <w:pPr>
      <w:jc w:val="left"/>
    </w:pPr>
    <w:rPr>
      <w:rFonts w:ascii="Calibri" w:hAnsi="Calibri"/>
      <w:sz w:val="22"/>
      <w:lang w:eastAsia="en-US"/>
    </w:rPr>
  </w:style>
  <w:style w:type="paragraph" w:customStyle="1" w:styleId="260">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61">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3">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4">
    <w:name w:val="基本文字 Char"/>
    <w:basedOn w:val="1"/>
    <w:autoRedefine/>
    <w:qFormat/>
    <w:uiPriority w:val="0"/>
    <w:pPr>
      <w:spacing w:before="156" w:line="400" w:lineRule="atLeast"/>
      <w:ind w:firstLine="540" w:firstLineChars="225"/>
    </w:pPr>
  </w:style>
  <w:style w:type="paragraph" w:customStyle="1" w:styleId="26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6">
    <w:name w:val="目录文字"/>
    <w:basedOn w:val="1"/>
    <w:autoRedefine/>
    <w:qFormat/>
    <w:uiPriority w:val="0"/>
    <w:pPr>
      <w:widowControl/>
      <w:spacing w:line="480" w:lineRule="auto"/>
      <w:jc w:val="left"/>
    </w:pPr>
    <w:rPr>
      <w:rFonts w:hAnsi="宋体"/>
    </w:rPr>
  </w:style>
  <w:style w:type="paragraph" w:customStyle="1" w:styleId="267">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8">
    <w:name w:val="一级标题"/>
    <w:basedOn w:val="1"/>
    <w:next w:val="239"/>
    <w:autoRedefine/>
    <w:qFormat/>
    <w:uiPriority w:val="0"/>
    <w:pPr>
      <w:tabs>
        <w:tab w:val="left" w:pos="425"/>
      </w:tabs>
      <w:spacing w:afterLines="100"/>
      <w:ind w:left="850" w:hanging="425"/>
      <w:outlineLvl w:val="0"/>
    </w:pPr>
    <w:rPr>
      <w:rFonts w:ascii="黑体" w:eastAsia="黑体"/>
      <w:sz w:val="30"/>
      <w:szCs w:val="28"/>
    </w:rPr>
  </w:style>
  <w:style w:type="paragraph" w:customStyle="1" w:styleId="26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0">
    <w:name w:val="Char Char Char Char Char1"/>
    <w:basedOn w:val="1"/>
    <w:autoRedefine/>
    <w:qFormat/>
    <w:uiPriority w:val="0"/>
    <w:rPr>
      <w:rFonts w:ascii="Tahoma" w:hAnsi="Tahoma"/>
    </w:rPr>
  </w:style>
  <w:style w:type="paragraph" w:customStyle="1" w:styleId="27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2">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3">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4">
    <w:name w:val="样式1"/>
    <w:basedOn w:val="1"/>
    <w:autoRedefine/>
    <w:qFormat/>
    <w:uiPriority w:val="0"/>
    <w:pPr>
      <w:tabs>
        <w:tab w:val="left" w:pos="709"/>
      </w:tabs>
      <w:adjustRightInd w:val="0"/>
      <w:ind w:left="709" w:hanging="709"/>
      <w:textAlignment w:val="baseline"/>
    </w:pPr>
    <w:rPr>
      <w:rFonts w:hAnsi="宋体"/>
    </w:rPr>
  </w:style>
  <w:style w:type="paragraph" w:customStyle="1" w:styleId="27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6">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7">
    <w:name w:val="Char10 Char Char Char Char Char Char Char Char Char1"/>
    <w:basedOn w:val="1"/>
    <w:next w:val="1"/>
    <w:autoRedefine/>
    <w:qFormat/>
    <w:uiPriority w:val="0"/>
    <w:rPr>
      <w:rFonts w:ascii="Calibri" w:hAnsi="Calibri"/>
      <w:kern w:val="2"/>
      <w:sz w:val="21"/>
      <w:szCs w:val="22"/>
    </w:rPr>
  </w:style>
  <w:style w:type="paragraph" w:customStyle="1" w:styleId="27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9">
    <w:name w:val="目录"/>
    <w:basedOn w:val="1"/>
    <w:autoRedefine/>
    <w:qFormat/>
    <w:uiPriority w:val="0"/>
    <w:pPr>
      <w:widowControl/>
      <w:jc w:val="center"/>
    </w:pPr>
    <w:rPr>
      <w:b/>
      <w:sz w:val="36"/>
    </w:rPr>
  </w:style>
  <w:style w:type="paragraph" w:customStyle="1" w:styleId="280">
    <w:name w:val="SUR-需求定义-第4级"/>
    <w:basedOn w:val="5"/>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81">
    <w:name w:val="日期 字符"/>
    <w:autoRedefine/>
    <w:qFormat/>
    <w:locked/>
    <w:uiPriority w:val="0"/>
    <w:rPr>
      <w:rFonts w:eastAsia="宋体"/>
      <w:b/>
      <w:kern w:val="2"/>
      <w:sz w:val="28"/>
      <w:lang w:val="en-US" w:eastAsia="zh-CN" w:bidi="ar-SA"/>
    </w:rPr>
  </w:style>
  <w:style w:type="character" w:customStyle="1" w:styleId="282">
    <w:name w:val="页眉 字符"/>
    <w:autoRedefine/>
    <w:qFormat/>
    <w:uiPriority w:val="0"/>
    <w:rPr>
      <w:kern w:val="2"/>
      <w:sz w:val="18"/>
      <w:szCs w:val="18"/>
    </w:rPr>
  </w:style>
  <w:style w:type="character" w:customStyle="1" w:styleId="283">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4">
    <w:name w:val="样式 标题 2 + 宋体 五号 行距: 单倍行距"/>
    <w:basedOn w:val="3"/>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5">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6">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8">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9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3">
    <w:name w:val="pagechatarealistclose_box"/>
    <w:basedOn w:val="66"/>
    <w:autoRedefine/>
    <w:qFormat/>
    <w:uiPriority w:val="0"/>
  </w:style>
  <w:style w:type="character" w:customStyle="1" w:styleId="294">
    <w:name w:val="pagechatarealistclose_box1"/>
    <w:basedOn w:val="66"/>
    <w:autoRedefine/>
    <w:qFormat/>
    <w:uiPriority w:val="0"/>
  </w:style>
  <w:style w:type="character" w:customStyle="1" w:styleId="295">
    <w:name w:val="active7"/>
    <w:basedOn w:val="66"/>
    <w:autoRedefine/>
    <w:qFormat/>
    <w:uiPriority w:val="0"/>
    <w:rPr>
      <w:color w:val="00FF00"/>
      <w:shd w:val="clear" w:fill="111111"/>
    </w:rPr>
  </w:style>
  <w:style w:type="character" w:customStyle="1" w:styleId="296">
    <w:name w:val="drapbtn"/>
    <w:basedOn w:val="66"/>
    <w:autoRedefine/>
    <w:qFormat/>
    <w:uiPriority w:val="0"/>
  </w:style>
  <w:style w:type="character" w:customStyle="1" w:styleId="297">
    <w:name w:val="after"/>
    <w:basedOn w:val="66"/>
    <w:autoRedefine/>
    <w:qFormat/>
    <w:uiPriority w:val="0"/>
    <w:rPr>
      <w:sz w:val="0"/>
      <w:szCs w:val="0"/>
    </w:rPr>
  </w:style>
  <w:style w:type="character" w:customStyle="1" w:styleId="298">
    <w:name w:val="cdropleft"/>
    <w:basedOn w:val="66"/>
    <w:autoRedefine/>
    <w:qFormat/>
    <w:uiPriority w:val="0"/>
  </w:style>
  <w:style w:type="character" w:customStyle="1" w:styleId="299">
    <w:name w:val="cdropright"/>
    <w:basedOn w:val="66"/>
    <w:autoRedefine/>
    <w:qFormat/>
    <w:uiPriority w:val="0"/>
  </w:style>
  <w:style w:type="character" w:customStyle="1" w:styleId="300">
    <w:name w:val="hilite4"/>
    <w:basedOn w:val="66"/>
    <w:autoRedefine/>
    <w:qFormat/>
    <w:uiPriority w:val="0"/>
    <w:rPr>
      <w:color w:val="FFFFFF"/>
      <w:shd w:val="clear" w:fill="666666"/>
    </w:rPr>
  </w:style>
  <w:style w:type="character" w:customStyle="1" w:styleId="301">
    <w:name w:val="cy"/>
    <w:basedOn w:val="66"/>
    <w:autoRedefine/>
    <w:qFormat/>
    <w:uiPriority w:val="0"/>
  </w:style>
  <w:style w:type="character" w:customStyle="1" w:styleId="302">
    <w:name w:val="associateddata"/>
    <w:basedOn w:val="66"/>
    <w:autoRedefine/>
    <w:qFormat/>
    <w:uiPriority w:val="0"/>
    <w:rPr>
      <w:shd w:val="clear" w:fill="50A6F9"/>
    </w:rPr>
  </w:style>
  <w:style w:type="character" w:customStyle="1" w:styleId="303">
    <w:name w:val="iconline2"/>
    <w:basedOn w:val="66"/>
    <w:autoRedefine/>
    <w:qFormat/>
    <w:uiPriority w:val="0"/>
  </w:style>
  <w:style w:type="character" w:customStyle="1" w:styleId="304">
    <w:name w:val="iconline21"/>
    <w:basedOn w:val="66"/>
    <w:autoRedefine/>
    <w:qFormat/>
    <w:uiPriority w:val="0"/>
  </w:style>
  <w:style w:type="character" w:customStyle="1" w:styleId="305">
    <w:name w:val="icontext3"/>
    <w:basedOn w:val="66"/>
    <w:autoRedefine/>
    <w:qFormat/>
    <w:uiPriority w:val="0"/>
  </w:style>
  <w:style w:type="character" w:customStyle="1" w:styleId="306">
    <w:name w:val="choosename"/>
    <w:basedOn w:val="66"/>
    <w:autoRedefine/>
    <w:qFormat/>
    <w:uiPriority w:val="0"/>
  </w:style>
  <w:style w:type="character" w:customStyle="1" w:styleId="307">
    <w:name w:val="icontext2"/>
    <w:basedOn w:val="66"/>
    <w:autoRedefine/>
    <w:qFormat/>
    <w:uiPriority w:val="0"/>
  </w:style>
  <w:style w:type="character" w:customStyle="1" w:styleId="308">
    <w:name w:val="edit_class"/>
    <w:basedOn w:val="66"/>
    <w:autoRedefine/>
    <w:qFormat/>
    <w:uiPriority w:val="0"/>
  </w:style>
  <w:style w:type="character" w:customStyle="1" w:styleId="309">
    <w:name w:val="icontext1"/>
    <w:basedOn w:val="66"/>
    <w:autoRedefine/>
    <w:qFormat/>
    <w:uiPriority w:val="0"/>
  </w:style>
  <w:style w:type="character" w:customStyle="1" w:styleId="310">
    <w:name w:val="icontext11"/>
    <w:basedOn w:val="66"/>
    <w:autoRedefine/>
    <w:qFormat/>
    <w:uiPriority w:val="0"/>
  </w:style>
  <w:style w:type="character" w:customStyle="1" w:styleId="311">
    <w:name w:val="icontext12"/>
    <w:basedOn w:val="66"/>
    <w:autoRedefine/>
    <w:qFormat/>
    <w:uiPriority w:val="0"/>
  </w:style>
  <w:style w:type="character" w:customStyle="1" w:styleId="312">
    <w:name w:val="hover41"/>
    <w:basedOn w:val="66"/>
    <w:autoRedefine/>
    <w:qFormat/>
    <w:uiPriority w:val="0"/>
    <w:rPr>
      <w:color w:val="FFFFFF"/>
    </w:rPr>
  </w:style>
  <w:style w:type="character" w:customStyle="1" w:styleId="313">
    <w:name w:val="layui-layer-tabnow"/>
    <w:basedOn w:val="66"/>
    <w:autoRedefine/>
    <w:qFormat/>
    <w:uiPriority w:val="0"/>
    <w:rPr>
      <w:bdr w:val="single" w:color="CCCCCC" w:sz="6" w:space="0"/>
      <w:shd w:val="clear" w:fill="FFFFFF"/>
    </w:rPr>
  </w:style>
  <w:style w:type="character" w:customStyle="1" w:styleId="314">
    <w:name w:val="first-child"/>
    <w:basedOn w:val="66"/>
    <w:autoRedefine/>
    <w:qFormat/>
    <w:uiPriority w:val="0"/>
  </w:style>
  <w:style w:type="character" w:customStyle="1" w:styleId="315">
    <w:name w:val="ico1654"/>
    <w:basedOn w:val="66"/>
    <w:autoRedefine/>
    <w:qFormat/>
    <w:uiPriority w:val="0"/>
  </w:style>
  <w:style w:type="character" w:customStyle="1" w:styleId="316">
    <w:name w:val="ico1655"/>
    <w:basedOn w:val="66"/>
    <w:autoRedefine/>
    <w:qFormat/>
    <w:uiPriority w:val="0"/>
  </w:style>
  <w:style w:type="character" w:customStyle="1" w:styleId="317">
    <w:name w:val="browse_class&gt;span"/>
    <w:basedOn w:val="66"/>
    <w:autoRedefine/>
    <w:qFormat/>
    <w:uiPriority w:val="0"/>
  </w:style>
  <w:style w:type="character" w:customStyle="1" w:styleId="318">
    <w:name w:val="w32"/>
    <w:basedOn w:val="66"/>
    <w:autoRedefine/>
    <w:qFormat/>
    <w:uiPriority w:val="0"/>
  </w:style>
  <w:style w:type="character" w:customStyle="1" w:styleId="319">
    <w:name w:val="tmpztreemove_arrow"/>
    <w:basedOn w:val="66"/>
    <w:autoRedefine/>
    <w:qFormat/>
    <w:uiPriority w:val="0"/>
  </w:style>
  <w:style w:type="character" w:customStyle="1" w:styleId="320">
    <w:name w:val="button4"/>
    <w:basedOn w:val="66"/>
    <w:autoRedefine/>
    <w:qFormat/>
    <w:uiPriority w:val="0"/>
  </w:style>
  <w:style w:type="character" w:customStyle="1" w:styleId="321">
    <w:name w:val="biggerthanmax"/>
    <w:basedOn w:val="66"/>
    <w:autoRedefine/>
    <w:qFormat/>
    <w:uiPriority w:val="0"/>
    <w:rPr>
      <w:shd w:val="clear" w:fill="FFFF00"/>
    </w:rPr>
  </w:style>
  <w:style w:type="character" w:customStyle="1" w:styleId="322">
    <w:name w:val="xdrichtextbox2"/>
    <w:basedOn w:val="66"/>
    <w:autoRedefine/>
    <w:qFormat/>
    <w:uiPriority w:val="0"/>
  </w:style>
  <w:style w:type="character" w:customStyle="1" w:styleId="323">
    <w:name w:val="design_class"/>
    <w:basedOn w:val="66"/>
    <w:autoRedefine/>
    <w:qFormat/>
    <w:uiPriority w:val="0"/>
  </w:style>
  <w:style w:type="character" w:customStyle="1" w:styleId="324">
    <w:name w:val="hilite"/>
    <w:basedOn w:val="66"/>
    <w:autoRedefine/>
    <w:qFormat/>
    <w:uiPriority w:val="0"/>
    <w:rPr>
      <w:color w:val="FFFFFF"/>
      <w:shd w:val="clear" w:fill="666666"/>
    </w:rPr>
  </w:style>
  <w:style w:type="character" w:customStyle="1" w:styleId="325">
    <w:name w:val="active5"/>
    <w:basedOn w:val="66"/>
    <w:autoRedefine/>
    <w:qFormat/>
    <w:uiPriority w:val="0"/>
    <w:rPr>
      <w:color w:val="00FF00"/>
      <w:shd w:val="clear" w:fill="111111"/>
    </w:rPr>
  </w:style>
  <w:style w:type="character" w:customStyle="1" w:styleId="326">
    <w:name w:val="xdrichtextbox"/>
    <w:basedOn w:val="66"/>
    <w:autoRedefine/>
    <w:qFormat/>
    <w:uiPriority w:val="0"/>
    <w:rPr>
      <w:color w:val="auto"/>
      <w:sz w:val="18"/>
      <w:szCs w:val="18"/>
      <w:u w:val="none"/>
      <w:bdr w:val="single" w:color="DCDCDC" w:sz="8" w:space="0"/>
      <w:shd w:val="clear" w:fill="auto"/>
    </w:rPr>
  </w:style>
  <w:style w:type="character" w:customStyle="1" w:styleId="327">
    <w:name w:val="button"/>
    <w:basedOn w:val="66"/>
    <w:autoRedefine/>
    <w:qFormat/>
    <w:uiPriority w:val="0"/>
  </w:style>
  <w:style w:type="character" w:customStyle="1" w:styleId="328">
    <w:name w:val="active1"/>
    <w:basedOn w:val="66"/>
    <w:autoRedefine/>
    <w:qFormat/>
    <w:uiPriority w:val="0"/>
    <w:rPr>
      <w:color w:val="00FF00"/>
      <w:shd w:val="clear" w:fill="111111"/>
    </w:rPr>
  </w:style>
  <w:style w:type="character" w:customStyle="1" w:styleId="329">
    <w:name w:val="hilite5"/>
    <w:basedOn w:val="66"/>
    <w:autoRedefine/>
    <w:qFormat/>
    <w:uiPriority w:val="0"/>
    <w:rPr>
      <w:color w:val="FFFFFF"/>
      <w:shd w:val="clear" w:fill="666666"/>
    </w:rPr>
  </w:style>
  <w:style w:type="character" w:customStyle="1" w:styleId="330">
    <w:name w:val="font51"/>
    <w:basedOn w:val="66"/>
    <w:autoRedefine/>
    <w:qFormat/>
    <w:uiPriority w:val="0"/>
    <w:rPr>
      <w:rFonts w:hint="eastAsia" w:ascii="宋体" w:hAnsi="宋体" w:eastAsia="宋体" w:cs="宋体"/>
      <w:color w:val="000000"/>
      <w:sz w:val="22"/>
      <w:szCs w:val="22"/>
      <w:u w:val="none"/>
      <w:vertAlign w:val="superscript"/>
    </w:rPr>
  </w:style>
  <w:style w:type="paragraph" w:customStyle="1" w:styleId="331">
    <w:name w:val="Table Text"/>
    <w:basedOn w:val="1"/>
    <w:autoRedefine/>
    <w:semiHidden/>
    <w:qFormat/>
    <w:uiPriority w:val="0"/>
    <w:rPr>
      <w:rFonts w:ascii="宋体" w:hAnsi="宋体" w:eastAsia="宋体" w:cs="宋体"/>
      <w:sz w:val="24"/>
      <w:szCs w:val="24"/>
      <w:lang w:val="en-US" w:eastAsia="en-US" w:bidi="ar-SA"/>
    </w:rPr>
  </w:style>
  <w:style w:type="table" w:customStyle="1" w:styleId="33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4239E-7862-4AF7-97DB-1342D917D66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22137</Words>
  <Characters>23316</Characters>
  <Lines>163</Lines>
  <Paragraphs>46</Paragraphs>
  <TotalTime>0</TotalTime>
  <ScaleCrop>false</ScaleCrop>
  <LinksUpToDate>false</LinksUpToDate>
  <CharactersWithSpaces>24267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2021-12-16T03:54:00Z</dcterms:created>
  <dc:creator>省直科</dc:creator>
  <cp:lastModifiedBy>张静</cp:lastModifiedBy>
  <cp:lastPrinted>2024-03-18T07:34:00Z</cp:lastPrinted>
  <dcterms:modified xsi:type="dcterms:W3CDTF">2024-06-12T02:32:14Z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743E962951C54697B08D8220CDBFE2AA</vt:lpwstr>
  </property>
</Properties>
</file>