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2024年合经区公用公司市政中心小货车采购（二次）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GYGSZB-2024022</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7</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33241375"/>
      <w:bookmarkEnd w:id="0"/>
      <w:bookmarkStart w:id="1" w:name="_Hlt526418134"/>
      <w:bookmarkEnd w:id="1"/>
      <w:bookmarkStart w:id="2" w:name="_Hlt519045295"/>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2024年合经区公用公司市政中心小货车采购（二次）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GYGSZB-2024022</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2024年合经区公用公司市政中心小货车采购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5、项目概况：为进一步降本增效，满足市政管养需要</w:t>
      </w:r>
      <w:r>
        <w:rPr>
          <w:rFonts w:hint="eastAsia" w:hAnsi="宋体"/>
          <w:color w:val="000000"/>
          <w:szCs w:val="18"/>
          <w:highlight w:val="none"/>
          <w:lang w:eastAsia="zh-CN"/>
        </w:rPr>
        <w:t>，</w:t>
      </w:r>
      <w:r>
        <w:rPr>
          <w:rFonts w:hint="eastAsia" w:hAnsi="宋体"/>
          <w:color w:val="000000"/>
          <w:szCs w:val="18"/>
          <w:highlight w:val="none"/>
          <w:lang w:val="en-US" w:eastAsia="zh-CN"/>
        </w:rPr>
        <w:t>拟</w:t>
      </w:r>
      <w:r>
        <w:rPr>
          <w:rFonts w:hint="eastAsia" w:hAnsi="宋体"/>
          <w:color w:val="000000"/>
          <w:szCs w:val="18"/>
          <w:highlight w:val="none"/>
        </w:rPr>
        <w:t>购置作业货车1台，货车主要用于日常道路养护作业运输物资及灌缝设备使用</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szCs w:val="18"/>
          <w:highlight w:val="none"/>
          <w:lang w:val="en-US" w:eastAsia="zh-CN"/>
        </w:rPr>
        <w:t>80000</w:t>
      </w:r>
      <w:r>
        <w:rPr>
          <w:rFonts w:hint="eastAsia" w:ascii="宋体" w:hAnsi="宋体" w:eastAsia="宋体" w:cs="Times New Roman"/>
          <w:sz w:val="24"/>
          <w:szCs w:val="24"/>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货物</w:t>
      </w:r>
      <w:r>
        <w:rPr>
          <w:rFonts w:hint="eastAsia" w:hAnsi="宋体"/>
          <w:color w:val="000000"/>
          <w:szCs w:val="18"/>
          <w:highlight w:val="none"/>
        </w:rPr>
        <w:t>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000000"/>
          <w:sz w:val="24"/>
          <w:szCs w:val="18"/>
          <w:highlight w:val="none"/>
          <w:lang w:val="en-US" w:eastAsia="zh-CN" w:bidi="ar-SA"/>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p>
      <w:pPr>
        <w:numPr>
          <w:ilvl w:val="0"/>
          <w:numId w:val="0"/>
        </w:num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7  </w:t>
      </w:r>
      <w:r>
        <w:rPr>
          <w:rFonts w:hint="eastAsia" w:hAnsi="宋体"/>
          <w:color w:val="auto"/>
          <w:szCs w:val="18"/>
          <w:highlight w:val="none"/>
        </w:rPr>
        <w:t>月</w:t>
      </w:r>
      <w:r>
        <w:rPr>
          <w:rFonts w:hint="eastAsia" w:hAnsi="宋体"/>
          <w:color w:val="auto"/>
          <w:szCs w:val="18"/>
          <w:highlight w:val="none"/>
          <w:lang w:val="en-US" w:eastAsia="zh-CN"/>
        </w:rPr>
        <w:t xml:space="preserve"> 29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jc w:val="left"/>
        <w:rPr>
          <w:rFonts w:hint="default" w:hAnsi="宋体" w:eastAsia="宋体" w:cs="宋体"/>
          <w:highlight w:val="none"/>
          <w:lang w:val="en-US" w:eastAsia="zh-CN"/>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r>
        <w:rPr>
          <w:rFonts w:hint="eastAsia" w:hAnsi="宋体" w:cs="宋体"/>
          <w:highlight w:val="none"/>
          <w:lang w:val="en-US" w:eastAsia="zh-CN"/>
        </w:rPr>
        <w:t xml:space="preserve"> </w:t>
      </w:r>
      <w:r>
        <w:rPr>
          <w:rFonts w:hint="eastAsia" w:hAnsi="宋体" w:cs="宋体"/>
          <w:highlight w:val="none"/>
        </w:rPr>
        <w:t>现场勘查联系人：</w:t>
      </w:r>
      <w:r>
        <w:rPr>
          <w:rFonts w:hint="eastAsia" w:ascii="宋体" w:hAnsi="宋体" w:eastAsia="宋体" w:cs="Times New Roman"/>
          <w:sz w:val="24"/>
          <w:szCs w:val="24"/>
          <w:highlight w:val="none"/>
          <w:u w:val="none"/>
          <w:lang w:val="en-US" w:eastAsia="zh-CN"/>
        </w:rPr>
        <w:t>刘工  电话： 13956967620</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8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785" w:type="dxa"/>
            <w:vAlign w:val="center"/>
          </w:tcPr>
          <w:p>
            <w:pPr>
              <w:jc w:val="center"/>
              <w:rPr>
                <w:rFonts w:hAnsi="宋体"/>
                <w:b/>
                <w:color w:val="000000"/>
                <w:highlight w:val="none"/>
              </w:rPr>
            </w:pPr>
            <w:r>
              <w:rPr>
                <w:rFonts w:hint="eastAsia" w:hAnsi="宋体"/>
                <w:b/>
                <w:color w:val="000000"/>
                <w:highlight w:val="none"/>
              </w:rPr>
              <w:t>内容</w:t>
            </w:r>
          </w:p>
        </w:tc>
        <w:tc>
          <w:tcPr>
            <w:tcW w:w="7025" w:type="dxa"/>
            <w:vAlign w:val="center"/>
          </w:tcPr>
          <w:p>
            <w:pPr>
              <w:pStyle w:val="2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1</w:t>
            </w:r>
          </w:p>
        </w:tc>
        <w:tc>
          <w:tcPr>
            <w:tcW w:w="1785" w:type="dxa"/>
            <w:vAlign w:val="center"/>
          </w:tcPr>
          <w:p>
            <w:pPr>
              <w:jc w:val="center"/>
              <w:rPr>
                <w:rFonts w:hAnsi="宋体"/>
                <w:bCs/>
                <w:color w:val="000000"/>
                <w:highlight w:val="none"/>
              </w:rPr>
            </w:pPr>
            <w:r>
              <w:rPr>
                <w:rFonts w:hint="eastAsia" w:hAnsi="宋体"/>
                <w:bCs/>
                <w:color w:val="000000"/>
                <w:highlight w:val="none"/>
              </w:rPr>
              <w:t>委托人</w:t>
            </w:r>
          </w:p>
        </w:tc>
        <w:tc>
          <w:tcPr>
            <w:tcW w:w="7025" w:type="dxa"/>
            <w:vAlign w:val="center"/>
          </w:tcPr>
          <w:p>
            <w:pPr>
              <w:pStyle w:val="238"/>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2</w:t>
            </w:r>
          </w:p>
        </w:tc>
        <w:tc>
          <w:tcPr>
            <w:tcW w:w="1785"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025"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2024年合经区公用公司市政中心小货车采购</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3</w:t>
            </w:r>
          </w:p>
        </w:tc>
        <w:tc>
          <w:tcPr>
            <w:tcW w:w="1785" w:type="dxa"/>
            <w:vAlign w:val="center"/>
          </w:tcPr>
          <w:p>
            <w:pPr>
              <w:jc w:val="center"/>
              <w:rPr>
                <w:rFonts w:hAnsi="宋体"/>
                <w:color w:val="000000"/>
                <w:highlight w:val="none"/>
              </w:rPr>
            </w:pPr>
            <w:r>
              <w:rPr>
                <w:rFonts w:hint="eastAsia" w:hAnsi="宋体"/>
                <w:color w:val="000000"/>
                <w:highlight w:val="none"/>
              </w:rPr>
              <w:t>供应商资格</w:t>
            </w:r>
          </w:p>
        </w:tc>
        <w:tc>
          <w:tcPr>
            <w:tcW w:w="7025" w:type="dxa"/>
            <w:vAlign w:val="center"/>
          </w:tcPr>
          <w:p>
            <w:pPr>
              <w:widowControl/>
              <w:spacing w:line="360" w:lineRule="auto"/>
              <w:rPr>
                <w:highlight w:val="none"/>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4</w:t>
            </w:r>
          </w:p>
        </w:tc>
        <w:tc>
          <w:tcPr>
            <w:tcW w:w="1785" w:type="dxa"/>
            <w:vAlign w:val="center"/>
          </w:tcPr>
          <w:p>
            <w:pPr>
              <w:jc w:val="center"/>
              <w:rPr>
                <w:rFonts w:hAnsi="宋体"/>
                <w:color w:val="000000"/>
                <w:highlight w:val="none"/>
              </w:rPr>
            </w:pPr>
            <w:r>
              <w:rPr>
                <w:rFonts w:hint="eastAsia" w:hAnsi="宋体"/>
                <w:color w:val="000000"/>
                <w:highlight w:val="none"/>
              </w:rPr>
              <w:t>项目性质</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货物</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5</w:t>
            </w:r>
          </w:p>
        </w:tc>
        <w:tc>
          <w:tcPr>
            <w:tcW w:w="1785" w:type="dxa"/>
            <w:vAlign w:val="center"/>
          </w:tcPr>
          <w:p>
            <w:pPr>
              <w:pStyle w:val="2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785"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025"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025"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57" w:type="dxa"/>
                </w:tcPr>
                <w:p>
                  <w:pPr>
                    <w:pStyle w:val="226"/>
                    <w:spacing w:line="500" w:lineRule="exact"/>
                    <w:rPr>
                      <w:rFonts w:hAnsi="宋体" w:cs="宋体"/>
                      <w:color w:val="000000"/>
                      <w:szCs w:val="21"/>
                      <w:highlight w:val="none"/>
                    </w:rPr>
                  </w:pP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lang w:eastAsia="zh-CN"/>
                    </w:rPr>
                    <w:t>，</w:t>
                  </w:r>
                  <w:r>
                    <w:rPr>
                      <w:rFonts w:hint="eastAsia" w:hAnsi="宋体" w:cs="宋体"/>
                      <w:sz w:val="24"/>
                      <w:szCs w:val="24"/>
                      <w:highlight w:val="none"/>
                      <w:lang w:val="en-US" w:eastAsia="zh-CN"/>
                    </w:rPr>
                    <w:t>招标人</w:t>
                  </w:r>
                  <w:r>
                    <w:rPr>
                      <w:rFonts w:hint="eastAsia" w:hAnsi="宋体" w:cs="宋体"/>
                      <w:sz w:val="24"/>
                      <w:szCs w:val="24"/>
                      <w:highlight w:val="none"/>
                    </w:rPr>
                    <w:t>方可</w:t>
                  </w:r>
                  <w:r>
                    <w:rPr>
                      <w:rFonts w:hint="eastAsia" w:hAnsi="宋体" w:cs="宋体"/>
                      <w:sz w:val="24"/>
                      <w:szCs w:val="24"/>
                      <w:highlight w:val="none"/>
                      <w:lang w:val="en-US" w:eastAsia="zh-CN"/>
                    </w:rPr>
                    <w:t>进行</w:t>
                  </w:r>
                  <w:r>
                    <w:rPr>
                      <w:rFonts w:hAnsi="宋体" w:cs="宋体"/>
                      <w:sz w:val="24"/>
                      <w:szCs w:val="24"/>
                      <w:highlight w:val="none"/>
                    </w:rPr>
                    <w:t>付款，否则招标人将拒绝支付</w:t>
                  </w:r>
                  <w:r>
                    <w:rPr>
                      <w:rFonts w:hint="eastAsia" w:hAnsi="宋体" w:cs="宋体"/>
                      <w:sz w:val="24"/>
                      <w:szCs w:val="24"/>
                      <w:highlight w:val="none"/>
                      <w:lang w:eastAsia="zh-CN"/>
                    </w:rPr>
                    <w:t>，</w:t>
                  </w:r>
                  <w:r>
                    <w:rPr>
                      <w:rFonts w:hint="eastAsia" w:hAnsi="宋体" w:cs="宋体"/>
                      <w:sz w:val="24"/>
                      <w:szCs w:val="24"/>
                      <w:highlight w:val="none"/>
                      <w:lang w:val="en-US" w:eastAsia="zh-CN"/>
                    </w:rPr>
                    <w:t>且</w:t>
                  </w:r>
                  <w:r>
                    <w:rPr>
                      <w:rFonts w:hAnsi="宋体" w:cs="宋体"/>
                      <w:sz w:val="24"/>
                      <w:szCs w:val="24"/>
                      <w:highlight w:val="none"/>
                    </w:rPr>
                    <w:t>一切税费由中标</w:t>
                  </w:r>
                  <w:r>
                    <w:rPr>
                      <w:rFonts w:hint="eastAsia" w:hAnsi="宋体" w:cs="宋体"/>
                      <w:sz w:val="24"/>
                      <w:szCs w:val="24"/>
                      <w:highlight w:val="none"/>
                    </w:rPr>
                    <w:t>人</w:t>
                  </w:r>
                  <w:r>
                    <w:rPr>
                      <w:rFonts w:hAnsi="宋体" w:cs="宋体"/>
                      <w:sz w:val="24"/>
                      <w:szCs w:val="24"/>
                      <w:highlight w:val="none"/>
                    </w:rPr>
                    <w:t>自行承担。</w:t>
                  </w:r>
                </w:p>
              </w:tc>
            </w:tr>
          </w:tbl>
          <w:p>
            <w:pPr>
              <w:numPr>
                <w:ilvl w:val="0"/>
                <w:numId w:val="1"/>
              </w:numPr>
              <w:spacing w:line="520" w:lineRule="exact"/>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025"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785" w:type="dxa"/>
          </w:tcPr>
          <w:p>
            <w:pPr>
              <w:spacing w:line="500" w:lineRule="exact"/>
              <w:ind w:firstLine="219" w:firstLineChars="100"/>
              <w:rPr>
                <w:rFonts w:hAnsi="宋体"/>
                <w:color w:val="000000"/>
                <w:highlight w:val="none"/>
              </w:rPr>
            </w:pPr>
            <w:r>
              <w:rPr>
                <w:rFonts w:hint="eastAsia" w:hAnsi="宋体"/>
                <w:color w:val="000000"/>
                <w:highlight w:val="none"/>
              </w:rPr>
              <w:t>服务地点</w:t>
            </w:r>
          </w:p>
        </w:tc>
        <w:tc>
          <w:tcPr>
            <w:tcW w:w="7025"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785"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025" w:type="dxa"/>
            <w:vAlign w:val="center"/>
          </w:tcPr>
          <w:p>
            <w:pPr>
              <w:numPr>
                <w:ilvl w:val="0"/>
                <w:numId w:val="2"/>
              </w:numPr>
              <w:spacing w:line="500" w:lineRule="exact"/>
              <w:rPr>
                <w:rFonts w:hint="eastAsia" w:ascii="宋体" w:hAnsi="宋体" w:eastAsia="宋体" w:cs="Times New Roman"/>
                <w:sz w:val="24"/>
                <w:szCs w:val="24"/>
                <w:highlight w:val="none"/>
                <w:lang w:val="en-US" w:eastAsia="zh-CN"/>
              </w:rPr>
            </w:pPr>
            <w:r>
              <w:rPr>
                <w:rFonts w:hint="eastAsia" w:cs="宋体" w:asciiTheme="minorEastAsia" w:hAnsiTheme="minorEastAsia" w:eastAsiaTheme="minorEastAsia"/>
                <w:color w:val="000000"/>
                <w:szCs w:val="24"/>
                <w:highlight w:val="none"/>
                <w:lang w:val="en-US" w:eastAsia="zh-CN"/>
              </w:rPr>
              <w:t>质保期：</w:t>
            </w:r>
            <w:r>
              <w:rPr>
                <w:rFonts w:hint="eastAsia" w:ascii="宋体" w:hAnsi="宋体" w:eastAsia="宋体" w:cs="Times New Roman"/>
                <w:sz w:val="24"/>
                <w:szCs w:val="24"/>
                <w:highlight w:val="none"/>
                <w:lang w:val="en-US" w:eastAsia="zh-CN"/>
              </w:rPr>
              <w:t>2年5万公里。</w:t>
            </w:r>
          </w:p>
          <w:p>
            <w:pPr>
              <w:numPr>
                <w:ilvl w:val="0"/>
                <w:numId w:val="2"/>
              </w:numPr>
              <w:spacing w:line="500" w:lineRule="exac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供货及安装期限中标之日起60日内。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785"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025"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785"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025"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025"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 7  </w:t>
            </w:r>
            <w:r>
              <w:rPr>
                <w:rFonts w:hint="eastAsia" w:hAnsi="宋体"/>
                <w:b/>
                <w:bCs/>
                <w:color w:val="000000"/>
                <w:highlight w:val="none"/>
              </w:rPr>
              <w:t>月</w:t>
            </w:r>
            <w:r>
              <w:rPr>
                <w:rFonts w:hint="eastAsia" w:hAnsi="宋体"/>
                <w:b/>
                <w:bCs/>
                <w:color w:val="000000"/>
                <w:highlight w:val="none"/>
                <w:lang w:val="en-US" w:eastAsia="zh-CN"/>
              </w:rPr>
              <w:t xml:space="preserve">  26</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02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785"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02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02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025" w:type="dxa"/>
            <w:vAlign w:val="center"/>
          </w:tcPr>
          <w:p>
            <w:pPr>
              <w:spacing w:line="500" w:lineRule="exact"/>
              <w:rPr>
                <w:rFonts w:hAnsi="宋体"/>
                <w:color w:val="000000"/>
                <w:highlight w:val="none"/>
              </w:rPr>
            </w:pPr>
            <w:r>
              <w:rPr>
                <w:rFonts w:hint="eastAsia" w:ascii="宋体" w:hAnsi="宋体" w:eastAsia="宋体" w:cs="Times New Roman"/>
                <w:sz w:val="24"/>
                <w:szCs w:val="24"/>
                <w:highlight w:val="none"/>
              </w:rPr>
              <w:t xml:space="preserve">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785"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025" w:type="dxa"/>
            <w:vAlign w:val="center"/>
          </w:tcPr>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785"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02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02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dxa"/>
            <w:vAlign w:val="center"/>
          </w:tcPr>
          <w:p>
            <w:pPr>
              <w:spacing w:line="500" w:lineRule="exact"/>
              <w:rPr>
                <w:rFonts w:hAnsi="宋体"/>
                <w:highlight w:val="none"/>
              </w:rPr>
            </w:pPr>
            <w:r>
              <w:rPr>
                <w:rFonts w:hint="eastAsia" w:hAnsi="宋体"/>
                <w:highlight w:val="none"/>
              </w:rPr>
              <w:t>21</w:t>
            </w:r>
          </w:p>
        </w:tc>
        <w:tc>
          <w:tcPr>
            <w:tcW w:w="1785" w:type="dxa"/>
            <w:vAlign w:val="center"/>
          </w:tcPr>
          <w:p>
            <w:pPr>
              <w:ind w:firstLine="219" w:firstLineChars="100"/>
              <w:rPr>
                <w:highlight w:val="none"/>
              </w:rPr>
            </w:pPr>
            <w:r>
              <w:rPr>
                <w:rFonts w:hint="eastAsia"/>
                <w:highlight w:val="none"/>
              </w:rPr>
              <w:t>业绩</w:t>
            </w:r>
          </w:p>
        </w:tc>
        <w:tc>
          <w:tcPr>
            <w:tcW w:w="7025"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rPr>
                <w:rFonts w:hAnsi="宋体"/>
                <w:color w:val="000000"/>
                <w:highlight w:val="none"/>
              </w:rPr>
            </w:pPr>
            <w:r>
              <w:rPr>
                <w:rFonts w:hint="eastAsia" w:hAnsi="宋体"/>
                <w:color w:val="000000"/>
                <w:highlight w:val="none"/>
              </w:rPr>
              <w:t>22</w:t>
            </w:r>
          </w:p>
        </w:tc>
        <w:tc>
          <w:tcPr>
            <w:tcW w:w="1785" w:type="dxa"/>
            <w:vAlign w:val="center"/>
          </w:tcPr>
          <w:p>
            <w:pPr>
              <w:ind w:firstLine="219" w:firstLineChars="100"/>
              <w:rPr>
                <w:color w:val="000000"/>
                <w:highlight w:val="none"/>
              </w:rPr>
            </w:pPr>
            <w:r>
              <w:rPr>
                <w:rFonts w:hint="eastAsia"/>
                <w:color w:val="000000"/>
                <w:highlight w:val="none"/>
              </w:rPr>
              <w:t>其他</w:t>
            </w:r>
          </w:p>
        </w:tc>
        <w:tc>
          <w:tcPr>
            <w:tcW w:w="7025" w:type="dxa"/>
            <w:vAlign w:val="center"/>
          </w:tcPr>
          <w:p>
            <w:pPr>
              <w:pStyle w:val="58"/>
              <w:keepNext w:val="0"/>
              <w:keepLines w:val="0"/>
              <w:widowControl/>
              <w:suppressLineNumbers w:val="0"/>
              <w:ind w:left="0"/>
              <w:jc w:val="left"/>
              <w:rPr>
                <w:color w:val="000000"/>
                <w:highlight w:val="none"/>
              </w:rPr>
            </w:pPr>
            <w:r>
              <w:rPr>
                <w:b w:val="0"/>
                <w:bCs w:val="0"/>
                <w:i w:val="0"/>
                <w:iCs w:val="0"/>
                <w:color w:val="333333"/>
                <w:highlight w:val="none"/>
                <w:u w:val="none"/>
              </w:rPr>
              <w:t>加装黄色箭头警示灯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785" w:type="dxa"/>
            <w:vAlign w:val="center"/>
          </w:tcPr>
          <w:p>
            <w:pPr>
              <w:jc w:val="center"/>
              <w:rPr>
                <w:rFonts w:hAnsi="宋体"/>
                <w:color w:val="000000"/>
                <w:highlight w:val="none"/>
              </w:rPr>
            </w:pPr>
            <w:r>
              <w:rPr>
                <w:rFonts w:hint="eastAsia" w:hAnsi="宋体"/>
                <w:color w:val="000000"/>
                <w:highlight w:val="none"/>
              </w:rPr>
              <w:t>备注二</w:t>
            </w:r>
          </w:p>
        </w:tc>
        <w:tc>
          <w:tcPr>
            <w:tcW w:w="702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785" w:type="dxa"/>
            <w:vAlign w:val="center"/>
          </w:tcPr>
          <w:p>
            <w:pPr>
              <w:jc w:val="center"/>
              <w:rPr>
                <w:rFonts w:hAnsi="宋体"/>
                <w:color w:val="000000"/>
                <w:highlight w:val="none"/>
              </w:rPr>
            </w:pPr>
            <w:r>
              <w:rPr>
                <w:rFonts w:hint="eastAsia" w:hAnsi="宋体"/>
                <w:color w:val="000000"/>
                <w:highlight w:val="none"/>
              </w:rPr>
              <w:t>违约金</w:t>
            </w:r>
          </w:p>
        </w:tc>
        <w:tc>
          <w:tcPr>
            <w:tcW w:w="702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bookmarkStart w:id="216" w:name="_GoBack"/>
      <w:bookmarkEnd w:id="216"/>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50955"/>
      <w:bookmarkEnd w:id="12"/>
      <w:bookmarkStart w:id="13" w:name="_Hlt526418143"/>
      <w:bookmarkEnd w:id="13"/>
      <w:bookmarkStart w:id="14" w:name="_Hlt509650126"/>
      <w:bookmarkEnd w:id="14"/>
      <w:bookmarkStart w:id="15" w:name="_Hlt509649998"/>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26418153"/>
      <w:bookmarkEnd w:id="18"/>
      <w:bookmarkStart w:id="19" w:name="_Hlt509649669"/>
      <w:bookmarkEnd w:id="19"/>
      <w:bookmarkStart w:id="20" w:name="_Hlt509650103"/>
      <w:bookmarkEnd w:id="20"/>
      <w:bookmarkStart w:id="21" w:name="_Hlt509650932"/>
      <w:bookmarkEnd w:id="21"/>
      <w:bookmarkStart w:id="22" w:name="_Hlt509650929"/>
      <w:bookmarkEnd w:id="22"/>
      <w:bookmarkStart w:id="23" w:name="_Hlt509649795"/>
      <w:bookmarkEnd w:id="23"/>
      <w:bookmarkStart w:id="24" w:name="_Hlt509649678"/>
      <w:bookmarkEnd w:id="24"/>
      <w:bookmarkStart w:id="25" w:name="_Hlt509650690"/>
      <w:bookmarkEnd w:id="25"/>
      <w:bookmarkStart w:id="26" w:name="_Hlt509650116"/>
      <w:bookmarkEnd w:id="26"/>
      <w:bookmarkStart w:id="27" w:name="_Hlt509650936"/>
      <w:bookmarkEnd w:id="27"/>
      <w:bookmarkStart w:id="28" w:name="_Hlt509649330"/>
      <w:bookmarkEnd w:id="28"/>
      <w:bookmarkStart w:id="29" w:name="_Hlt509650961"/>
      <w:bookmarkEnd w:id="29"/>
      <w:bookmarkStart w:id="30" w:name="_Hlt509649645"/>
      <w:bookmarkEnd w:id="30"/>
      <w:bookmarkStart w:id="31" w:name="_Hlt509650333"/>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3"/>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49724"/>
      <w:bookmarkEnd w:id="50"/>
      <w:bookmarkStart w:id="51" w:name="_Hlt509650697"/>
      <w:bookmarkEnd w:id="51"/>
      <w:bookmarkStart w:id="52" w:name="_Hlt510342861"/>
      <w:bookmarkEnd w:id="52"/>
      <w:bookmarkStart w:id="53" w:name="_Toc427016287"/>
      <w:bookmarkStart w:id="54" w:name="_Toc427106476"/>
      <w:bookmarkStart w:id="55" w:name="_Toc463041898"/>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sz w:val="32"/>
          <w:szCs w:val="32"/>
          <w:highlight w:val="none"/>
        </w:rPr>
      </w:pPr>
      <w:bookmarkStart w:id="57" w:name="_Toc438648630"/>
      <w:bookmarkStart w:id="58" w:name="_Toc433835936"/>
      <w:r>
        <w:rPr>
          <w:rFonts w:ascii="宋体" w:hAnsi="宋体" w:cs="@仿宋_GB2312"/>
          <w:b/>
          <w:sz w:val="32"/>
          <w:szCs w:val="32"/>
          <w:highlight w:val="none"/>
        </w:rPr>
        <w:t>合同</w:t>
      </w:r>
      <w:r>
        <w:rPr>
          <w:rFonts w:hint="eastAsia" w:ascii="宋体" w:hAnsi="宋体" w:cs="@仿宋_GB2312"/>
          <w:b/>
          <w:sz w:val="32"/>
          <w:szCs w:val="32"/>
          <w:highlight w:val="none"/>
        </w:rPr>
        <w:t>参考范本</w:t>
      </w:r>
    </w:p>
    <w:p>
      <w:pPr>
        <w:spacing w:line="480" w:lineRule="auto"/>
        <w:jc w:val="center"/>
        <w:rPr>
          <w:rFonts w:ascii="宋体" w:hAnsi="宋体" w:cs="@仿宋_GB2312"/>
          <w:b/>
          <w:sz w:val="24"/>
          <w:szCs w:val="24"/>
          <w:highlight w:val="none"/>
        </w:rPr>
      </w:pPr>
      <w:r>
        <w:rPr>
          <w:rFonts w:hint="eastAsia" w:ascii="宋体" w:hAnsi="宋体" w:cs="@仿宋_GB2312"/>
          <w:b/>
          <w:sz w:val="24"/>
          <w:szCs w:val="24"/>
          <w:highlight w:val="none"/>
        </w:rPr>
        <w:t>（货物类）</w:t>
      </w: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360" w:lineRule="auto"/>
        <w:jc w:val="center"/>
        <w:outlineLvl w:val="2"/>
        <w:rPr>
          <w:rFonts w:ascii="宋体" w:hAnsi="宋体" w:cs="@仿宋_GB2312"/>
          <w:b/>
          <w:sz w:val="24"/>
          <w:szCs w:val="24"/>
          <w:highlight w:val="none"/>
        </w:rPr>
      </w:pPr>
      <w:r>
        <w:rPr>
          <w:rFonts w:hint="eastAsia" w:ascii="宋体" w:hAnsi="宋体" w:cs="@仿宋_GB2312"/>
          <w:b/>
          <w:sz w:val="24"/>
          <w:szCs w:val="24"/>
          <w:highlight w:val="none"/>
        </w:rPr>
        <w:t>第一部分 合同书</w:t>
      </w: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项目名称：</w:t>
      </w:r>
      <w:r>
        <w:rPr>
          <w:rFonts w:hint="eastAsia" w:ascii="宋体" w:hAnsi="宋体" w:cs="@仿宋_GB2312"/>
          <w:sz w:val="24"/>
          <w:szCs w:val="24"/>
          <w:highlight w:val="none"/>
          <w:u w:val="single"/>
        </w:rPr>
        <w:t>某项目</w:t>
      </w:r>
      <w:r>
        <w:rPr>
          <w:rFonts w:hint="eastAsia" w:ascii="宋体" w:hAnsi="宋体" w:cs="@仿宋_GB2312"/>
          <w:i/>
          <w:iCs/>
          <w:sz w:val="24"/>
          <w:szCs w:val="24"/>
          <w:highlight w:val="none"/>
        </w:rPr>
        <w:t>（分标段项目须填写完整的标段号及标段名称）</w:t>
      </w:r>
    </w:p>
    <w:p>
      <w:pPr>
        <w:spacing w:before="120" w:line="480" w:lineRule="auto"/>
        <w:ind w:left="960"/>
        <w:rPr>
          <w:rFonts w:ascii="宋体" w:hAnsi="宋体" w:cs="@仿宋_GB2312"/>
          <w:sz w:val="24"/>
          <w:szCs w:val="24"/>
          <w:highlight w:val="none"/>
        </w:rPr>
      </w:pPr>
      <w:r>
        <w:rPr>
          <w:rFonts w:hint="eastAsia" w:ascii="宋体" w:hAnsi="宋体" w:cs="@仿宋_GB2312"/>
          <w:sz w:val="24"/>
          <w:szCs w:val="24"/>
          <w:highlight w:val="none"/>
        </w:rPr>
        <w:t>项目编号：</w:t>
      </w:r>
      <w:r>
        <w:rPr>
          <w:rFonts w:hint="eastAsia" w:ascii="宋体" w:hAnsi="宋体" w:cs="@仿宋_GB2312"/>
          <w:sz w:val="24"/>
          <w:szCs w:val="24"/>
          <w:highlight w:val="none"/>
          <w:u w:val="single"/>
        </w:rPr>
        <w:t>某编号</w:t>
      </w: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甲方（招标人）：</w:t>
      </w:r>
      <w:r>
        <w:rPr>
          <w:rFonts w:hint="eastAsia" w:ascii="宋体" w:hAnsi="宋体" w:cs="@仿宋_GB2312"/>
          <w:sz w:val="24"/>
          <w:szCs w:val="24"/>
          <w:highlight w:val="none"/>
          <w:u w:val="single"/>
        </w:rPr>
        <w:t xml:space="preserve">                              </w:t>
      </w: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乙方（中标人）：</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rPr>
        <w:t xml:space="preserve"> </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rPr>
        <w:t xml:space="preserve">                  </w:t>
      </w:r>
    </w:p>
    <w:p>
      <w:pPr>
        <w:spacing w:before="120" w:line="480" w:lineRule="auto"/>
        <w:ind w:firstLine="876" w:firstLineChars="400"/>
        <w:rPr>
          <w:rFonts w:ascii="宋体" w:hAnsi="宋体" w:cs="@仿宋_GB2312"/>
          <w:sz w:val="24"/>
          <w:szCs w:val="24"/>
          <w:highlight w:val="none"/>
          <w:u w:val="single"/>
        </w:rPr>
      </w:pPr>
      <w:r>
        <w:rPr>
          <w:rFonts w:hint="eastAsia" w:ascii="宋体" w:hAnsi="宋体" w:cs="@仿宋_GB2312"/>
          <w:sz w:val="24"/>
          <w:szCs w:val="24"/>
          <w:highlight w:val="none"/>
        </w:rPr>
        <w:t>签订地：</w:t>
      </w:r>
      <w:r>
        <w:rPr>
          <w:rFonts w:hint="eastAsia" w:ascii="宋体" w:hAnsi="宋体" w:cs="@仿宋_GB2312"/>
          <w:sz w:val="24"/>
          <w:szCs w:val="24"/>
          <w:highlight w:val="none"/>
          <w:u w:val="single"/>
        </w:rPr>
        <w:t xml:space="preserve">                                     </w:t>
      </w:r>
    </w:p>
    <w:p>
      <w:pPr>
        <w:spacing w:before="120" w:line="480" w:lineRule="auto"/>
        <w:ind w:firstLine="876" w:firstLineChars="400"/>
        <w:rPr>
          <w:rFonts w:ascii="宋体" w:hAnsi="宋体" w:cs="@仿宋_GB2312"/>
          <w:sz w:val="24"/>
          <w:szCs w:val="24"/>
          <w:highlight w:val="none"/>
        </w:rPr>
      </w:pPr>
      <w:r>
        <w:rPr>
          <w:rFonts w:hint="eastAsia" w:ascii="宋体" w:hAnsi="宋体" w:cs="@仿宋_GB2312"/>
          <w:sz w:val="24"/>
          <w:szCs w:val="24"/>
          <w:highlight w:val="none"/>
        </w:rPr>
        <w:t>签订日期：</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年</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月</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日</w:t>
      </w:r>
    </w:p>
    <w:p>
      <w:pPr>
        <w:widowControl/>
        <w:jc w:val="left"/>
        <w:rPr>
          <w:rFonts w:ascii="宋体" w:hAnsi="宋体" w:cs="@仿宋_GB2312"/>
          <w:sz w:val="24"/>
          <w:szCs w:val="24"/>
          <w:highlight w:val="none"/>
        </w:rPr>
      </w:pPr>
      <w:r>
        <w:rPr>
          <w:rFonts w:ascii="宋体" w:hAnsi="宋体" w:cs="@仿宋_GB2312"/>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sz w:val="24"/>
          <w:szCs w:val="24"/>
          <w:highlight w:val="none"/>
          <w:lang w:val="zh-CN"/>
        </w:rPr>
      </w:pPr>
      <w:bookmarkStart w:id="59" w:name="_Toc3029"/>
      <w:bookmarkStart w:id="60" w:name="_Toc24059"/>
      <w:bookmarkStart w:id="61" w:name="_Toc2232"/>
      <w:r>
        <w:rPr>
          <w:rFonts w:hint="eastAsia" w:ascii="宋体" w:hAnsi="宋体" w:cs="@仿宋_GB2312"/>
          <w:b/>
          <w:bCs/>
          <w:sz w:val="24"/>
          <w:szCs w:val="24"/>
          <w:highlight w:val="none"/>
          <w:lang w:val="zh-CN"/>
        </w:rPr>
        <w:t>1.1</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合同组成部分</w:t>
      </w:r>
      <w:bookmarkEnd w:id="59"/>
      <w:bookmarkEnd w:id="60"/>
      <w:bookmarkEnd w:id="61"/>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1.1.1本合同及其补充合同、变更协议；</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1.1.2中标通知书；</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1.1.3响应文件（含澄清或者说明文件）；</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1.1.4磋商文件（含澄清或者修改文件）；</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1.1.5其他相关磋商文件。</w:t>
      </w:r>
    </w:p>
    <w:p>
      <w:pPr>
        <w:spacing w:line="360" w:lineRule="auto"/>
        <w:ind w:firstLine="437"/>
        <w:outlineLvl w:val="3"/>
        <w:rPr>
          <w:rFonts w:ascii="宋体" w:hAnsi="宋体" w:cs="@仿宋_GB2312"/>
          <w:b/>
          <w:bCs/>
          <w:sz w:val="24"/>
          <w:szCs w:val="24"/>
          <w:highlight w:val="none"/>
          <w:lang w:val="zh-CN"/>
        </w:rPr>
      </w:pPr>
      <w:bookmarkStart w:id="62" w:name="_Toc24300"/>
      <w:bookmarkStart w:id="63" w:name="_Toc27126"/>
      <w:bookmarkStart w:id="64" w:name="_Toc21295"/>
      <w:r>
        <w:rPr>
          <w:rFonts w:hint="eastAsia" w:ascii="宋体" w:hAnsi="宋体" w:cs="@仿宋_GB2312"/>
          <w:b/>
          <w:bCs/>
          <w:sz w:val="24"/>
          <w:szCs w:val="24"/>
          <w:highlight w:val="none"/>
          <w:lang w:val="zh-CN"/>
        </w:rPr>
        <w:t>1.2</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货物</w:t>
      </w:r>
      <w:bookmarkEnd w:id="62"/>
      <w:bookmarkEnd w:id="63"/>
      <w:bookmarkEnd w:id="64"/>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34"/>
        <w:gridCol w:w="1634"/>
        <w:gridCol w:w="1630"/>
        <w:gridCol w:w="163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序号</w:t>
            </w:r>
          </w:p>
        </w:tc>
        <w:tc>
          <w:tcPr>
            <w:tcW w:w="889"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货物名称</w:t>
            </w:r>
          </w:p>
        </w:tc>
        <w:tc>
          <w:tcPr>
            <w:tcW w:w="889"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规格型号</w:t>
            </w:r>
          </w:p>
        </w:tc>
        <w:tc>
          <w:tcPr>
            <w:tcW w:w="887"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单位</w:t>
            </w:r>
          </w:p>
        </w:tc>
        <w:tc>
          <w:tcPr>
            <w:tcW w:w="887"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数量</w:t>
            </w:r>
          </w:p>
        </w:tc>
        <w:tc>
          <w:tcPr>
            <w:tcW w:w="886"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1</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2</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ascii="宋体" w:hAnsi="宋体" w:cs="@仿宋_GB2312"/>
                <w:kern w:val="0"/>
                <w:sz w:val="24"/>
                <w:szCs w:val="24"/>
                <w:highlight w:val="none"/>
                <w:lang w:val="zh-CN"/>
              </w:rPr>
              <w:t>3</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bl>
    <w:p>
      <w:pPr>
        <w:spacing w:line="360" w:lineRule="auto"/>
        <w:ind w:firstLine="437"/>
        <w:outlineLvl w:val="3"/>
        <w:rPr>
          <w:rFonts w:ascii="宋体" w:hAnsi="宋体" w:cs="@仿宋_GB2312"/>
          <w:b/>
          <w:bCs/>
          <w:sz w:val="24"/>
          <w:szCs w:val="24"/>
          <w:highlight w:val="none"/>
          <w:lang w:val="zh-CN"/>
        </w:rPr>
      </w:pPr>
      <w:bookmarkStart w:id="65" w:name="_Toc21551"/>
      <w:bookmarkStart w:id="66" w:name="_Toc21631"/>
      <w:bookmarkStart w:id="67" w:name="_Toc23292"/>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 xml:space="preserve">3 </w:t>
      </w:r>
      <w:r>
        <w:rPr>
          <w:rFonts w:hint="eastAsia" w:ascii="宋体" w:hAnsi="宋体" w:cs="@仿宋_GB2312"/>
          <w:b/>
          <w:bCs/>
          <w:sz w:val="24"/>
          <w:szCs w:val="24"/>
          <w:highlight w:val="none"/>
          <w:lang w:val="zh-CN"/>
        </w:rPr>
        <w:t>价款</w:t>
      </w:r>
      <w:bookmarkEnd w:id="65"/>
      <w:bookmarkEnd w:id="66"/>
      <w:bookmarkEnd w:id="67"/>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本合同总价为</w:t>
      </w:r>
      <w:r>
        <w:rPr>
          <w:rFonts w:hint="eastAsia"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ascii="宋体" w:hAnsi="宋体" w:cs="@仿宋_GB2312"/>
          <w:sz w:val="24"/>
          <w:szCs w:val="24"/>
          <w:highlight w:val="none"/>
        </w:rPr>
        <w:t>元</w:t>
      </w:r>
      <w:r>
        <w:rPr>
          <w:rFonts w:hint="eastAsia" w:ascii="宋体" w:hAnsi="宋体" w:cs="@仿宋_GB2312"/>
          <w:sz w:val="24"/>
          <w:szCs w:val="24"/>
          <w:highlight w:val="none"/>
        </w:rPr>
        <w:t>（大写：人民币</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元）</w:t>
      </w:r>
      <w:r>
        <w:rPr>
          <w:rFonts w:ascii="宋体" w:hAnsi="宋体" w:cs="@仿宋_GB2312"/>
          <w:sz w:val="24"/>
          <w:szCs w:val="24"/>
          <w:highlight w:val="none"/>
        </w:rPr>
        <w:t>。</w:t>
      </w:r>
    </w:p>
    <w:p>
      <w:pPr>
        <w:spacing w:line="360" w:lineRule="auto"/>
        <w:ind w:firstLine="435"/>
        <w:rPr>
          <w:rFonts w:ascii="宋体" w:hAnsi="宋体" w:cs="@仿宋_GB2312"/>
          <w:sz w:val="24"/>
          <w:szCs w:val="24"/>
          <w:highlight w:val="none"/>
          <w:u w:val="single"/>
        </w:rPr>
      </w:pPr>
      <w:r>
        <w:rPr>
          <w:rFonts w:ascii="宋体" w:hAnsi="宋体" w:cs="@仿宋_GB2312"/>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pPr>
              <w:jc w:val="center"/>
              <w:rPr>
                <w:rFonts w:ascii="宋体" w:hAnsi="宋体" w:cs="@仿宋_GB2312"/>
                <w:sz w:val="24"/>
                <w:szCs w:val="24"/>
                <w:highlight w:val="none"/>
                <w:lang w:val="zh-CN"/>
              </w:rPr>
            </w:pPr>
            <w:r>
              <w:rPr>
                <w:rFonts w:ascii="宋体" w:hAnsi="宋体" w:cs="@仿宋_GB2312"/>
                <w:sz w:val="24"/>
                <w:szCs w:val="24"/>
                <w:highlight w:val="none"/>
                <w:lang w:val="zh-CN"/>
              </w:rPr>
              <w:t>序号</w:t>
            </w:r>
          </w:p>
        </w:tc>
        <w:tc>
          <w:tcPr>
            <w:tcW w:w="2532" w:type="pct"/>
            <w:noWrap w:val="0"/>
            <w:vAlign w:val="center"/>
          </w:tcPr>
          <w:p>
            <w:pPr>
              <w:ind w:firstLine="200"/>
              <w:jc w:val="center"/>
              <w:rPr>
                <w:rFonts w:ascii="宋体" w:hAnsi="宋体"/>
                <w:sz w:val="24"/>
                <w:szCs w:val="24"/>
                <w:highlight w:val="none"/>
              </w:rPr>
            </w:pPr>
            <w:r>
              <w:rPr>
                <w:rFonts w:hint="eastAsia" w:ascii="宋体" w:hAnsi="宋体"/>
                <w:sz w:val="24"/>
                <w:szCs w:val="24"/>
                <w:highlight w:val="none"/>
              </w:rPr>
              <w:t>分项名称</w:t>
            </w:r>
          </w:p>
        </w:tc>
        <w:tc>
          <w:tcPr>
            <w:tcW w:w="1899" w:type="pct"/>
            <w:gridSpan w:val="2"/>
            <w:noWrap w:val="0"/>
            <w:vAlign w:val="center"/>
          </w:tcPr>
          <w:p>
            <w:pPr>
              <w:jc w:val="center"/>
              <w:rPr>
                <w:rFonts w:ascii="宋体" w:hAnsi="宋体"/>
                <w:sz w:val="24"/>
                <w:szCs w:val="24"/>
                <w:highlight w:val="none"/>
              </w:rPr>
            </w:pPr>
            <w:r>
              <w:rPr>
                <w:rFonts w:ascii="宋体" w:hAnsi="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1</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2</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ascii="宋体" w:hAnsi="宋体" w:cs="@仿宋_GB2312"/>
                <w:sz w:val="24"/>
                <w:szCs w:val="24"/>
                <w:highlight w:val="none"/>
                <w:lang w:val="zh-CN"/>
              </w:rPr>
              <w:t>3</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pPr>
              <w:ind w:firstLine="200"/>
              <w:jc w:val="center"/>
              <w:rPr>
                <w:rFonts w:ascii="宋体" w:hAnsi="宋体"/>
                <w:sz w:val="24"/>
                <w:szCs w:val="24"/>
                <w:highlight w:val="none"/>
              </w:rPr>
            </w:pPr>
            <w:r>
              <w:rPr>
                <w:rFonts w:hint="eastAsia" w:ascii="宋体" w:hAnsi="宋体"/>
                <w:sz w:val="24"/>
                <w:szCs w:val="24"/>
                <w:highlight w:val="none"/>
              </w:rPr>
              <w:t>总价</w:t>
            </w:r>
          </w:p>
        </w:tc>
        <w:tc>
          <w:tcPr>
            <w:tcW w:w="1899" w:type="pct"/>
            <w:gridSpan w:val="2"/>
            <w:noWrap w:val="0"/>
            <w:vAlign w:val="center"/>
          </w:tcPr>
          <w:p>
            <w:pPr>
              <w:ind w:firstLine="200"/>
              <w:jc w:val="center"/>
              <w:rPr>
                <w:rFonts w:ascii="宋体" w:hAnsi="宋体"/>
                <w:sz w:val="24"/>
                <w:szCs w:val="24"/>
                <w:highlight w:val="none"/>
              </w:rPr>
            </w:pPr>
          </w:p>
        </w:tc>
      </w:tr>
    </w:tbl>
    <w:p>
      <w:pPr>
        <w:spacing w:line="360" w:lineRule="auto"/>
        <w:ind w:firstLine="437"/>
        <w:outlineLvl w:val="3"/>
        <w:rPr>
          <w:rFonts w:ascii="宋体" w:hAnsi="宋体" w:cs="@仿宋_GB2312"/>
          <w:b/>
          <w:bCs/>
          <w:sz w:val="24"/>
          <w:szCs w:val="24"/>
          <w:highlight w:val="none"/>
          <w:lang w:val="zh-CN"/>
        </w:rPr>
      </w:pPr>
      <w:bookmarkStart w:id="68" w:name="_Toc22618"/>
      <w:bookmarkStart w:id="69" w:name="_Toc10340"/>
      <w:bookmarkStart w:id="70" w:name="_Toc1814"/>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4 付款方式和发票开具方式</w:t>
      </w:r>
      <w:bookmarkEnd w:id="68"/>
      <w:bookmarkEnd w:id="69"/>
      <w:bookmarkEnd w:id="70"/>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1.4.1</w:t>
      </w:r>
      <w:r>
        <w:rPr>
          <w:rFonts w:ascii="宋体" w:hAnsi="宋体" w:cs="@仿宋_GB2312"/>
          <w:sz w:val="24"/>
          <w:szCs w:val="24"/>
          <w:highlight w:val="none"/>
        </w:rPr>
        <w:t>付款方式：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1.4.2发票开具方式：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71" w:name="_Toc32071"/>
      <w:bookmarkStart w:id="72" w:name="_Toc2846"/>
      <w:bookmarkStart w:id="73" w:name="_Toc19304"/>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5 货物交付期限</w:t>
      </w:r>
      <w:r>
        <w:rPr>
          <w:rFonts w:hint="eastAsia" w:ascii="宋体" w:hAnsi="宋体" w:cs="@仿宋_GB2312"/>
          <w:b/>
          <w:bCs/>
          <w:sz w:val="24"/>
          <w:szCs w:val="24"/>
          <w:highlight w:val="none"/>
          <w:lang w:val="zh-CN"/>
        </w:rPr>
        <w:t>、地点和方式</w:t>
      </w:r>
      <w:bookmarkEnd w:id="71"/>
      <w:bookmarkEnd w:id="72"/>
      <w:bookmarkEnd w:id="73"/>
    </w:p>
    <w:p>
      <w:pPr>
        <w:spacing w:line="360" w:lineRule="auto"/>
        <w:ind w:firstLine="435"/>
        <w:rPr>
          <w:rFonts w:ascii="宋体" w:hAnsi="宋体" w:cs="@仿宋_GB2312"/>
          <w:sz w:val="24"/>
          <w:szCs w:val="24"/>
          <w:highlight w:val="none"/>
          <w:u w:val="single"/>
        </w:rPr>
      </w:pPr>
      <w:r>
        <w:rPr>
          <w:rFonts w:hint="eastAsia" w:ascii="宋体" w:hAnsi="宋体" w:cs="@仿宋_GB2312"/>
          <w:sz w:val="24"/>
          <w:szCs w:val="24"/>
          <w:highlight w:val="none"/>
        </w:rPr>
        <w:t>1.5.1交付期限</w:t>
      </w:r>
      <w:r>
        <w:rPr>
          <w:rFonts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1.5.2交付地点</w:t>
      </w:r>
      <w:r>
        <w:rPr>
          <w:rFonts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1.5.3交付方式：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74" w:name="_Toc21423"/>
      <w:bookmarkStart w:id="75" w:name="_Toc27250"/>
      <w:bookmarkStart w:id="76" w:name="_Toc19554"/>
      <w:r>
        <w:rPr>
          <w:rFonts w:hint="eastAsia" w:ascii="宋体" w:hAnsi="宋体" w:cs="@仿宋_GB2312"/>
          <w:b/>
          <w:bCs/>
          <w:sz w:val="24"/>
          <w:szCs w:val="24"/>
          <w:highlight w:val="none"/>
          <w:lang w:val="zh-CN"/>
        </w:rPr>
        <w:t>1.6 违约责任</w:t>
      </w:r>
      <w:bookmarkEnd w:id="74"/>
      <w:bookmarkEnd w:id="75"/>
      <w:bookmarkEnd w:id="76"/>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1.6.1</w:t>
      </w:r>
      <w:r>
        <w:rPr>
          <w:rFonts w:ascii="宋体" w:hAnsi="宋体" w:cs="@仿宋_GB2312"/>
          <w:sz w:val="24"/>
          <w:szCs w:val="24"/>
          <w:highlight w:val="none"/>
        </w:rPr>
        <w:t>除不可抗力外，如果乙方没有按照本合同约定的期限</w:t>
      </w:r>
      <w:r>
        <w:rPr>
          <w:rFonts w:hint="eastAsia" w:ascii="宋体" w:hAnsi="宋体" w:cs="@仿宋_GB2312"/>
          <w:sz w:val="24"/>
          <w:szCs w:val="24"/>
          <w:highlight w:val="none"/>
        </w:rPr>
        <w:t>、</w:t>
      </w:r>
      <w:r>
        <w:rPr>
          <w:rFonts w:ascii="宋体" w:hAnsi="宋体" w:cs="@仿宋_GB2312"/>
          <w:sz w:val="24"/>
          <w:szCs w:val="24"/>
          <w:highlight w:val="none"/>
        </w:rPr>
        <w:t>地点和方式交付货物，那么甲方可要求乙方支付违约金</w:t>
      </w:r>
      <w:r>
        <w:rPr>
          <w:rFonts w:hint="eastAsia" w:ascii="宋体" w:hAnsi="宋体" w:cs="@仿宋_GB2312"/>
          <w:sz w:val="24"/>
          <w:szCs w:val="24"/>
          <w:highlight w:val="none"/>
        </w:rPr>
        <w:t>，</w:t>
      </w:r>
      <w:r>
        <w:rPr>
          <w:rFonts w:ascii="宋体" w:hAnsi="宋体" w:cs="@仿宋_GB2312"/>
          <w:sz w:val="24"/>
          <w:szCs w:val="24"/>
          <w:highlight w:val="none"/>
        </w:rPr>
        <w:t>违约金按每迟延交付货物一日的应交付而未交付货物价格的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%计算</w:t>
      </w:r>
      <w:r>
        <w:rPr>
          <w:rFonts w:hint="eastAsia" w:ascii="宋体" w:hAnsi="宋体" w:cs="@仿宋_GB2312"/>
          <w:sz w:val="24"/>
          <w:szCs w:val="24"/>
          <w:highlight w:val="none"/>
        </w:rPr>
        <w:t>，</w:t>
      </w:r>
      <w:r>
        <w:rPr>
          <w:rFonts w:ascii="宋体" w:hAnsi="宋体" w:cs="@仿宋_GB2312"/>
          <w:sz w:val="24"/>
          <w:szCs w:val="24"/>
          <w:highlight w:val="none"/>
        </w:rPr>
        <w:t>最高限额为</w:t>
      </w:r>
      <w:r>
        <w:rPr>
          <w:rFonts w:hint="eastAsia" w:ascii="宋体" w:hAnsi="宋体" w:cs="@仿宋_GB2312"/>
          <w:sz w:val="24"/>
          <w:szCs w:val="24"/>
          <w:highlight w:val="none"/>
        </w:rPr>
        <w:t>本</w:t>
      </w:r>
      <w:r>
        <w:rPr>
          <w:rFonts w:ascii="宋体" w:hAnsi="宋体" w:cs="@仿宋_GB2312"/>
          <w:sz w:val="24"/>
          <w:szCs w:val="24"/>
          <w:highlight w:val="none"/>
        </w:rPr>
        <w:t>合同总价的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w:t>
      </w:r>
      <w:r>
        <w:rPr>
          <w:rFonts w:hint="eastAsia" w:ascii="宋体" w:hAnsi="宋体" w:cs="@仿宋_GB2312"/>
          <w:sz w:val="24"/>
          <w:szCs w:val="24"/>
          <w:highlight w:val="none"/>
        </w:rPr>
        <w:t>；</w:t>
      </w:r>
      <w:r>
        <w:rPr>
          <w:rFonts w:ascii="宋体" w:hAnsi="宋体" w:cs="@仿宋_GB2312"/>
          <w:sz w:val="24"/>
          <w:szCs w:val="24"/>
          <w:highlight w:val="none"/>
        </w:rPr>
        <w:t>迟延交付货物的违约金计算数额达到前述最高限额之日起</w:t>
      </w:r>
      <w:r>
        <w:rPr>
          <w:rFonts w:hint="eastAsia" w:ascii="宋体" w:hAnsi="宋体" w:cs="@仿宋_GB2312"/>
          <w:sz w:val="24"/>
          <w:szCs w:val="24"/>
          <w:highlight w:val="none"/>
        </w:rPr>
        <w:t>，</w:t>
      </w:r>
      <w:r>
        <w:rPr>
          <w:rFonts w:ascii="宋体" w:hAnsi="宋体" w:cs="@仿宋_GB2312"/>
          <w:sz w:val="24"/>
          <w:szCs w:val="24"/>
          <w:highlight w:val="none"/>
        </w:rPr>
        <w:t>甲方有权在要求乙方支付违约金的同时</w:t>
      </w:r>
      <w:r>
        <w:rPr>
          <w:rFonts w:hint="eastAsia" w:ascii="宋体" w:hAnsi="宋体" w:cs="@仿宋_GB2312"/>
          <w:sz w:val="24"/>
          <w:szCs w:val="24"/>
          <w:highlight w:val="none"/>
        </w:rPr>
        <w:t>，书面通知乙方</w:t>
      </w:r>
      <w:r>
        <w:rPr>
          <w:rFonts w:ascii="宋体" w:hAnsi="宋体" w:cs="@仿宋_GB2312"/>
          <w:sz w:val="24"/>
          <w:szCs w:val="24"/>
          <w:highlight w:val="none"/>
        </w:rPr>
        <w:t>解除本合同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1.6.2</w:t>
      </w:r>
      <w:r>
        <w:rPr>
          <w:rFonts w:ascii="宋体" w:hAnsi="宋体" w:cs="@仿宋_GB2312"/>
          <w:sz w:val="24"/>
          <w:szCs w:val="24"/>
          <w:highlight w:val="none"/>
        </w:rPr>
        <w:t>除不可抗力外，如果甲方没有按照本合同约定的付款方式付款，那么乙方可要求甲方支付违约金</w:t>
      </w:r>
      <w:r>
        <w:rPr>
          <w:rFonts w:hint="eastAsia" w:ascii="宋体" w:hAnsi="宋体" w:cs="@仿宋_GB2312"/>
          <w:sz w:val="24"/>
          <w:szCs w:val="24"/>
          <w:highlight w:val="none"/>
        </w:rPr>
        <w:t>，</w:t>
      </w:r>
      <w:r>
        <w:rPr>
          <w:rFonts w:ascii="宋体" w:hAnsi="宋体" w:cs="@仿宋_GB2312"/>
          <w:sz w:val="24"/>
          <w:szCs w:val="24"/>
          <w:highlight w:val="none"/>
        </w:rPr>
        <w:t>违约金按每迟延</w:t>
      </w:r>
      <w:r>
        <w:rPr>
          <w:rFonts w:hint="eastAsia" w:ascii="宋体" w:hAnsi="宋体" w:cs="@仿宋_GB2312"/>
          <w:sz w:val="24"/>
          <w:szCs w:val="24"/>
          <w:highlight w:val="none"/>
        </w:rPr>
        <w:t>付款</w:t>
      </w:r>
      <w:r>
        <w:rPr>
          <w:rFonts w:ascii="宋体" w:hAnsi="宋体" w:cs="@仿宋_GB2312"/>
          <w:sz w:val="24"/>
          <w:szCs w:val="24"/>
          <w:highlight w:val="none"/>
        </w:rPr>
        <w:t>一日的应付而未付款的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%计算</w:t>
      </w:r>
      <w:r>
        <w:rPr>
          <w:rFonts w:hint="eastAsia" w:ascii="宋体" w:hAnsi="宋体" w:cs="@仿宋_GB2312"/>
          <w:sz w:val="24"/>
          <w:szCs w:val="24"/>
          <w:highlight w:val="none"/>
        </w:rPr>
        <w:t>，</w:t>
      </w:r>
      <w:r>
        <w:rPr>
          <w:rFonts w:ascii="宋体" w:hAnsi="宋体" w:cs="@仿宋_GB2312"/>
          <w:sz w:val="24"/>
          <w:szCs w:val="24"/>
          <w:highlight w:val="none"/>
        </w:rPr>
        <w:t>最高限额为</w:t>
      </w:r>
      <w:r>
        <w:rPr>
          <w:rFonts w:hint="eastAsia" w:ascii="宋体" w:hAnsi="宋体" w:cs="@仿宋_GB2312"/>
          <w:sz w:val="24"/>
          <w:szCs w:val="24"/>
          <w:highlight w:val="none"/>
        </w:rPr>
        <w:t>本</w:t>
      </w:r>
      <w:r>
        <w:rPr>
          <w:rFonts w:ascii="宋体" w:hAnsi="宋体" w:cs="@仿宋_GB2312"/>
          <w:sz w:val="24"/>
          <w:szCs w:val="24"/>
          <w:highlight w:val="none"/>
        </w:rPr>
        <w:t>合同总价的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w:t>
      </w:r>
      <w:r>
        <w:rPr>
          <w:rFonts w:hint="eastAsia" w:ascii="宋体" w:hAnsi="宋体" w:cs="@仿宋_GB2312"/>
          <w:sz w:val="24"/>
          <w:szCs w:val="24"/>
          <w:highlight w:val="none"/>
        </w:rPr>
        <w:t>；</w:t>
      </w:r>
      <w:r>
        <w:rPr>
          <w:rFonts w:ascii="宋体" w:hAnsi="宋体" w:cs="@仿宋_GB2312"/>
          <w:sz w:val="24"/>
          <w:szCs w:val="24"/>
          <w:highlight w:val="none"/>
        </w:rPr>
        <w:t>迟延</w:t>
      </w:r>
      <w:r>
        <w:rPr>
          <w:rFonts w:hint="eastAsia" w:ascii="宋体" w:hAnsi="宋体" w:cs="@仿宋_GB2312"/>
          <w:sz w:val="24"/>
          <w:szCs w:val="24"/>
          <w:highlight w:val="none"/>
        </w:rPr>
        <w:t>付款</w:t>
      </w:r>
      <w:r>
        <w:rPr>
          <w:rFonts w:ascii="宋体" w:hAnsi="宋体" w:cs="@仿宋_GB2312"/>
          <w:sz w:val="24"/>
          <w:szCs w:val="24"/>
          <w:highlight w:val="none"/>
        </w:rPr>
        <w:t>的违约金计算数额达到前述最高限额之日起</w:t>
      </w:r>
      <w:r>
        <w:rPr>
          <w:rFonts w:hint="eastAsia" w:ascii="宋体" w:hAnsi="宋体" w:cs="@仿宋_GB2312"/>
          <w:sz w:val="24"/>
          <w:szCs w:val="24"/>
          <w:highlight w:val="none"/>
        </w:rPr>
        <w:t>，乙</w:t>
      </w:r>
      <w:r>
        <w:rPr>
          <w:rFonts w:ascii="宋体" w:hAnsi="宋体" w:cs="@仿宋_GB2312"/>
          <w:sz w:val="24"/>
          <w:szCs w:val="24"/>
          <w:highlight w:val="none"/>
        </w:rPr>
        <w:t>方有权在要求甲方支付违约金的同时</w:t>
      </w:r>
      <w:r>
        <w:rPr>
          <w:rFonts w:hint="eastAsia" w:ascii="宋体" w:hAnsi="宋体" w:cs="@仿宋_GB2312"/>
          <w:sz w:val="24"/>
          <w:szCs w:val="24"/>
          <w:highlight w:val="none"/>
        </w:rPr>
        <w:t>，书面通知甲方</w:t>
      </w:r>
      <w:r>
        <w:rPr>
          <w:rFonts w:ascii="宋体" w:hAnsi="宋体" w:cs="@仿宋_GB2312"/>
          <w:sz w:val="24"/>
          <w:szCs w:val="24"/>
          <w:highlight w:val="none"/>
        </w:rPr>
        <w:t>解除本合同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sz w:val="24"/>
          <w:szCs w:val="24"/>
          <w:highlight w:val="none"/>
        </w:rPr>
      </w:pPr>
      <w:r>
        <w:rPr>
          <w:rFonts w:hint="eastAsia" w:ascii="宋体" w:hAnsi="宋体" w:cs="@仿宋_GB2312"/>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sz w:val="24"/>
          <w:szCs w:val="24"/>
          <w:highlight w:val="none"/>
          <w:lang w:val="zh-CN"/>
        </w:rPr>
      </w:pPr>
      <w:bookmarkStart w:id="77" w:name="_Toc15583"/>
      <w:bookmarkStart w:id="78" w:name="_Toc16021"/>
      <w:bookmarkStart w:id="79" w:name="_Toc28375"/>
      <w:r>
        <w:rPr>
          <w:rFonts w:hint="eastAsia" w:ascii="宋体" w:hAnsi="宋体" w:cs="@仿宋_GB2312"/>
          <w:b/>
          <w:bCs/>
          <w:sz w:val="24"/>
          <w:szCs w:val="24"/>
          <w:highlight w:val="none"/>
          <w:lang w:val="zh-CN"/>
        </w:rPr>
        <w:t>1.7</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合同</w:t>
      </w:r>
      <w:r>
        <w:rPr>
          <w:rFonts w:ascii="宋体" w:hAnsi="宋体" w:cs="@仿宋_GB2312"/>
          <w:b/>
          <w:bCs/>
          <w:sz w:val="24"/>
          <w:szCs w:val="24"/>
          <w:highlight w:val="none"/>
          <w:lang w:val="zh-CN"/>
        </w:rPr>
        <w:t>争议的解决</w:t>
      </w:r>
      <w:bookmarkEnd w:id="77"/>
      <w:bookmarkEnd w:id="78"/>
      <w:bookmarkEnd w:id="79"/>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本合</w:t>
      </w:r>
      <w:r>
        <w:rPr>
          <w:rFonts w:ascii="宋体" w:hAnsi="宋体" w:cs="@仿宋_GB2312"/>
          <w:sz w:val="24"/>
          <w:szCs w:val="24"/>
          <w:highlight w:val="none"/>
        </w:rPr>
        <w:t>同履行过程中发生的任何争议，双方当事人均可</w:t>
      </w:r>
      <w:r>
        <w:rPr>
          <w:rFonts w:hint="eastAsia" w:ascii="宋体" w:hAnsi="宋体" w:cs="@仿宋_GB2312"/>
          <w:sz w:val="24"/>
          <w:szCs w:val="24"/>
          <w:highlight w:val="none"/>
        </w:rPr>
        <w:t>通过和解或者调解解决；不愿和解、调解或者和解、调解不成的，可以选择下列第</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种方式解决：</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1.7.1将争议提交</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仲裁委员会依申请仲裁时其现行有效的仲裁规则裁决；</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1.7.2向</w:t>
      </w:r>
      <w:r>
        <w:rPr>
          <w:rFonts w:hint="eastAsia" w:ascii="宋体" w:hAnsi="宋体" w:cs="@仿宋_GB2312"/>
          <w:sz w:val="24"/>
          <w:szCs w:val="24"/>
          <w:highlight w:val="none"/>
          <w:u w:val="single"/>
        </w:rPr>
        <w:t xml:space="preserve"> </w:t>
      </w:r>
      <w:r>
        <w:rPr>
          <w:rFonts w:hint="eastAsia" w:ascii="宋体" w:hAnsi="宋体" w:cs="@仿宋_GB2312"/>
          <w:b/>
          <w:sz w:val="24"/>
          <w:szCs w:val="24"/>
          <w:highlight w:val="none"/>
          <w:u w:val="single"/>
        </w:rPr>
        <w:t>甲方所在地</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人民法院起诉。</w:t>
      </w:r>
    </w:p>
    <w:p>
      <w:pPr>
        <w:spacing w:line="360" w:lineRule="auto"/>
        <w:ind w:firstLine="437"/>
        <w:outlineLvl w:val="3"/>
        <w:rPr>
          <w:rFonts w:ascii="宋体" w:hAnsi="宋体" w:cs="@仿宋_GB2312"/>
          <w:b/>
          <w:bCs/>
          <w:sz w:val="24"/>
          <w:szCs w:val="24"/>
          <w:highlight w:val="none"/>
          <w:lang w:val="zh-CN"/>
        </w:rPr>
      </w:pPr>
      <w:bookmarkStart w:id="80" w:name="_Toc11173"/>
      <w:bookmarkStart w:id="81" w:name="_Toc15322"/>
      <w:bookmarkStart w:id="82" w:name="_Toc7245"/>
      <w:r>
        <w:rPr>
          <w:rFonts w:hint="eastAsia" w:ascii="宋体" w:hAnsi="宋体" w:cs="@仿宋_GB2312"/>
          <w:b/>
          <w:bCs/>
          <w:sz w:val="24"/>
          <w:szCs w:val="24"/>
          <w:highlight w:val="none"/>
          <w:lang w:val="zh-CN"/>
        </w:rPr>
        <w:t>1.8</w:t>
      </w:r>
      <w:r>
        <w:rPr>
          <w:rFonts w:ascii="宋体" w:hAnsi="宋体" w:cs="@仿宋_GB2312"/>
          <w:b/>
          <w:bCs/>
          <w:sz w:val="24"/>
          <w:szCs w:val="24"/>
          <w:highlight w:val="none"/>
          <w:lang w:val="zh-CN"/>
        </w:rPr>
        <w:t xml:space="preserve"> 合同生效</w:t>
      </w:r>
      <w:bookmarkEnd w:id="80"/>
      <w:bookmarkEnd w:id="81"/>
      <w:bookmarkEnd w:id="82"/>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本合同自</w:t>
      </w:r>
      <w:r>
        <w:rPr>
          <w:rFonts w:hint="eastAsia" w:ascii="宋体" w:hAnsi="宋体" w:cs="@仿宋_GB2312"/>
          <w:sz w:val="24"/>
          <w:szCs w:val="24"/>
          <w:highlight w:val="none"/>
        </w:rPr>
        <w:t>双方当事人盖章时</w:t>
      </w:r>
      <w:r>
        <w:rPr>
          <w:rFonts w:ascii="宋体" w:hAnsi="宋体" w:cs="@仿宋_GB2312"/>
          <w:sz w:val="24"/>
          <w:szCs w:val="24"/>
          <w:highlight w:val="none"/>
        </w:rPr>
        <w:t>生效。</w:t>
      </w:r>
    </w:p>
    <w:p>
      <w:pPr>
        <w:autoSpaceDE w:val="0"/>
        <w:autoSpaceDN w:val="0"/>
        <w:adjustRightInd w:val="0"/>
        <w:spacing w:line="560" w:lineRule="exact"/>
        <w:rPr>
          <w:rFonts w:ascii="宋体" w:hAnsi="宋体" w:cs="@仿宋_GB2312"/>
          <w:sz w:val="24"/>
          <w:szCs w:val="24"/>
          <w:highlight w:val="none"/>
          <w:lang w:val="zh-CN"/>
        </w:rPr>
      </w:pPr>
    </w:p>
    <w:p>
      <w:pPr>
        <w:autoSpaceDE w:val="0"/>
        <w:autoSpaceDN w:val="0"/>
        <w:adjustRightInd w:val="0"/>
        <w:spacing w:line="560" w:lineRule="exact"/>
        <w:rPr>
          <w:rFonts w:ascii="宋体" w:hAnsi="宋体" w:cs="@仿宋_GB2312"/>
          <w:sz w:val="24"/>
          <w:szCs w:val="24"/>
          <w:highlight w:val="none"/>
          <w:lang w:val="zh-CN"/>
        </w:rPr>
      </w:pPr>
    </w:p>
    <w:p>
      <w:pPr>
        <w:autoSpaceDE w:val="0"/>
        <w:autoSpaceDN w:val="0"/>
        <w:adjustRightInd w:val="0"/>
        <w:spacing w:line="560" w:lineRule="exact"/>
        <w:rPr>
          <w:rFonts w:ascii="宋体" w:hAnsi="宋体" w:cs="@仿宋_GB2312"/>
          <w:bCs/>
          <w:sz w:val="24"/>
          <w:szCs w:val="24"/>
          <w:highlight w:val="none"/>
          <w:lang w:val="zh-CN"/>
        </w:rPr>
      </w:pPr>
      <w:r>
        <w:rPr>
          <w:rFonts w:hint="eastAsia" w:ascii="宋体" w:hAnsi="宋体" w:cs="@仿宋_GB2312"/>
          <w:bCs/>
          <w:sz w:val="24"/>
          <w:szCs w:val="24"/>
          <w:highlight w:val="none"/>
          <w:lang w:val="zh-CN"/>
        </w:rPr>
        <w:t xml:space="preserve">甲 </w:t>
      </w:r>
      <w:r>
        <w:rPr>
          <w:rFonts w:ascii="宋体" w:hAnsi="宋体" w:cs="@仿宋_GB2312"/>
          <w:bCs/>
          <w:sz w:val="24"/>
          <w:szCs w:val="24"/>
          <w:highlight w:val="none"/>
          <w:lang w:val="zh-CN"/>
        </w:rPr>
        <w:t xml:space="preserve">   </w:t>
      </w:r>
      <w:r>
        <w:rPr>
          <w:rFonts w:hint="eastAsia" w:ascii="宋体" w:hAnsi="宋体" w:cs="@仿宋_GB2312"/>
          <w:bCs/>
          <w:sz w:val="24"/>
          <w:szCs w:val="24"/>
          <w:highlight w:val="none"/>
          <w:lang w:val="zh-CN"/>
        </w:rPr>
        <w:t>方：</w:t>
      </w:r>
      <w:r>
        <w:rPr>
          <w:rFonts w:hint="eastAsia" w:ascii="宋体" w:hAnsi="宋体" w:cs="@仿宋_GB2312"/>
          <w:bCs/>
          <w:sz w:val="24"/>
          <w:szCs w:val="24"/>
          <w:highlight w:val="none"/>
          <w:u w:val="single"/>
          <w:lang w:val="zh-CN"/>
        </w:rPr>
        <w:t xml:space="preserve">    （单位盖章）     </w:t>
      </w:r>
      <w:r>
        <w:rPr>
          <w:rFonts w:hint="eastAsia" w:ascii="宋体" w:hAnsi="宋体" w:cs="@仿宋_GB2312"/>
          <w:bCs/>
          <w:sz w:val="24"/>
          <w:szCs w:val="24"/>
          <w:highlight w:val="none"/>
          <w:lang w:val="zh-CN"/>
        </w:rPr>
        <w:t xml:space="preserve">          乙方：</w:t>
      </w:r>
      <w:r>
        <w:rPr>
          <w:rFonts w:hint="eastAsia" w:ascii="宋体" w:hAnsi="宋体" w:cs="@仿宋_GB2312"/>
          <w:bCs/>
          <w:sz w:val="24"/>
          <w:szCs w:val="24"/>
          <w:highlight w:val="none"/>
          <w:u w:val="single"/>
          <w:lang w:val="zh-CN"/>
        </w:rPr>
        <w:t xml:space="preserve">    （单位盖章）     </w:t>
      </w:r>
    </w:p>
    <w:p>
      <w:pPr>
        <w:autoSpaceDE w:val="0"/>
        <w:autoSpaceDN w:val="0"/>
        <w:adjustRightInd w:val="0"/>
        <w:spacing w:line="560" w:lineRule="exact"/>
        <w:rPr>
          <w:rFonts w:ascii="宋体" w:hAnsi="宋体" w:cs="@仿宋_GB2312"/>
          <w:sz w:val="24"/>
          <w:szCs w:val="24"/>
          <w:highlight w:val="none"/>
          <w:lang w:val="zh-CN"/>
        </w:rPr>
      </w:pPr>
      <w:r>
        <w:rPr>
          <w:rFonts w:hint="eastAsia" w:ascii="宋体" w:hAnsi="宋体" w:cs="@仿宋_GB2312"/>
          <w:sz w:val="24"/>
          <w:szCs w:val="24"/>
          <w:highlight w:val="none"/>
          <w:lang w:val="zh-CN"/>
        </w:rPr>
        <w:t xml:space="preserve">法定代表人                             </w:t>
      </w:r>
      <w:r>
        <w:rPr>
          <w:rFonts w:ascii="宋体" w:hAnsi="宋体" w:cs="@仿宋_GB2312"/>
          <w:sz w:val="24"/>
          <w:szCs w:val="24"/>
          <w:highlight w:val="none"/>
          <w:lang w:val="zh-CN"/>
        </w:rPr>
        <w:t xml:space="preserve">  </w:t>
      </w:r>
      <w:r>
        <w:rPr>
          <w:rFonts w:hint="eastAsia" w:ascii="宋体" w:hAnsi="宋体" w:cs="@仿宋_GB2312"/>
          <w:sz w:val="24"/>
          <w:szCs w:val="24"/>
          <w:highlight w:val="none"/>
          <w:lang w:val="zh-CN"/>
        </w:rPr>
        <w:t>法定代表人</w:t>
      </w:r>
    </w:p>
    <w:p>
      <w:pPr>
        <w:autoSpaceDE w:val="0"/>
        <w:autoSpaceDN w:val="0"/>
        <w:adjustRightInd w:val="0"/>
        <w:spacing w:line="560" w:lineRule="exact"/>
        <w:rPr>
          <w:rFonts w:ascii="宋体" w:hAnsi="宋体" w:cs="@仿宋_GB2312"/>
          <w:sz w:val="24"/>
          <w:szCs w:val="24"/>
          <w:highlight w:val="none"/>
          <w:lang w:val="zh-CN"/>
        </w:rPr>
      </w:pPr>
      <w:r>
        <w:rPr>
          <w:rFonts w:hint="eastAsia" w:ascii="宋体" w:hAnsi="宋体" w:cs="@仿宋_GB2312"/>
          <w:sz w:val="24"/>
          <w:szCs w:val="24"/>
          <w:highlight w:val="none"/>
          <w:lang w:val="zh-CN"/>
        </w:rPr>
        <w:t>或授权代表（签字）：                      或授权代表（签字）：</w:t>
      </w:r>
    </w:p>
    <w:p>
      <w:pPr>
        <w:widowControl/>
        <w:spacing w:line="560" w:lineRule="exact"/>
        <w:jc w:val="left"/>
        <w:rPr>
          <w:rFonts w:hint="eastAsia" w:ascii="宋体" w:hAnsi="宋体" w:cs="@仿宋_GB2312"/>
          <w:bCs/>
          <w:sz w:val="24"/>
          <w:szCs w:val="24"/>
          <w:highlight w:val="none"/>
        </w:rPr>
      </w:pPr>
      <w:bookmarkStart w:id="83" w:name="_Toc331685783"/>
      <w:r>
        <w:rPr>
          <w:rFonts w:hint="eastAsia" w:ascii="宋体" w:hAnsi="宋体" w:cs="@仿宋_GB2312"/>
          <w:bCs/>
          <w:sz w:val="24"/>
          <w:szCs w:val="24"/>
          <w:highlight w:val="none"/>
        </w:rPr>
        <w:t>时间：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月</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日               时间：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月</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日</w:t>
      </w:r>
    </w:p>
    <w:p>
      <w:pPr>
        <w:widowControl/>
        <w:spacing w:line="560" w:lineRule="exact"/>
        <w:jc w:val="left"/>
        <w:rPr>
          <w:rFonts w:ascii="宋体" w:hAnsi="宋体" w:cs="@仿宋_GB2312"/>
          <w:bCs/>
          <w:sz w:val="24"/>
          <w:szCs w:val="24"/>
          <w:highlight w:val="none"/>
        </w:rPr>
      </w:pPr>
    </w:p>
    <w:p>
      <w:pPr>
        <w:spacing w:line="360" w:lineRule="auto"/>
        <w:ind w:firstLine="4380" w:firstLineChars="2000"/>
        <w:rPr>
          <w:rFonts w:ascii="宋体" w:hAnsi="宋体"/>
          <w:bCs/>
          <w:sz w:val="24"/>
          <w:szCs w:val="24"/>
          <w:highlight w:val="none"/>
        </w:rPr>
      </w:pPr>
      <w:r>
        <w:rPr>
          <w:rFonts w:hint="eastAsia" w:ascii="宋体" w:hAnsi="宋体"/>
          <w:bCs/>
          <w:sz w:val="24"/>
          <w:szCs w:val="24"/>
          <w:highlight w:val="none"/>
        </w:rPr>
        <w:t>乙方账户信息</w:t>
      </w:r>
    </w:p>
    <w:p>
      <w:pPr>
        <w:spacing w:line="360" w:lineRule="auto"/>
        <w:ind w:firstLine="435"/>
        <w:rPr>
          <w:rFonts w:ascii="宋体" w:hAnsi="宋体"/>
          <w:bCs/>
          <w:sz w:val="24"/>
          <w:szCs w:val="24"/>
          <w:highlight w:val="none"/>
          <w:u w:val="single"/>
        </w:rPr>
      </w:pPr>
      <w:r>
        <w:rPr>
          <w:rFonts w:hint="eastAsia" w:ascii="宋体" w:hAnsi="宋体"/>
          <w:bCs/>
          <w:sz w:val="24"/>
          <w:szCs w:val="24"/>
          <w:highlight w:val="none"/>
        </w:rPr>
        <w:t xml:space="preserve">                                     户名：</w:t>
      </w:r>
      <w:r>
        <w:rPr>
          <w:rFonts w:hint="eastAsia" w:ascii="宋体" w:hAnsi="宋体"/>
          <w:bCs/>
          <w:sz w:val="24"/>
          <w:szCs w:val="24"/>
          <w:highlight w:val="none"/>
          <w:u w:val="single"/>
        </w:rPr>
        <w:t xml:space="preserve">                    </w:t>
      </w:r>
    </w:p>
    <w:p>
      <w:pPr>
        <w:spacing w:line="360" w:lineRule="auto"/>
        <w:ind w:firstLine="435"/>
        <w:rPr>
          <w:rFonts w:ascii="宋体" w:hAnsi="宋体"/>
          <w:bCs/>
          <w:sz w:val="24"/>
          <w:szCs w:val="24"/>
          <w:highlight w:val="none"/>
          <w:u w:val="single"/>
        </w:rPr>
      </w:pPr>
      <w:r>
        <w:rPr>
          <w:rFonts w:hint="eastAsia" w:ascii="宋体" w:hAnsi="宋体"/>
          <w:bCs/>
          <w:sz w:val="24"/>
          <w:szCs w:val="24"/>
          <w:highlight w:val="none"/>
        </w:rPr>
        <w:t xml:space="preserve">                                     账号：</w:t>
      </w:r>
      <w:r>
        <w:rPr>
          <w:rFonts w:hint="eastAsia" w:ascii="宋体" w:hAnsi="宋体"/>
          <w:bCs/>
          <w:sz w:val="24"/>
          <w:szCs w:val="24"/>
          <w:highlight w:val="none"/>
          <w:u w:val="single"/>
        </w:rPr>
        <w:t xml:space="preserve">                    </w:t>
      </w:r>
    </w:p>
    <w:p>
      <w:pPr>
        <w:spacing w:line="360" w:lineRule="auto"/>
        <w:ind w:firstLine="435"/>
        <w:rPr>
          <w:rFonts w:hint="eastAsia" w:ascii="宋体" w:hAnsi="宋体"/>
          <w:bCs/>
          <w:sz w:val="24"/>
          <w:szCs w:val="24"/>
          <w:highlight w:val="none"/>
          <w:u w:val="single"/>
        </w:rPr>
      </w:pPr>
      <w:r>
        <w:rPr>
          <w:rFonts w:hint="eastAsia" w:ascii="宋体" w:hAnsi="宋体"/>
          <w:bCs/>
          <w:sz w:val="24"/>
          <w:szCs w:val="24"/>
          <w:highlight w:val="none"/>
        </w:rPr>
        <w:t xml:space="preserve">                                     开户银行：</w:t>
      </w:r>
      <w:r>
        <w:rPr>
          <w:rFonts w:hint="eastAsia" w:ascii="宋体" w:hAnsi="宋体"/>
          <w:bCs/>
          <w:sz w:val="24"/>
          <w:szCs w:val="24"/>
          <w:highlight w:val="none"/>
          <w:u w:val="single"/>
        </w:rPr>
        <w:t xml:space="preserve">                </w:t>
      </w:r>
    </w:p>
    <w:p>
      <w:pPr>
        <w:widowControl/>
        <w:jc w:val="left"/>
        <w:rPr>
          <w:rFonts w:ascii="宋体" w:hAnsi="宋体" w:cs="@仿宋_GB2312"/>
          <w:b/>
          <w:sz w:val="24"/>
          <w:szCs w:val="24"/>
          <w:highlight w:val="none"/>
        </w:rPr>
      </w:pPr>
      <w:r>
        <w:rPr>
          <w:rFonts w:ascii="宋体" w:hAnsi="宋体" w:cs="@仿宋_GB2312"/>
          <w:b/>
          <w:sz w:val="24"/>
          <w:szCs w:val="24"/>
          <w:highlight w:val="none"/>
        </w:rPr>
        <w:br w:type="page"/>
      </w:r>
    </w:p>
    <w:p>
      <w:pPr>
        <w:spacing w:line="360" w:lineRule="auto"/>
        <w:jc w:val="center"/>
        <w:outlineLvl w:val="2"/>
        <w:rPr>
          <w:rFonts w:ascii="宋体" w:hAnsi="宋体" w:cs="@仿宋_GB2312"/>
          <w:b/>
          <w:sz w:val="24"/>
          <w:szCs w:val="24"/>
          <w:highlight w:val="none"/>
        </w:rPr>
      </w:pPr>
      <w:r>
        <w:rPr>
          <w:rFonts w:hint="eastAsia" w:ascii="宋体" w:hAnsi="宋体" w:cs="@仿宋_GB2312"/>
          <w:b/>
          <w:sz w:val="24"/>
          <w:szCs w:val="24"/>
          <w:highlight w:val="none"/>
        </w:rPr>
        <w:t>第二部分</w:t>
      </w:r>
      <w:r>
        <w:rPr>
          <w:rFonts w:ascii="宋体" w:hAnsi="宋体" w:cs="@仿宋_GB2312"/>
          <w:b/>
          <w:sz w:val="24"/>
          <w:szCs w:val="24"/>
          <w:highlight w:val="none"/>
        </w:rPr>
        <w:t xml:space="preserve"> </w:t>
      </w:r>
      <w:r>
        <w:rPr>
          <w:rFonts w:hint="eastAsia" w:ascii="宋体" w:hAnsi="宋体" w:cs="@仿宋_GB2312"/>
          <w:b/>
          <w:sz w:val="24"/>
          <w:szCs w:val="24"/>
          <w:highlight w:val="none"/>
        </w:rPr>
        <w:t>合同一般条款</w:t>
      </w:r>
      <w:bookmarkEnd w:id="83"/>
    </w:p>
    <w:p>
      <w:pPr>
        <w:spacing w:line="360" w:lineRule="auto"/>
        <w:ind w:firstLine="437"/>
        <w:outlineLvl w:val="3"/>
        <w:rPr>
          <w:rFonts w:ascii="宋体" w:hAnsi="宋体" w:cs="@仿宋_GB2312"/>
          <w:b/>
          <w:bCs/>
          <w:sz w:val="24"/>
          <w:szCs w:val="24"/>
          <w:highlight w:val="none"/>
          <w:lang w:val="zh-CN"/>
        </w:rPr>
      </w:pPr>
      <w:bookmarkStart w:id="84" w:name="_Ref467378499"/>
      <w:bookmarkStart w:id="85" w:name="_Ref467379094"/>
      <w:bookmarkStart w:id="86" w:name="_Ref467379205"/>
      <w:bookmarkStart w:id="87" w:name="_Ref467378404"/>
      <w:bookmarkStart w:id="88" w:name="_Ref467379101"/>
      <w:bookmarkStart w:id="89" w:name="_Toc16917"/>
      <w:bookmarkStart w:id="90" w:name="_Ref467379225"/>
      <w:bookmarkStart w:id="91" w:name="_Ref467379109"/>
      <w:bookmarkStart w:id="92" w:name="_Ref467379214"/>
      <w:bookmarkStart w:id="93" w:name="_Ref467379195"/>
      <w:bookmarkStart w:id="94" w:name="_Toc487900349"/>
      <w:bookmarkStart w:id="95" w:name="_Ref467378463"/>
      <w:bookmarkStart w:id="96" w:name="_Toc28763"/>
      <w:bookmarkStart w:id="97" w:name="_Toc259093669"/>
      <w:bookmarkStart w:id="98" w:name="_Toc19614"/>
      <w:bookmarkStart w:id="99" w:name="_Toc279701240"/>
      <w:r>
        <w:rPr>
          <w:rFonts w:hint="eastAsia" w:ascii="宋体" w:hAnsi="宋体" w:cs="@仿宋_GB2312"/>
          <w:b/>
          <w:bCs/>
          <w:sz w:val="24"/>
          <w:szCs w:val="24"/>
          <w:highlight w:val="none"/>
          <w:lang w:val="zh-CN"/>
        </w:rPr>
        <w:t>2.1</w:t>
      </w:r>
      <w:r>
        <w:rPr>
          <w:rFonts w:ascii="宋体" w:hAnsi="宋体" w:cs="@仿宋_GB2312"/>
          <w:b/>
          <w:bCs/>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本合同中的下列</w:t>
      </w:r>
      <w:r>
        <w:rPr>
          <w:rFonts w:hint="eastAsia" w:ascii="宋体" w:hAnsi="宋体" w:cs="@仿宋_GB2312"/>
          <w:sz w:val="24"/>
          <w:szCs w:val="24"/>
          <w:highlight w:val="none"/>
        </w:rPr>
        <w:t>词</w:t>
      </w:r>
      <w:r>
        <w:rPr>
          <w:rFonts w:ascii="宋体" w:hAnsi="宋体" w:cs="@仿宋_GB2312"/>
          <w:sz w:val="24"/>
          <w:szCs w:val="24"/>
          <w:highlight w:val="none"/>
        </w:rPr>
        <w:t>语应</w:t>
      </w:r>
      <w:r>
        <w:rPr>
          <w:rFonts w:hint="eastAsia" w:ascii="宋体" w:hAnsi="宋体" w:cs="@仿宋_GB2312"/>
          <w:sz w:val="24"/>
          <w:szCs w:val="24"/>
          <w:highlight w:val="none"/>
        </w:rPr>
        <w:t>按以下内容进行</w:t>
      </w:r>
      <w:r>
        <w:rPr>
          <w:rFonts w:ascii="宋体" w:hAnsi="宋体" w:cs="@仿宋_GB2312"/>
          <w:sz w:val="24"/>
          <w:szCs w:val="24"/>
          <w:highlight w:val="none"/>
        </w:rPr>
        <w:t>解释：</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.1</w:t>
      </w:r>
      <w:r>
        <w:rPr>
          <w:rFonts w:ascii="宋体" w:hAnsi="宋体" w:cs="@仿宋_GB2312"/>
          <w:sz w:val="24"/>
          <w:szCs w:val="24"/>
          <w:highlight w:val="none"/>
        </w:rPr>
        <w:t>“合同”系指招标人和中标人签订的载明双方当事人所达成的协议，并包括所有的附件、附录和构成合同的其他文件。</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1.2“合同价”系指根据合同约定，中标人在完全履行合同义务后</w:t>
      </w:r>
      <w:r>
        <w:rPr>
          <w:rFonts w:hint="eastAsia" w:ascii="宋体" w:hAnsi="宋体" w:cs="@仿宋_GB2312"/>
          <w:sz w:val="24"/>
          <w:szCs w:val="24"/>
          <w:highlight w:val="none"/>
        </w:rPr>
        <w:t>，</w:t>
      </w:r>
      <w:r>
        <w:rPr>
          <w:rFonts w:ascii="宋体" w:hAnsi="宋体" w:cs="@仿宋_GB2312"/>
          <w:sz w:val="24"/>
          <w:szCs w:val="24"/>
          <w:highlight w:val="none"/>
        </w:rPr>
        <w:t>招标人应支付给中标人的价格。</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1.3“货物”系指</w:t>
      </w:r>
      <w:r>
        <w:rPr>
          <w:rFonts w:hint="eastAsia" w:ascii="宋体" w:hAnsi="宋体" w:cs="@仿宋_GB2312"/>
          <w:sz w:val="24"/>
          <w:szCs w:val="24"/>
          <w:highlight w:val="none"/>
        </w:rPr>
        <w:t>中标人</w:t>
      </w:r>
      <w:r>
        <w:rPr>
          <w:rFonts w:ascii="宋体" w:hAnsi="宋体" w:cs="@仿宋_GB2312"/>
          <w:sz w:val="24"/>
          <w:szCs w:val="24"/>
          <w:highlight w:val="none"/>
        </w:rPr>
        <w:t>根据合同约定应向招标人交付的一切</w:t>
      </w:r>
      <w:r>
        <w:rPr>
          <w:rFonts w:hint="eastAsia" w:ascii="宋体" w:hAnsi="宋体" w:cs="@仿宋_GB2312"/>
          <w:sz w:val="24"/>
          <w:szCs w:val="24"/>
          <w:highlight w:val="none"/>
        </w:rPr>
        <w:t>各种形态和种类的物品，包括原材料、燃料、设备、</w:t>
      </w:r>
      <w:r>
        <w:rPr>
          <w:rFonts w:ascii="宋体" w:hAnsi="宋体" w:cs="@仿宋_GB2312"/>
          <w:sz w:val="24"/>
          <w:szCs w:val="24"/>
          <w:highlight w:val="none"/>
        </w:rPr>
        <w:t>机械、仪表、备件</w:t>
      </w:r>
      <w:r>
        <w:rPr>
          <w:rFonts w:hint="eastAsia" w:ascii="宋体" w:hAnsi="宋体" w:cs="@仿宋_GB2312"/>
          <w:sz w:val="24"/>
          <w:szCs w:val="24"/>
          <w:highlight w:val="none"/>
        </w:rPr>
        <w:t>、计算机软件、产品等</w:t>
      </w:r>
      <w:r>
        <w:rPr>
          <w:rFonts w:ascii="宋体" w:hAnsi="宋体" w:cs="@仿宋_GB2312"/>
          <w:sz w:val="24"/>
          <w:szCs w:val="24"/>
          <w:highlight w:val="none"/>
        </w:rPr>
        <w:t>，并包括工具、手册等其他相关资料。</w:t>
      </w:r>
    </w:p>
    <w:p>
      <w:pPr>
        <w:spacing w:line="360" w:lineRule="auto"/>
        <w:ind w:firstLine="435"/>
        <w:rPr>
          <w:rFonts w:ascii="宋体" w:hAnsi="宋体" w:cs="@仿宋_GB2312"/>
          <w:sz w:val="24"/>
          <w:szCs w:val="24"/>
          <w:highlight w:val="none"/>
        </w:rPr>
      </w:pPr>
      <w:bookmarkStart w:id="100" w:name="_Ref467378840"/>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4</w:t>
      </w:r>
      <w:r>
        <w:rPr>
          <w:rFonts w:ascii="宋体" w:hAnsi="宋体" w:cs="@仿宋_GB2312"/>
          <w:sz w:val="24"/>
          <w:szCs w:val="24"/>
          <w:highlight w:val="none"/>
        </w:rPr>
        <w:t>“</w:t>
      </w:r>
      <w:r>
        <w:rPr>
          <w:rFonts w:hint="eastAsia" w:ascii="宋体" w:hAnsi="宋体" w:cs="@仿宋_GB2312"/>
          <w:sz w:val="24"/>
          <w:szCs w:val="24"/>
          <w:highlight w:val="none"/>
        </w:rPr>
        <w:t>甲方</w:t>
      </w:r>
      <w:r>
        <w:rPr>
          <w:rFonts w:ascii="宋体" w:hAnsi="宋体" w:cs="@仿宋_GB2312"/>
          <w:sz w:val="24"/>
          <w:szCs w:val="24"/>
          <w:highlight w:val="none"/>
        </w:rPr>
        <w:t>”系指与</w:t>
      </w:r>
      <w:r>
        <w:rPr>
          <w:rFonts w:hint="eastAsia" w:ascii="宋体" w:hAnsi="宋体" w:cs="@仿宋_GB2312"/>
          <w:sz w:val="24"/>
          <w:szCs w:val="24"/>
          <w:highlight w:val="none"/>
        </w:rPr>
        <w:t>中标人</w:t>
      </w:r>
      <w:r>
        <w:rPr>
          <w:rFonts w:ascii="宋体" w:hAnsi="宋体" w:cs="@仿宋_GB2312"/>
          <w:sz w:val="24"/>
          <w:szCs w:val="24"/>
          <w:highlight w:val="none"/>
        </w:rPr>
        <w:t>签署合同的招标人</w:t>
      </w:r>
      <w:bookmarkEnd w:id="100"/>
      <w:r>
        <w:rPr>
          <w:rFonts w:hint="eastAsia" w:ascii="宋体" w:hAnsi="宋体" w:cs="@仿宋_GB2312"/>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sz w:val="24"/>
          <w:szCs w:val="24"/>
          <w:highlight w:val="none"/>
        </w:rPr>
      </w:pPr>
      <w:bookmarkStart w:id="101" w:name="_Ref467379400"/>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5</w:t>
      </w:r>
      <w:r>
        <w:rPr>
          <w:rFonts w:ascii="宋体" w:hAnsi="宋体" w:cs="@仿宋_GB2312"/>
          <w:sz w:val="24"/>
          <w:szCs w:val="24"/>
          <w:highlight w:val="none"/>
        </w:rPr>
        <w:t>“乙方”系指根据合同约定交付货物的中标人</w:t>
      </w:r>
      <w:bookmarkEnd w:id="101"/>
      <w:r>
        <w:rPr>
          <w:rFonts w:hint="eastAsia" w:ascii="宋体" w:hAnsi="宋体" w:cs="@仿宋_GB2312"/>
          <w:sz w:val="24"/>
          <w:szCs w:val="24"/>
          <w:highlight w:val="none"/>
        </w:rPr>
        <w:t>；两个以上的自然人、法人或者其他组织组成一个联合体，以一个投标人的身份共同参加投标的，联合体各方均应为乙方或者与乙方相同地位的合同当事人，并就合同约定的事项对甲方承担连带责任。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sz w:val="24"/>
          <w:szCs w:val="24"/>
          <w:highlight w:val="none"/>
        </w:rPr>
      </w:pPr>
      <w:bookmarkStart w:id="102" w:name="_Ref467379436"/>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6</w:t>
      </w:r>
      <w:r>
        <w:rPr>
          <w:rFonts w:ascii="宋体" w:hAnsi="宋体" w:cs="@仿宋_GB2312"/>
          <w:sz w:val="24"/>
          <w:szCs w:val="24"/>
          <w:highlight w:val="none"/>
        </w:rPr>
        <w:t>“现场”系指合同约定货物将要运至</w:t>
      </w:r>
      <w:r>
        <w:rPr>
          <w:rFonts w:hint="eastAsia" w:ascii="宋体" w:hAnsi="宋体" w:cs="@仿宋_GB2312"/>
          <w:sz w:val="24"/>
          <w:szCs w:val="24"/>
          <w:highlight w:val="none"/>
        </w:rPr>
        <w:t>或者</w:t>
      </w:r>
      <w:r>
        <w:rPr>
          <w:rFonts w:ascii="宋体" w:hAnsi="宋体" w:cs="@仿宋_GB2312"/>
          <w:sz w:val="24"/>
          <w:szCs w:val="24"/>
          <w:highlight w:val="none"/>
        </w:rPr>
        <w:t>安装的地点。</w:t>
      </w:r>
      <w:bookmarkEnd w:id="102"/>
    </w:p>
    <w:p>
      <w:pPr>
        <w:spacing w:line="360" w:lineRule="auto"/>
        <w:ind w:firstLine="437"/>
        <w:outlineLvl w:val="3"/>
        <w:rPr>
          <w:rFonts w:ascii="宋体" w:hAnsi="宋体" w:cs="@仿宋_GB2312"/>
          <w:b/>
          <w:bCs/>
          <w:sz w:val="24"/>
          <w:szCs w:val="24"/>
          <w:highlight w:val="none"/>
          <w:lang w:val="zh-CN"/>
        </w:rPr>
      </w:pPr>
      <w:bookmarkStart w:id="103" w:name="_Toc32504"/>
      <w:bookmarkStart w:id="104" w:name="_Toc487900350"/>
      <w:bookmarkStart w:id="105" w:name="_Toc259093670"/>
      <w:bookmarkStart w:id="106" w:name="_Toc27635"/>
      <w:bookmarkStart w:id="107" w:name="_Toc279701241"/>
      <w:bookmarkStart w:id="108" w:name="_Toc13336"/>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2 技术规范</w:t>
      </w:r>
      <w:bookmarkEnd w:id="103"/>
      <w:bookmarkEnd w:id="104"/>
      <w:bookmarkEnd w:id="105"/>
      <w:bookmarkEnd w:id="106"/>
      <w:bookmarkEnd w:id="107"/>
      <w:bookmarkEnd w:id="108"/>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货物所应遵守的技术规范应与磋商文件规定的技术规范和技术规范附件(如果有的话)及其技术规范偏差表(如果被甲方接受的话)相一致</w:t>
      </w:r>
      <w:r>
        <w:rPr>
          <w:rFonts w:hint="eastAsia" w:ascii="宋体" w:hAnsi="宋体" w:cs="@仿宋_GB2312"/>
          <w:sz w:val="24"/>
          <w:szCs w:val="24"/>
          <w:highlight w:val="none"/>
        </w:rPr>
        <w:t>；</w:t>
      </w:r>
      <w:r>
        <w:rPr>
          <w:rFonts w:ascii="宋体" w:hAnsi="宋体" w:cs="@仿宋_GB2312"/>
          <w:sz w:val="24"/>
          <w:szCs w:val="24"/>
          <w:highlight w:val="none"/>
        </w:rPr>
        <w:t>如果磋商文件中没有技术规范的相应说明，那么应以国家有关部门最新颁布的相应标准</w:t>
      </w:r>
      <w:r>
        <w:rPr>
          <w:rFonts w:hint="eastAsia" w:ascii="宋体" w:hAnsi="宋体" w:cs="@仿宋_GB2312"/>
          <w:sz w:val="24"/>
          <w:szCs w:val="24"/>
          <w:highlight w:val="none"/>
        </w:rPr>
        <w:t>和</w:t>
      </w:r>
      <w:r>
        <w:rPr>
          <w:rFonts w:ascii="宋体" w:hAnsi="宋体" w:cs="@仿宋_GB2312"/>
          <w:sz w:val="24"/>
          <w:szCs w:val="24"/>
          <w:highlight w:val="none"/>
        </w:rPr>
        <w:t>规范为准。</w:t>
      </w:r>
    </w:p>
    <w:p>
      <w:pPr>
        <w:spacing w:line="360" w:lineRule="auto"/>
        <w:ind w:firstLine="437"/>
        <w:outlineLvl w:val="3"/>
        <w:rPr>
          <w:rFonts w:ascii="宋体" w:hAnsi="宋体" w:cs="@仿宋_GB2312"/>
          <w:b/>
          <w:bCs/>
          <w:sz w:val="24"/>
          <w:szCs w:val="24"/>
          <w:highlight w:val="none"/>
          <w:lang w:val="zh-CN"/>
        </w:rPr>
      </w:pPr>
      <w:bookmarkStart w:id="109" w:name="_Toc279701242"/>
      <w:bookmarkStart w:id="110" w:name="_Toc27853"/>
      <w:bookmarkStart w:id="111" w:name="_Toc9829"/>
      <w:bookmarkStart w:id="112" w:name="_Toc259093671"/>
      <w:bookmarkStart w:id="113" w:name="_Toc487900351"/>
      <w:bookmarkStart w:id="114" w:name="_Toc31634"/>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3 知识产权</w:t>
      </w:r>
      <w:bookmarkEnd w:id="109"/>
      <w:bookmarkEnd w:id="110"/>
      <w:bookmarkEnd w:id="111"/>
      <w:bookmarkEnd w:id="112"/>
      <w:bookmarkEnd w:id="113"/>
      <w:bookmarkEnd w:id="114"/>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2.3.1乙</w:t>
      </w:r>
      <w:r>
        <w:rPr>
          <w:rFonts w:ascii="宋体" w:hAnsi="宋体" w:cs="@仿宋_GB2312"/>
          <w:sz w:val="24"/>
          <w:szCs w:val="24"/>
          <w:highlight w:val="none"/>
        </w:rPr>
        <w:t>方应保证甲方在使用该货物或其任何一部分时不受任何第三方提出的侵犯其著作权、商标权、专利权等知识产权方面的起诉</w:t>
      </w:r>
      <w:r>
        <w:rPr>
          <w:rFonts w:hint="eastAsia" w:ascii="宋体" w:hAnsi="宋体" w:cs="@仿宋_GB2312"/>
          <w:sz w:val="24"/>
          <w:szCs w:val="24"/>
          <w:highlight w:val="none"/>
        </w:rPr>
        <w:t>；</w:t>
      </w:r>
      <w:r>
        <w:rPr>
          <w:rFonts w:ascii="宋体" w:hAnsi="宋体" w:cs="@仿宋_GB2312"/>
          <w:sz w:val="24"/>
          <w:szCs w:val="24"/>
          <w:highlight w:val="none"/>
        </w:rPr>
        <w:t>如果任何第三方提出侵权</w:t>
      </w:r>
      <w:r>
        <w:rPr>
          <w:rFonts w:hint="eastAsia" w:ascii="宋体" w:hAnsi="宋体" w:cs="@仿宋_GB2312"/>
          <w:sz w:val="24"/>
          <w:szCs w:val="24"/>
          <w:highlight w:val="none"/>
        </w:rPr>
        <w:t>指控</w:t>
      </w:r>
      <w:r>
        <w:rPr>
          <w:rFonts w:ascii="宋体" w:hAnsi="宋体" w:cs="@仿宋_GB2312"/>
          <w:sz w:val="24"/>
          <w:szCs w:val="24"/>
          <w:highlight w:val="none"/>
        </w:rPr>
        <w:t>，那么乙方须与该第三方交涉并承担由此发生的一切责任、费用和赔偿</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2.3.2具有知识产权的计算机软件等货物的知识产权归属，</w:t>
      </w: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sz w:val="24"/>
          <w:szCs w:val="24"/>
          <w:highlight w:val="none"/>
        </w:rPr>
      </w:pPr>
      <w:bookmarkStart w:id="115" w:name="_Toc11932"/>
      <w:bookmarkStart w:id="116" w:name="_Toc29149"/>
      <w:bookmarkStart w:id="117" w:name="_Toc4194"/>
      <w:r>
        <w:rPr>
          <w:rFonts w:hint="eastAsia" w:ascii="宋体" w:hAnsi="宋体" w:cs="@仿宋_GB2312"/>
          <w:b/>
          <w:bCs/>
          <w:sz w:val="24"/>
          <w:szCs w:val="24"/>
          <w:highlight w:val="none"/>
          <w:lang w:val="zh-CN"/>
        </w:rPr>
        <w:t>2.4</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包装和装运</w:t>
      </w:r>
      <w:bookmarkEnd w:id="115"/>
      <w:bookmarkEnd w:id="116"/>
      <w:bookmarkEnd w:id="117"/>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2.4.1除</w:t>
      </w:r>
      <w:r>
        <w:rPr>
          <w:rFonts w:ascii="宋体" w:hAnsi="宋体" w:cs="@仿宋_GB2312"/>
          <w:b/>
          <w:i/>
          <w:sz w:val="24"/>
          <w:szCs w:val="24"/>
          <w:highlight w:val="none"/>
          <w:u w:val="single"/>
        </w:rPr>
        <w:t>合同专用条款</w:t>
      </w:r>
      <w:r>
        <w:rPr>
          <w:rFonts w:hint="eastAsia" w:ascii="宋体" w:hAnsi="宋体" w:cs="@仿宋_GB2312"/>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2.4.2装运货物的要求和通知，详见</w:t>
      </w:r>
      <w:r>
        <w:rPr>
          <w:rFonts w:ascii="宋体" w:hAnsi="宋体" w:cs="@仿宋_GB2312"/>
          <w:b/>
          <w:i/>
          <w:sz w:val="24"/>
          <w:szCs w:val="24"/>
          <w:highlight w:val="none"/>
          <w:u w:val="single"/>
        </w:rPr>
        <w:t>合同专用条款</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18" w:name="_Ref467378591"/>
      <w:bookmarkStart w:id="119" w:name="_Toc259093674"/>
      <w:bookmarkStart w:id="120" w:name="_Ref467378541"/>
      <w:bookmarkStart w:id="121" w:name="_Toc487900354"/>
      <w:bookmarkStart w:id="122" w:name="_Ref467379527"/>
      <w:bookmarkStart w:id="123" w:name="_Toc279701245"/>
      <w:bookmarkStart w:id="124" w:name="_Ref467379536"/>
      <w:bookmarkStart w:id="125" w:name="_Ref467379542"/>
      <w:bookmarkStart w:id="126" w:name="_Toc19074"/>
      <w:bookmarkStart w:id="127" w:name="_Toc30272"/>
      <w:bookmarkStart w:id="128" w:name="_Toc26182"/>
      <w:r>
        <w:rPr>
          <w:rFonts w:hint="eastAsia" w:ascii="宋体" w:hAnsi="宋体" w:cs="@仿宋_GB2312"/>
          <w:b/>
          <w:bCs/>
          <w:sz w:val="24"/>
          <w:szCs w:val="24"/>
          <w:highlight w:val="none"/>
          <w:lang w:val="zh-CN"/>
        </w:rPr>
        <w:t>2.</w:t>
      </w:r>
      <w:bookmarkEnd w:id="118"/>
      <w:bookmarkEnd w:id="119"/>
      <w:bookmarkEnd w:id="120"/>
      <w:bookmarkEnd w:id="121"/>
      <w:bookmarkEnd w:id="122"/>
      <w:bookmarkEnd w:id="123"/>
      <w:bookmarkEnd w:id="124"/>
      <w:bookmarkEnd w:id="125"/>
      <w:r>
        <w:rPr>
          <w:rFonts w:hint="eastAsia" w:ascii="宋体" w:hAnsi="宋体" w:cs="@仿宋_GB2312"/>
          <w:b/>
          <w:bCs/>
          <w:sz w:val="24"/>
          <w:szCs w:val="24"/>
          <w:highlight w:val="none"/>
          <w:lang w:val="zh-CN"/>
        </w:rPr>
        <w:t>5</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履约检查和问题反馈</w:t>
      </w:r>
      <w:bookmarkEnd w:id="126"/>
      <w:bookmarkEnd w:id="127"/>
      <w:bookmarkEnd w:id="128"/>
    </w:p>
    <w:p>
      <w:pPr>
        <w:spacing w:line="360" w:lineRule="auto"/>
        <w:ind w:firstLine="435"/>
        <w:rPr>
          <w:rFonts w:ascii="宋体" w:hAnsi="宋体" w:cs="@仿宋_GB2312"/>
          <w:sz w:val="24"/>
          <w:szCs w:val="24"/>
          <w:highlight w:val="none"/>
        </w:rPr>
      </w:pPr>
      <w:bookmarkStart w:id="129" w:name="_Ref467379657"/>
      <w:r>
        <w:rPr>
          <w:rFonts w:hint="eastAsia" w:ascii="宋体" w:hAnsi="宋体" w:cs="@仿宋_GB2312"/>
          <w:sz w:val="24"/>
          <w:szCs w:val="24"/>
          <w:highlight w:val="none"/>
        </w:rPr>
        <w:t>2.5</w:t>
      </w:r>
      <w:r>
        <w:rPr>
          <w:rFonts w:ascii="宋体" w:hAnsi="宋体" w:cs="@仿宋_GB2312"/>
          <w:sz w:val="24"/>
          <w:szCs w:val="24"/>
          <w:highlight w:val="none"/>
        </w:rPr>
        <w:t>.1</w:t>
      </w:r>
      <w:bookmarkEnd w:id="129"/>
      <w:bookmarkStart w:id="130" w:name="_Toc186431854"/>
      <w:bookmarkStart w:id="131" w:name="_Toc487900357"/>
      <w:bookmarkStart w:id="132" w:name="_Ref467379793"/>
      <w:bookmarkStart w:id="133" w:name="_Toc279701247"/>
      <w:bookmarkStart w:id="134" w:name="_Ref467379807"/>
      <w:bookmarkStart w:id="135" w:name="_Toc259093676"/>
      <w:r>
        <w:rPr>
          <w:rFonts w:ascii="宋体" w:hAnsi="宋体" w:cs="@仿宋_GB2312"/>
          <w:sz w:val="24"/>
          <w:szCs w:val="24"/>
          <w:highlight w:val="none"/>
        </w:rPr>
        <w:t>甲方</w:t>
      </w:r>
      <w:r>
        <w:rPr>
          <w:rFonts w:hint="eastAsia" w:ascii="宋体" w:hAnsi="宋体" w:cs="@仿宋_GB2312"/>
          <w:sz w:val="24"/>
          <w:szCs w:val="24"/>
          <w:highlight w:val="none"/>
        </w:rPr>
        <w:t>有权</w:t>
      </w:r>
      <w:r>
        <w:rPr>
          <w:rFonts w:ascii="宋体" w:hAnsi="宋体" w:cs="@仿宋_GB2312"/>
          <w:sz w:val="24"/>
          <w:szCs w:val="24"/>
          <w:highlight w:val="none"/>
        </w:rPr>
        <w:t>在其认为必要时</w:t>
      </w:r>
      <w:r>
        <w:rPr>
          <w:rFonts w:hint="eastAsia" w:ascii="宋体" w:hAnsi="宋体" w:cs="@仿宋_GB2312"/>
          <w:sz w:val="24"/>
          <w:szCs w:val="24"/>
          <w:highlight w:val="none"/>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2.5.2合同履行期间，甲方有权将履行过程中出现的问题反馈给乙方，双方当事人应以书面形式约定需要完善和改进的内容</w:t>
      </w:r>
      <w:bookmarkEnd w:id="130"/>
      <w:bookmarkStart w:id="136" w:name="_Toc186431855"/>
      <w:r>
        <w:rPr>
          <w:rFonts w:hint="eastAsia" w:ascii="宋体" w:hAnsi="宋体" w:cs="@仿宋_GB2312"/>
          <w:sz w:val="24"/>
          <w:szCs w:val="24"/>
          <w:highlight w:val="none"/>
        </w:rPr>
        <w:t>。</w:t>
      </w:r>
    </w:p>
    <w:bookmarkEnd w:id="136"/>
    <w:p>
      <w:pPr>
        <w:spacing w:line="360" w:lineRule="auto"/>
        <w:ind w:firstLine="437"/>
        <w:outlineLvl w:val="3"/>
        <w:rPr>
          <w:rFonts w:ascii="宋体" w:hAnsi="宋体" w:cs="@仿宋_GB2312"/>
          <w:b/>
          <w:bCs/>
          <w:sz w:val="24"/>
          <w:szCs w:val="24"/>
          <w:highlight w:val="none"/>
          <w:lang w:val="zh-CN"/>
        </w:rPr>
      </w:pPr>
      <w:bookmarkStart w:id="137" w:name="_Toc28451"/>
      <w:bookmarkStart w:id="138" w:name="_Toc19219"/>
      <w:bookmarkStart w:id="139" w:name="_Toc7836"/>
      <w:r>
        <w:rPr>
          <w:rFonts w:hint="eastAsia" w:ascii="宋体" w:hAnsi="宋体" w:cs="@仿宋_GB2312"/>
          <w:b/>
          <w:bCs/>
          <w:sz w:val="24"/>
          <w:szCs w:val="24"/>
          <w:highlight w:val="none"/>
          <w:lang w:val="zh-CN"/>
        </w:rPr>
        <w:t xml:space="preserve">2.6 </w:t>
      </w:r>
      <w:r>
        <w:rPr>
          <w:rFonts w:ascii="宋体" w:hAnsi="宋体" w:cs="@仿宋_GB2312"/>
          <w:b/>
          <w:bCs/>
          <w:sz w:val="24"/>
          <w:szCs w:val="24"/>
          <w:highlight w:val="none"/>
          <w:lang w:val="zh-CN"/>
        </w:rPr>
        <w:t>结算方式和付款条件</w:t>
      </w:r>
      <w:bookmarkEnd w:id="131"/>
      <w:bookmarkEnd w:id="132"/>
      <w:bookmarkEnd w:id="133"/>
      <w:bookmarkEnd w:id="134"/>
      <w:bookmarkEnd w:id="135"/>
      <w:bookmarkEnd w:id="137"/>
      <w:bookmarkEnd w:id="138"/>
      <w:bookmarkEnd w:id="139"/>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40" w:name="_Ref467379852"/>
      <w:bookmarkStart w:id="141" w:name="_Toc487900358"/>
      <w:bookmarkStart w:id="142" w:name="_Toc259093677"/>
      <w:bookmarkStart w:id="143" w:name="_Ref467379863"/>
      <w:bookmarkStart w:id="144" w:name="_Ref467379923"/>
      <w:bookmarkStart w:id="145" w:name="_Toc279701248"/>
      <w:bookmarkStart w:id="146" w:name="_Toc774"/>
      <w:bookmarkStart w:id="147" w:name="_Toc16110"/>
      <w:bookmarkStart w:id="148" w:name="_Toc3225"/>
      <w:r>
        <w:rPr>
          <w:rFonts w:hint="eastAsia" w:ascii="宋体" w:hAnsi="宋体" w:cs="@仿宋_GB2312"/>
          <w:b/>
          <w:bCs/>
          <w:sz w:val="24"/>
          <w:szCs w:val="24"/>
          <w:highlight w:val="none"/>
          <w:lang w:val="zh-CN"/>
        </w:rPr>
        <w:t xml:space="preserve">2.7 </w:t>
      </w:r>
      <w:r>
        <w:rPr>
          <w:rFonts w:ascii="宋体" w:hAnsi="宋体" w:cs="@仿宋_GB2312"/>
          <w:b/>
          <w:bCs/>
          <w:sz w:val="24"/>
          <w:szCs w:val="24"/>
          <w:highlight w:val="none"/>
          <w:lang w:val="zh-CN"/>
        </w:rPr>
        <w:t>技术资料</w:t>
      </w:r>
      <w:bookmarkEnd w:id="140"/>
      <w:bookmarkEnd w:id="141"/>
      <w:bookmarkEnd w:id="142"/>
      <w:bookmarkEnd w:id="143"/>
      <w:bookmarkEnd w:id="144"/>
      <w:bookmarkEnd w:id="145"/>
      <w:r>
        <w:rPr>
          <w:rFonts w:ascii="宋体" w:hAnsi="宋体" w:cs="@仿宋_GB2312"/>
          <w:b/>
          <w:bCs/>
          <w:sz w:val="24"/>
          <w:szCs w:val="24"/>
          <w:highlight w:val="none"/>
          <w:lang w:val="zh-CN"/>
        </w:rPr>
        <w:t>和保密义务</w:t>
      </w:r>
      <w:bookmarkEnd w:id="146"/>
      <w:bookmarkEnd w:id="147"/>
      <w:bookmarkEnd w:id="14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w:t>
      </w:r>
      <w:r>
        <w:rPr>
          <w:rFonts w:ascii="宋体" w:hAnsi="宋体" w:cs="@仿宋_GB2312"/>
          <w:sz w:val="24"/>
          <w:szCs w:val="24"/>
          <w:highlight w:val="none"/>
        </w:rPr>
        <w:t>.1</w:t>
      </w:r>
      <w:r>
        <w:rPr>
          <w:rFonts w:hint="eastAsia" w:ascii="宋体" w:hAnsi="宋体" w:cs="@仿宋_GB2312"/>
          <w:sz w:val="24"/>
          <w:szCs w:val="24"/>
          <w:highlight w:val="none"/>
        </w:rPr>
        <w:t>乙方有权依据合同约定和项目需要，向甲方了解有关情况，调阅有关资料等，甲方应予积极配合；</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2.7.2乙方有义务妥善保管和保护由甲方提供的前款信息和资料等；</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w:t>
      </w:r>
      <w:r>
        <w:rPr>
          <w:rFonts w:ascii="宋体" w:hAnsi="宋体" w:cs="@仿宋_GB2312"/>
          <w:sz w:val="24"/>
          <w:szCs w:val="24"/>
          <w:highlight w:val="none"/>
        </w:rPr>
        <w:t>.</w:t>
      </w:r>
      <w:r>
        <w:rPr>
          <w:rFonts w:hint="eastAsia" w:ascii="宋体" w:hAnsi="宋体" w:cs="@仿宋_GB2312"/>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s="@仿宋_GB2312"/>
          <w:sz w:val="24"/>
          <w:szCs w:val="24"/>
          <w:highlight w:val="none"/>
        </w:rPr>
        <w:t>技术情报</w:t>
      </w:r>
      <w:r>
        <w:rPr>
          <w:rFonts w:hint="eastAsia" w:ascii="宋体" w:hAnsi="宋体" w:cs="@仿宋_GB2312"/>
          <w:sz w:val="24"/>
          <w:szCs w:val="24"/>
          <w:highlight w:val="none"/>
        </w:rPr>
        <w:t>、</w:t>
      </w:r>
      <w:r>
        <w:rPr>
          <w:rFonts w:ascii="宋体" w:hAnsi="宋体" w:cs="@仿宋_GB2312"/>
          <w:sz w:val="24"/>
          <w:szCs w:val="24"/>
          <w:highlight w:val="none"/>
        </w:rPr>
        <w:t>技术资料</w:t>
      </w:r>
      <w:r>
        <w:rPr>
          <w:rFonts w:hint="eastAsia" w:ascii="宋体" w:hAnsi="宋体" w:cs="@仿宋_GB2312"/>
          <w:sz w:val="24"/>
          <w:szCs w:val="24"/>
          <w:highlight w:val="none"/>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sz w:val="24"/>
          <w:szCs w:val="24"/>
          <w:highlight w:val="none"/>
          <w:lang w:val="zh-CN"/>
        </w:rPr>
      </w:pPr>
      <w:bookmarkStart w:id="149" w:name="_Toc7860"/>
      <w:r>
        <w:rPr>
          <w:rFonts w:ascii="宋体" w:hAnsi="宋体" w:cs="@仿宋_GB2312"/>
          <w:b/>
          <w:bCs/>
          <w:sz w:val="24"/>
          <w:szCs w:val="24"/>
          <w:highlight w:val="none"/>
          <w:lang w:val="zh-CN"/>
        </w:rPr>
        <w:t>2.8 质量保证</w:t>
      </w:r>
      <w:bookmarkEnd w:id="149"/>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2.8.1乙方应建立和完善履行合同的内部质量保证体系，并提供相关内部规章制度给甲方，以便甲方进行监督检查；</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bCs/>
          <w:sz w:val="24"/>
          <w:szCs w:val="24"/>
          <w:highlight w:val="none"/>
          <w:lang w:val="zh-CN"/>
        </w:rPr>
      </w:pPr>
      <w:bookmarkStart w:id="150" w:name="_Toc17244"/>
      <w:bookmarkStart w:id="151" w:name="_Toc279701252"/>
      <w:bookmarkStart w:id="152" w:name="_Toc487900362"/>
      <w:bookmarkStart w:id="153" w:name="_Toc259093681"/>
      <w:r>
        <w:rPr>
          <w:rFonts w:ascii="宋体" w:hAnsi="宋体" w:cs="@仿宋_GB2312"/>
          <w:b/>
          <w:bCs/>
          <w:sz w:val="24"/>
          <w:szCs w:val="24"/>
          <w:highlight w:val="none"/>
          <w:lang w:val="zh-CN"/>
        </w:rPr>
        <w:t>2.9 货物的风险负担</w:t>
      </w:r>
      <w:bookmarkEnd w:id="150"/>
    </w:p>
    <w:p>
      <w:pPr>
        <w:spacing w:line="360" w:lineRule="auto"/>
        <w:ind w:firstLine="435"/>
        <w:rPr>
          <w:rFonts w:ascii="宋体" w:hAnsi="宋体" w:cs="@仿宋_GB2312"/>
          <w:b/>
          <w:sz w:val="24"/>
          <w:szCs w:val="24"/>
          <w:highlight w:val="none"/>
        </w:rPr>
      </w:pPr>
      <w:r>
        <w:rPr>
          <w:rFonts w:hint="eastAsia" w:ascii="宋体" w:hAnsi="宋体" w:cs="@仿宋_GB2312"/>
          <w:sz w:val="24"/>
          <w:szCs w:val="24"/>
          <w:highlight w:val="none"/>
        </w:rPr>
        <w:t>货物或者在途货物或者交付给第一承运人后的货物毁损、灭失的风险负担</w:t>
      </w: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54" w:name="_Toc14055"/>
      <w:r>
        <w:rPr>
          <w:rFonts w:ascii="宋体" w:hAnsi="宋体" w:cs="@仿宋_GB2312"/>
          <w:b/>
          <w:bCs/>
          <w:sz w:val="24"/>
          <w:szCs w:val="24"/>
          <w:highlight w:val="none"/>
          <w:lang w:val="zh-CN"/>
        </w:rPr>
        <w:t>2.10 延迟交货</w:t>
      </w:r>
      <w:bookmarkEnd w:id="151"/>
      <w:bookmarkEnd w:id="152"/>
      <w:bookmarkEnd w:id="153"/>
      <w:bookmarkEnd w:id="154"/>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在合同履行过程中，如果乙方遇到不能按时交付货物的情况，应及时以书面形式将不能按时</w:t>
      </w:r>
      <w:r>
        <w:rPr>
          <w:rFonts w:hint="eastAsia" w:ascii="宋体" w:hAnsi="宋体" w:cs="@仿宋_GB2312"/>
          <w:sz w:val="24"/>
          <w:szCs w:val="24"/>
          <w:highlight w:val="none"/>
        </w:rPr>
        <w:t>交付货物</w:t>
      </w:r>
      <w:r>
        <w:rPr>
          <w:rFonts w:ascii="宋体" w:hAnsi="宋体" w:cs="@仿宋_GB2312"/>
          <w:sz w:val="24"/>
          <w:szCs w:val="24"/>
          <w:highlight w:val="none"/>
        </w:rPr>
        <w:t>的理由、预期延误时间通知甲方</w:t>
      </w:r>
      <w:r>
        <w:rPr>
          <w:rFonts w:hint="eastAsia" w:ascii="宋体" w:hAnsi="宋体" w:cs="@仿宋_GB2312"/>
          <w:sz w:val="24"/>
          <w:szCs w:val="24"/>
          <w:highlight w:val="none"/>
        </w:rPr>
        <w:t>；甲</w:t>
      </w:r>
      <w:r>
        <w:rPr>
          <w:rFonts w:ascii="宋体" w:hAnsi="宋体" w:cs="@仿宋_GB2312"/>
          <w:sz w:val="24"/>
          <w:szCs w:val="24"/>
          <w:highlight w:val="none"/>
        </w:rPr>
        <w:t>方收到乙方通知后，认为其理由正当的，可以书面形式酌情同意乙方可以延长交货的具体时间。</w:t>
      </w:r>
    </w:p>
    <w:p>
      <w:pPr>
        <w:spacing w:line="360" w:lineRule="auto"/>
        <w:ind w:firstLine="437"/>
        <w:outlineLvl w:val="3"/>
        <w:rPr>
          <w:rFonts w:ascii="宋体" w:hAnsi="宋体" w:cs="@仿宋_GB2312"/>
          <w:b/>
          <w:bCs/>
          <w:sz w:val="24"/>
          <w:szCs w:val="24"/>
          <w:highlight w:val="none"/>
          <w:lang w:val="zh-CN"/>
        </w:rPr>
      </w:pPr>
      <w:bookmarkStart w:id="155" w:name="_Toc7502"/>
      <w:bookmarkStart w:id="156" w:name="_Toc487900364"/>
      <w:bookmarkStart w:id="157" w:name="_Toc259093683"/>
      <w:bookmarkStart w:id="158" w:name="_Toc279701254"/>
      <w:bookmarkStart w:id="159" w:name="_Ref467378121"/>
      <w:r>
        <w:rPr>
          <w:rFonts w:ascii="宋体" w:hAnsi="宋体" w:cs="@仿宋_GB2312"/>
          <w:b/>
          <w:bCs/>
          <w:sz w:val="24"/>
          <w:szCs w:val="24"/>
          <w:highlight w:val="none"/>
          <w:lang w:val="zh-CN"/>
        </w:rPr>
        <w:t>2.11 合同变更</w:t>
      </w:r>
      <w:bookmarkEnd w:id="155"/>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2.11.1双方当事人协商一致，可以签订书面补充合同的形式变更合同，但不得违背磋商文件确定的事项；</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60" w:name="_Toc279701259"/>
      <w:bookmarkStart w:id="161" w:name="_Toc259093688"/>
      <w:bookmarkStart w:id="162" w:name="_Toc487900369"/>
    </w:p>
    <w:p>
      <w:pPr>
        <w:spacing w:line="360" w:lineRule="auto"/>
        <w:ind w:firstLine="437"/>
        <w:outlineLvl w:val="3"/>
        <w:rPr>
          <w:rFonts w:ascii="宋体" w:hAnsi="宋体" w:cs="@仿宋_GB2312"/>
          <w:b/>
          <w:bCs/>
          <w:sz w:val="24"/>
          <w:szCs w:val="24"/>
          <w:highlight w:val="none"/>
          <w:lang w:val="zh-CN"/>
        </w:rPr>
      </w:pPr>
      <w:bookmarkStart w:id="163" w:name="_Toc15237"/>
      <w:bookmarkStart w:id="164" w:name="_Toc10366"/>
      <w:bookmarkStart w:id="165" w:name="_Toc22955"/>
      <w:r>
        <w:rPr>
          <w:rFonts w:hint="eastAsia" w:ascii="宋体" w:hAnsi="宋体" w:cs="@仿宋_GB2312"/>
          <w:b/>
          <w:bCs/>
          <w:sz w:val="24"/>
          <w:szCs w:val="24"/>
          <w:highlight w:val="none"/>
          <w:lang w:val="zh-CN"/>
        </w:rPr>
        <w:t xml:space="preserve">2.12 </w:t>
      </w:r>
      <w:r>
        <w:rPr>
          <w:rFonts w:ascii="宋体" w:hAnsi="宋体" w:cs="@仿宋_GB2312"/>
          <w:b/>
          <w:bCs/>
          <w:sz w:val="24"/>
          <w:szCs w:val="24"/>
          <w:highlight w:val="none"/>
          <w:lang w:val="zh-CN"/>
        </w:rPr>
        <w:t>合同转让</w:t>
      </w:r>
      <w:bookmarkEnd w:id="160"/>
      <w:bookmarkEnd w:id="161"/>
      <w:bookmarkEnd w:id="162"/>
      <w:r>
        <w:rPr>
          <w:rFonts w:ascii="宋体" w:hAnsi="宋体" w:cs="@仿宋_GB2312"/>
          <w:b/>
          <w:bCs/>
          <w:sz w:val="24"/>
          <w:szCs w:val="24"/>
          <w:highlight w:val="none"/>
          <w:lang w:val="zh-CN"/>
        </w:rPr>
        <w:t>和分包</w:t>
      </w:r>
      <w:bookmarkEnd w:id="163"/>
      <w:bookmarkEnd w:id="164"/>
      <w:bookmarkEnd w:id="165"/>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合同的权利义务依法不</w:t>
      </w:r>
      <w:r>
        <w:rPr>
          <w:rFonts w:hint="eastAsia" w:ascii="宋体" w:hAnsi="宋体" w:cs="@仿宋_GB2312"/>
          <w:sz w:val="24"/>
          <w:szCs w:val="24"/>
          <w:highlight w:val="none"/>
        </w:rPr>
        <w:t>得</w:t>
      </w:r>
      <w:r>
        <w:rPr>
          <w:rFonts w:ascii="宋体" w:hAnsi="宋体" w:cs="@仿宋_GB2312"/>
          <w:sz w:val="24"/>
          <w:szCs w:val="24"/>
          <w:highlight w:val="none"/>
        </w:rPr>
        <w:t>转让</w:t>
      </w:r>
      <w:r>
        <w:rPr>
          <w:rFonts w:hint="eastAsia" w:ascii="宋体" w:hAnsi="宋体" w:cs="@仿宋_GB2312"/>
          <w:sz w:val="24"/>
          <w:szCs w:val="24"/>
          <w:highlight w:val="none"/>
        </w:rPr>
        <w:t>，</w:t>
      </w:r>
      <w:r>
        <w:rPr>
          <w:rFonts w:ascii="宋体" w:hAnsi="宋体" w:cs="@仿宋_GB2312"/>
          <w:sz w:val="24"/>
          <w:szCs w:val="24"/>
          <w:highlight w:val="none"/>
        </w:rPr>
        <w:t>但经甲方</w:t>
      </w:r>
      <w:r>
        <w:rPr>
          <w:rFonts w:hint="eastAsia" w:ascii="宋体" w:hAnsi="宋体" w:cs="@仿宋_GB2312"/>
          <w:sz w:val="24"/>
          <w:szCs w:val="24"/>
          <w:highlight w:val="none"/>
        </w:rPr>
        <w:t>同意，乙方可以依法采取分包方式履行合同，即：依法可以</w:t>
      </w:r>
      <w:r>
        <w:rPr>
          <w:rFonts w:ascii="宋体" w:hAnsi="宋体" w:cs="@仿宋_GB2312"/>
          <w:sz w:val="24"/>
          <w:szCs w:val="24"/>
          <w:highlight w:val="none"/>
        </w:rPr>
        <w:t>将合同项下的部分非主体、非关键性工作分包给他人完成</w:t>
      </w:r>
      <w:r>
        <w:rPr>
          <w:rFonts w:hint="eastAsia" w:ascii="宋体" w:hAnsi="宋体" w:cs="@仿宋_GB2312"/>
          <w:sz w:val="24"/>
          <w:szCs w:val="24"/>
          <w:highlight w:val="none"/>
        </w:rPr>
        <w:t>，</w:t>
      </w:r>
      <w:r>
        <w:rPr>
          <w:rFonts w:ascii="宋体" w:hAnsi="宋体" w:cs="@仿宋_GB2312"/>
          <w:sz w:val="24"/>
          <w:szCs w:val="24"/>
          <w:highlight w:val="none"/>
        </w:rPr>
        <w:t>接受分包的人应当具备相应的资格条件，并不得再次分包</w:t>
      </w:r>
      <w:r>
        <w:rPr>
          <w:rFonts w:hint="eastAsia" w:ascii="宋体" w:hAnsi="宋体" w:cs="@仿宋_GB2312"/>
          <w:sz w:val="24"/>
          <w:szCs w:val="24"/>
          <w:highlight w:val="none"/>
        </w:rPr>
        <w:t>，</w:t>
      </w:r>
      <w:r>
        <w:rPr>
          <w:rFonts w:ascii="宋体" w:hAnsi="宋体" w:cs="@仿宋_GB2312"/>
          <w:sz w:val="24"/>
          <w:szCs w:val="24"/>
          <w:highlight w:val="none"/>
        </w:rPr>
        <w:t>且乙方应就分包项目向甲方负责</w:t>
      </w:r>
      <w:r>
        <w:rPr>
          <w:rFonts w:hint="eastAsia" w:ascii="宋体" w:hAnsi="宋体" w:cs="@仿宋_GB2312"/>
          <w:sz w:val="24"/>
          <w:szCs w:val="24"/>
          <w:highlight w:val="none"/>
        </w:rPr>
        <w:t>，</w:t>
      </w:r>
      <w:r>
        <w:rPr>
          <w:rFonts w:ascii="宋体" w:hAnsi="宋体" w:cs="@仿宋_GB2312"/>
          <w:sz w:val="24"/>
          <w:szCs w:val="24"/>
          <w:highlight w:val="none"/>
        </w:rPr>
        <w:t>并</w:t>
      </w:r>
      <w:r>
        <w:rPr>
          <w:rFonts w:hint="eastAsia" w:ascii="宋体" w:hAnsi="宋体" w:cs="@仿宋_GB2312"/>
          <w:sz w:val="24"/>
          <w:szCs w:val="24"/>
          <w:highlight w:val="none"/>
        </w:rPr>
        <w:t>与分包投标人就分包项目向甲方承担连带责任。</w:t>
      </w:r>
    </w:p>
    <w:p>
      <w:pPr>
        <w:spacing w:line="360" w:lineRule="auto"/>
        <w:ind w:firstLine="437"/>
        <w:outlineLvl w:val="3"/>
        <w:rPr>
          <w:rFonts w:ascii="宋体" w:hAnsi="宋体" w:cs="@仿宋_GB2312"/>
          <w:b/>
          <w:bCs/>
          <w:sz w:val="24"/>
          <w:szCs w:val="24"/>
          <w:highlight w:val="none"/>
          <w:lang w:val="zh-CN"/>
        </w:rPr>
      </w:pPr>
      <w:bookmarkStart w:id="166" w:name="_Toc13566"/>
      <w:bookmarkStart w:id="167" w:name="_Toc16508"/>
      <w:bookmarkStart w:id="168" w:name="_Toc14066"/>
      <w:r>
        <w:rPr>
          <w:rFonts w:hint="eastAsia" w:ascii="宋体" w:hAnsi="宋体" w:cs="@仿宋_GB2312"/>
          <w:b/>
          <w:bCs/>
          <w:sz w:val="24"/>
          <w:szCs w:val="24"/>
          <w:highlight w:val="none"/>
          <w:lang w:val="zh-CN"/>
        </w:rPr>
        <w:t>2.13</w:t>
      </w:r>
      <w:r>
        <w:rPr>
          <w:rFonts w:ascii="宋体" w:hAnsi="宋体" w:cs="@仿宋_GB2312"/>
          <w:b/>
          <w:bCs/>
          <w:sz w:val="24"/>
          <w:szCs w:val="24"/>
          <w:highlight w:val="none"/>
          <w:lang w:val="zh-CN"/>
        </w:rPr>
        <w:t xml:space="preserve"> 不可抗力</w:t>
      </w:r>
      <w:bookmarkEnd w:id="166"/>
      <w:bookmarkEnd w:id="167"/>
      <w:bookmarkEnd w:id="16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w:t>
      </w:r>
      <w:r>
        <w:rPr>
          <w:rFonts w:ascii="宋体" w:hAnsi="宋体" w:cs="@仿宋_GB2312"/>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2.13.2因不可抗力致使不能实现合同目的的，当事人可以解除合同；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2.13.3因</w:t>
      </w:r>
      <w:r>
        <w:rPr>
          <w:rFonts w:ascii="宋体" w:hAnsi="宋体" w:cs="@仿宋_GB2312"/>
          <w:sz w:val="24"/>
          <w:szCs w:val="24"/>
          <w:highlight w:val="none"/>
        </w:rPr>
        <w:t>不可抗力致使合同有变更必要的，双方当事人应在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约定时间内以书面形式变更合同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w:t>
      </w:r>
      <w:r>
        <w:rPr>
          <w:rFonts w:ascii="宋体" w:hAnsi="宋体" w:cs="@仿宋_GB2312"/>
          <w:sz w:val="24"/>
          <w:szCs w:val="24"/>
          <w:highlight w:val="none"/>
        </w:rPr>
        <w:t>.</w:t>
      </w:r>
      <w:r>
        <w:rPr>
          <w:rFonts w:hint="eastAsia" w:ascii="宋体" w:hAnsi="宋体" w:cs="@仿宋_GB2312"/>
          <w:sz w:val="24"/>
          <w:szCs w:val="24"/>
          <w:highlight w:val="none"/>
        </w:rPr>
        <w:t>4</w:t>
      </w:r>
      <w:r>
        <w:rPr>
          <w:rFonts w:ascii="宋体" w:hAnsi="宋体" w:cs="@仿宋_GB2312"/>
          <w:sz w:val="24"/>
          <w:szCs w:val="24"/>
          <w:highlight w:val="none"/>
        </w:rPr>
        <w:t>受</w:t>
      </w:r>
      <w:r>
        <w:rPr>
          <w:rFonts w:hint="eastAsia" w:ascii="宋体" w:hAnsi="宋体" w:cs="@仿宋_GB2312"/>
          <w:sz w:val="24"/>
          <w:szCs w:val="24"/>
          <w:highlight w:val="none"/>
        </w:rPr>
        <w:t>不可抗力</w:t>
      </w:r>
      <w:r>
        <w:rPr>
          <w:rFonts w:ascii="宋体" w:hAnsi="宋体" w:cs="@仿宋_GB2312"/>
          <w:sz w:val="24"/>
          <w:szCs w:val="24"/>
          <w:highlight w:val="none"/>
        </w:rPr>
        <w:t>影响的一方在不可抗力发生后</w:t>
      </w:r>
      <w:r>
        <w:rPr>
          <w:rFonts w:hint="eastAsia" w:ascii="宋体" w:hAnsi="宋体" w:cs="@仿宋_GB2312"/>
          <w:sz w:val="24"/>
          <w:szCs w:val="24"/>
          <w:highlight w:val="none"/>
        </w:rPr>
        <w:t>，</w:t>
      </w:r>
      <w:r>
        <w:rPr>
          <w:rFonts w:ascii="宋体" w:hAnsi="宋体" w:cs="@仿宋_GB2312"/>
          <w:sz w:val="24"/>
          <w:szCs w:val="24"/>
          <w:highlight w:val="none"/>
        </w:rPr>
        <w:t>应在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约定时间内以书面形式通知</w:t>
      </w:r>
      <w:r>
        <w:rPr>
          <w:rFonts w:hint="eastAsia" w:ascii="宋体" w:hAnsi="宋体" w:cs="@仿宋_GB2312"/>
          <w:sz w:val="24"/>
          <w:szCs w:val="24"/>
          <w:highlight w:val="none"/>
        </w:rPr>
        <w:t>对</w:t>
      </w:r>
      <w:r>
        <w:rPr>
          <w:rFonts w:ascii="宋体" w:hAnsi="宋体" w:cs="@仿宋_GB2312"/>
          <w:sz w:val="24"/>
          <w:szCs w:val="24"/>
          <w:highlight w:val="none"/>
        </w:rPr>
        <w:t>方当事人，并在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约定时间内，将有关部门出具的证明文件送达</w:t>
      </w:r>
      <w:r>
        <w:rPr>
          <w:rFonts w:hint="eastAsia" w:ascii="宋体" w:hAnsi="宋体" w:cs="@仿宋_GB2312"/>
          <w:sz w:val="24"/>
          <w:szCs w:val="24"/>
          <w:highlight w:val="none"/>
        </w:rPr>
        <w:t>对方当事人</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69" w:name="_Toc6969"/>
      <w:bookmarkStart w:id="170" w:name="_Toc279701255"/>
      <w:bookmarkStart w:id="171" w:name="_Toc30676"/>
      <w:bookmarkStart w:id="172" w:name="_Toc487900365"/>
      <w:bookmarkStart w:id="173" w:name="_Toc689"/>
      <w:bookmarkStart w:id="174" w:name="_Toc259093684"/>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4 </w:t>
      </w:r>
      <w:r>
        <w:rPr>
          <w:rFonts w:ascii="宋体" w:hAnsi="宋体" w:cs="@仿宋_GB2312"/>
          <w:b/>
          <w:bCs/>
          <w:sz w:val="24"/>
          <w:szCs w:val="24"/>
          <w:highlight w:val="none"/>
          <w:lang w:val="zh-CN"/>
        </w:rPr>
        <w:t>税费</w:t>
      </w:r>
      <w:bookmarkEnd w:id="169"/>
      <w:bookmarkEnd w:id="170"/>
      <w:bookmarkEnd w:id="171"/>
      <w:bookmarkEnd w:id="172"/>
      <w:bookmarkEnd w:id="173"/>
      <w:bookmarkEnd w:id="174"/>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与合同有关的一切税费</w:t>
      </w:r>
      <w:r>
        <w:rPr>
          <w:rFonts w:hint="eastAsia" w:ascii="宋体" w:hAnsi="宋体" w:cs="@仿宋_GB2312"/>
          <w:sz w:val="24"/>
          <w:szCs w:val="24"/>
          <w:highlight w:val="none"/>
        </w:rPr>
        <w:t>，</w:t>
      </w:r>
      <w:r>
        <w:rPr>
          <w:rFonts w:ascii="宋体" w:hAnsi="宋体" w:cs="@仿宋_GB2312"/>
          <w:sz w:val="24"/>
          <w:szCs w:val="24"/>
          <w:highlight w:val="none"/>
        </w:rPr>
        <w:t>均按照中华人民共和国法律的相关规定</w:t>
      </w:r>
      <w:r>
        <w:rPr>
          <w:rFonts w:hint="eastAsia" w:ascii="宋体" w:hAnsi="宋体" w:cs="@仿宋_GB2312"/>
          <w:sz w:val="24"/>
          <w:szCs w:val="24"/>
          <w:highlight w:val="none"/>
        </w:rPr>
        <w:t>缴纳</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75" w:name="_Toc279701258"/>
      <w:bookmarkStart w:id="176" w:name="_Toc7102"/>
      <w:bookmarkStart w:id="177" w:name="_Toc8298"/>
      <w:bookmarkStart w:id="178" w:name="_Toc487900368"/>
      <w:bookmarkStart w:id="179" w:name="_Toc259093687"/>
      <w:bookmarkStart w:id="180" w:name="_Toc16959"/>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5 </w:t>
      </w:r>
      <w:r>
        <w:rPr>
          <w:rFonts w:ascii="宋体" w:hAnsi="宋体" w:cs="@仿宋_GB2312"/>
          <w:b/>
          <w:bCs/>
          <w:sz w:val="24"/>
          <w:szCs w:val="24"/>
          <w:highlight w:val="none"/>
          <w:lang w:val="zh-CN"/>
        </w:rPr>
        <w:t>乙方破产</w:t>
      </w:r>
      <w:bookmarkEnd w:id="175"/>
      <w:bookmarkEnd w:id="176"/>
      <w:bookmarkEnd w:id="177"/>
      <w:bookmarkEnd w:id="178"/>
      <w:bookmarkEnd w:id="179"/>
      <w:bookmarkEnd w:id="180"/>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如果乙方破产导致合同无法履行时，甲方可以书面形式通知乙方终止合同且不给予乙方任何补偿和赔偿</w:t>
      </w:r>
      <w:r>
        <w:rPr>
          <w:rFonts w:hint="eastAsia" w:ascii="宋体" w:hAnsi="宋体" w:cs="@仿宋_GB2312"/>
          <w:sz w:val="24"/>
          <w:szCs w:val="24"/>
          <w:highlight w:val="none"/>
        </w:rPr>
        <w:t>，但合同的</w:t>
      </w:r>
      <w:r>
        <w:rPr>
          <w:rFonts w:ascii="宋体" w:hAnsi="宋体" w:cs="@仿宋_GB2312"/>
          <w:sz w:val="24"/>
          <w:szCs w:val="24"/>
          <w:highlight w:val="none"/>
        </w:rPr>
        <w:t>终止不损害或不影响甲方已经采取或将要采取的任何要求乙方支付违约金</w:t>
      </w:r>
      <w:r>
        <w:rPr>
          <w:rFonts w:hint="eastAsia" w:ascii="宋体" w:hAnsi="宋体" w:cs="@仿宋_GB2312"/>
          <w:sz w:val="24"/>
          <w:szCs w:val="24"/>
          <w:highlight w:val="none"/>
        </w:rPr>
        <w:t>、</w:t>
      </w:r>
      <w:r>
        <w:rPr>
          <w:rFonts w:ascii="宋体" w:hAnsi="宋体" w:cs="@仿宋_GB2312"/>
          <w:sz w:val="24"/>
          <w:szCs w:val="24"/>
          <w:highlight w:val="none"/>
        </w:rPr>
        <w:t>赔偿损失等的行动或补救措施的权利</w:t>
      </w:r>
      <w:r>
        <w:rPr>
          <w:rFonts w:hint="eastAsia" w:ascii="宋体" w:hAnsi="宋体" w:cs="@仿宋_GB2312"/>
          <w:sz w:val="24"/>
          <w:szCs w:val="24"/>
          <w:highlight w:val="none"/>
        </w:rPr>
        <w:t>。</w:t>
      </w:r>
    </w:p>
    <w:p>
      <w:pPr>
        <w:spacing w:line="360" w:lineRule="auto"/>
        <w:ind w:firstLine="437"/>
        <w:outlineLvl w:val="3"/>
        <w:rPr>
          <w:rFonts w:ascii="宋体" w:hAnsi="宋体" w:cs="@仿宋_GB2312"/>
          <w:b/>
          <w:sz w:val="24"/>
          <w:szCs w:val="24"/>
          <w:highlight w:val="none"/>
        </w:rPr>
      </w:pPr>
      <w:bookmarkStart w:id="181" w:name="_Toc29333"/>
      <w:bookmarkStart w:id="182" w:name="_Toc6134"/>
      <w:bookmarkStart w:id="183" w:name="_Toc15387"/>
      <w:r>
        <w:rPr>
          <w:rFonts w:hint="eastAsia" w:ascii="宋体" w:hAnsi="宋体" w:cs="@仿宋_GB2312"/>
          <w:b/>
          <w:bCs/>
          <w:sz w:val="24"/>
          <w:szCs w:val="24"/>
          <w:highlight w:val="none"/>
          <w:lang w:val="zh-CN"/>
        </w:rPr>
        <w:t>2.16 合同中止、终止</w:t>
      </w:r>
      <w:bookmarkEnd w:id="181"/>
      <w:bookmarkEnd w:id="182"/>
      <w:bookmarkEnd w:id="183"/>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2.16.1双方当事人不得擅自中止或者终止合同；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sz w:val="24"/>
          <w:szCs w:val="24"/>
          <w:highlight w:val="none"/>
          <w:lang w:val="zh-CN"/>
        </w:rPr>
      </w:pPr>
      <w:bookmarkStart w:id="184" w:name="_Toc6596"/>
      <w:bookmarkStart w:id="185" w:name="_Toc1125"/>
      <w:bookmarkStart w:id="186" w:name="_Toc14563"/>
      <w:r>
        <w:rPr>
          <w:rFonts w:hint="eastAsia" w:ascii="宋体" w:hAnsi="宋体" w:cs="@仿宋_GB2312"/>
          <w:b/>
          <w:bCs/>
          <w:sz w:val="24"/>
          <w:szCs w:val="24"/>
          <w:highlight w:val="none"/>
          <w:lang w:val="zh-CN"/>
        </w:rPr>
        <w:t>2.17 检验和验收</w:t>
      </w:r>
      <w:bookmarkEnd w:id="184"/>
      <w:bookmarkEnd w:id="185"/>
      <w:bookmarkEnd w:id="186"/>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7</w:t>
      </w:r>
      <w:r>
        <w:rPr>
          <w:rFonts w:ascii="宋体" w:hAnsi="宋体" w:cs="@仿宋_GB2312"/>
          <w:sz w:val="24"/>
          <w:szCs w:val="24"/>
          <w:highlight w:val="none"/>
        </w:rPr>
        <w:t>.</w:t>
      </w:r>
      <w:r>
        <w:rPr>
          <w:rFonts w:hint="eastAsia" w:ascii="宋体" w:hAnsi="宋体" w:cs="@仿宋_GB2312"/>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cs="@仿宋_GB2312"/>
          <w:b/>
          <w:i/>
          <w:sz w:val="24"/>
          <w:szCs w:val="24"/>
          <w:highlight w:val="none"/>
          <w:u w:val="single"/>
        </w:rPr>
        <w:t>合同专用条款</w:t>
      </w:r>
      <w:r>
        <w:rPr>
          <w:rFonts w:hint="eastAsia" w:ascii="宋体" w:hAnsi="宋体" w:cs="@仿宋_GB2312"/>
          <w:sz w:val="24"/>
          <w:szCs w:val="24"/>
          <w:highlight w:val="none"/>
        </w:rPr>
        <w:t>约定时间内组织验收，并可依法邀请相关方参加，验收应出具验收书。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2.17.3检验和验收标准、程序等具体内容以及前述验收书的效力详见</w:t>
      </w:r>
      <w:r>
        <w:rPr>
          <w:rFonts w:ascii="宋体" w:hAnsi="宋体" w:cs="@仿宋_GB2312"/>
          <w:b/>
          <w:i/>
          <w:sz w:val="24"/>
          <w:szCs w:val="24"/>
          <w:highlight w:val="none"/>
          <w:u w:val="single"/>
        </w:rPr>
        <w:t>合同专用条款</w:t>
      </w:r>
      <w:r>
        <w:rPr>
          <w:rFonts w:hint="eastAsia" w:ascii="宋体" w:hAnsi="宋体" w:cs="@仿宋_GB2312"/>
          <w:i/>
          <w:sz w:val="24"/>
          <w:szCs w:val="24"/>
          <w:highlight w:val="none"/>
        </w:rPr>
        <w:t>。</w:t>
      </w:r>
    </w:p>
    <w:bookmarkEnd w:id="156"/>
    <w:bookmarkEnd w:id="157"/>
    <w:bookmarkEnd w:id="158"/>
    <w:bookmarkEnd w:id="159"/>
    <w:p>
      <w:pPr>
        <w:spacing w:line="360" w:lineRule="auto"/>
        <w:ind w:firstLine="437"/>
        <w:outlineLvl w:val="3"/>
        <w:rPr>
          <w:rFonts w:ascii="宋体" w:hAnsi="宋体" w:cs="@仿宋_GB2312"/>
          <w:b/>
          <w:sz w:val="24"/>
          <w:szCs w:val="24"/>
          <w:highlight w:val="none"/>
        </w:rPr>
      </w:pPr>
      <w:bookmarkStart w:id="187" w:name="_Toc259093691"/>
      <w:bookmarkStart w:id="188" w:name="_Toc18540"/>
      <w:bookmarkStart w:id="189" w:name="_Toc30599"/>
      <w:bookmarkStart w:id="190" w:name="_Toc487900372"/>
      <w:bookmarkStart w:id="191" w:name="_Toc279701262"/>
      <w:bookmarkStart w:id="192" w:name="_Toc4355"/>
      <w:r>
        <w:rPr>
          <w:rFonts w:hint="eastAsia" w:ascii="宋体" w:hAnsi="宋体" w:cs="@仿宋_GB2312"/>
          <w:b/>
          <w:bCs/>
          <w:sz w:val="24"/>
          <w:szCs w:val="24"/>
          <w:highlight w:val="none"/>
          <w:lang w:val="zh-CN"/>
        </w:rPr>
        <w:t>2.1</w:t>
      </w:r>
      <w:r>
        <w:rPr>
          <w:rFonts w:ascii="宋体" w:hAnsi="宋体" w:cs="@仿宋_GB2312"/>
          <w:b/>
          <w:bCs/>
          <w:sz w:val="24"/>
          <w:szCs w:val="24"/>
          <w:highlight w:val="none"/>
          <w:lang w:val="zh-CN"/>
        </w:rPr>
        <w:t>8</w:t>
      </w:r>
      <w:r>
        <w:rPr>
          <w:rFonts w:hint="eastAsia" w:ascii="宋体" w:hAnsi="宋体" w:cs="@仿宋_GB2312"/>
          <w:b/>
          <w:bCs/>
          <w:sz w:val="24"/>
          <w:szCs w:val="24"/>
          <w:highlight w:val="none"/>
          <w:lang w:val="zh-CN"/>
        </w:rPr>
        <w:t xml:space="preserve"> </w:t>
      </w:r>
      <w:r>
        <w:rPr>
          <w:rFonts w:ascii="宋体" w:hAnsi="宋体" w:cs="@仿宋_GB2312"/>
          <w:b/>
          <w:bCs/>
          <w:sz w:val="24"/>
          <w:szCs w:val="24"/>
          <w:highlight w:val="none"/>
          <w:lang w:val="zh-CN"/>
        </w:rPr>
        <w:t>计量单位</w:t>
      </w:r>
      <w:bookmarkEnd w:id="187"/>
      <w:bookmarkEnd w:id="188"/>
      <w:bookmarkEnd w:id="189"/>
      <w:bookmarkEnd w:id="190"/>
      <w:bookmarkEnd w:id="191"/>
      <w:bookmarkEnd w:id="192"/>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除技术规范中另有规定外,合同的计量单位均使用国家法定计量单位。</w:t>
      </w:r>
    </w:p>
    <w:p>
      <w:pPr>
        <w:spacing w:line="360" w:lineRule="auto"/>
        <w:ind w:firstLine="437"/>
        <w:outlineLvl w:val="3"/>
        <w:rPr>
          <w:rFonts w:ascii="宋体" w:hAnsi="宋体" w:cs="@仿宋_GB2312"/>
          <w:b/>
          <w:bCs/>
          <w:sz w:val="24"/>
          <w:szCs w:val="24"/>
          <w:highlight w:val="none"/>
        </w:rPr>
      </w:pPr>
      <w:bookmarkStart w:id="193" w:name="_Toc18567"/>
      <w:bookmarkStart w:id="194" w:name="_Toc487900373"/>
      <w:bookmarkStart w:id="195" w:name="_Toc10330"/>
      <w:bookmarkStart w:id="196" w:name="_Toc12773"/>
      <w:bookmarkStart w:id="197" w:name="_Toc279701263"/>
      <w:bookmarkStart w:id="198" w:name="_Toc259093692"/>
      <w:r>
        <w:rPr>
          <w:rFonts w:hint="eastAsia" w:ascii="宋体" w:hAnsi="宋体" w:cs="@仿宋_GB2312"/>
          <w:b/>
          <w:bCs/>
          <w:sz w:val="24"/>
          <w:szCs w:val="24"/>
          <w:highlight w:val="none"/>
        </w:rPr>
        <w:t>2.</w:t>
      </w:r>
      <w:r>
        <w:rPr>
          <w:rFonts w:ascii="宋体" w:hAnsi="宋体" w:cs="@仿宋_GB2312"/>
          <w:b/>
          <w:bCs/>
          <w:sz w:val="24"/>
          <w:szCs w:val="24"/>
          <w:highlight w:val="none"/>
        </w:rPr>
        <w:t>19</w:t>
      </w:r>
      <w:r>
        <w:rPr>
          <w:rFonts w:hint="eastAsia" w:ascii="宋体" w:hAnsi="宋体" w:cs="@仿宋_GB2312"/>
          <w:b/>
          <w:bCs/>
          <w:sz w:val="24"/>
          <w:szCs w:val="24"/>
          <w:highlight w:val="none"/>
        </w:rPr>
        <w:t xml:space="preserve"> </w:t>
      </w:r>
      <w:r>
        <w:rPr>
          <w:rFonts w:hint="eastAsia" w:ascii="宋体" w:hAnsi="宋体" w:cs="@仿宋_GB2312"/>
          <w:b/>
          <w:bCs/>
          <w:sz w:val="24"/>
          <w:szCs w:val="24"/>
          <w:highlight w:val="none"/>
          <w:lang w:val="zh-CN"/>
        </w:rPr>
        <w:t>合同使用的文字和</w:t>
      </w:r>
      <w:r>
        <w:rPr>
          <w:rFonts w:ascii="宋体" w:hAnsi="宋体" w:cs="@仿宋_GB2312"/>
          <w:b/>
          <w:bCs/>
          <w:sz w:val="24"/>
          <w:szCs w:val="24"/>
          <w:highlight w:val="none"/>
          <w:lang w:val="zh-CN"/>
        </w:rPr>
        <w:t>适用的法律</w:t>
      </w:r>
      <w:bookmarkEnd w:id="193"/>
      <w:bookmarkEnd w:id="194"/>
      <w:bookmarkEnd w:id="195"/>
      <w:bookmarkEnd w:id="196"/>
      <w:bookmarkEnd w:id="197"/>
      <w:bookmarkEnd w:id="19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19.1合同使用汉语书写</w:t>
      </w:r>
      <w:r>
        <w:rPr>
          <w:rFonts w:hint="eastAsia" w:ascii="宋体" w:hAnsi="宋体" w:cs="@仿宋_GB2312"/>
          <w:sz w:val="24"/>
          <w:szCs w:val="24"/>
          <w:highlight w:val="none"/>
        </w:rPr>
        <w:t>、</w:t>
      </w:r>
      <w:r>
        <w:rPr>
          <w:rFonts w:ascii="宋体" w:hAnsi="宋体" w:cs="@仿宋_GB2312"/>
          <w:sz w:val="24"/>
          <w:szCs w:val="24"/>
          <w:highlight w:val="none"/>
        </w:rPr>
        <w:t>变更和解释</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19</w:t>
      </w:r>
      <w:r>
        <w:rPr>
          <w:rFonts w:hint="eastAsia" w:ascii="宋体" w:hAnsi="宋体" w:cs="@仿宋_GB2312"/>
          <w:sz w:val="24"/>
          <w:szCs w:val="24"/>
          <w:highlight w:val="none"/>
        </w:rPr>
        <w:t>.2合同适用</w:t>
      </w:r>
      <w:r>
        <w:rPr>
          <w:rFonts w:ascii="宋体" w:hAnsi="宋体" w:cs="@仿宋_GB2312"/>
          <w:sz w:val="24"/>
          <w:szCs w:val="24"/>
          <w:highlight w:val="none"/>
        </w:rPr>
        <w:t>中华人民共和国法律。</w:t>
      </w:r>
    </w:p>
    <w:p>
      <w:pPr>
        <w:spacing w:line="360" w:lineRule="auto"/>
        <w:ind w:firstLine="437"/>
        <w:outlineLvl w:val="3"/>
        <w:rPr>
          <w:rFonts w:ascii="宋体" w:hAnsi="宋体" w:cs="@仿宋_GB2312"/>
          <w:b/>
          <w:sz w:val="24"/>
          <w:szCs w:val="24"/>
          <w:highlight w:val="none"/>
        </w:rPr>
      </w:pPr>
      <w:bookmarkStart w:id="199" w:name="_Toc3148"/>
      <w:bookmarkStart w:id="200" w:name="_Toc16673"/>
      <w:bookmarkStart w:id="201" w:name="_Toc12004"/>
      <w:bookmarkStart w:id="202" w:name="_Toc259093693"/>
      <w:bookmarkStart w:id="203" w:name="_Toc279701264"/>
      <w:bookmarkStart w:id="204" w:name="_Toc487900374"/>
      <w:r>
        <w:rPr>
          <w:rFonts w:hint="eastAsia" w:ascii="宋体" w:hAnsi="宋体" w:cs="@仿宋_GB2312"/>
          <w:b/>
          <w:bCs/>
          <w:sz w:val="24"/>
          <w:szCs w:val="24"/>
          <w:highlight w:val="none"/>
          <w:lang w:val="zh-CN"/>
        </w:rPr>
        <w:t>2.2</w:t>
      </w:r>
      <w:r>
        <w:rPr>
          <w:rFonts w:ascii="宋体" w:hAnsi="宋体" w:cs="@仿宋_GB2312"/>
          <w:b/>
          <w:bCs/>
          <w:sz w:val="24"/>
          <w:szCs w:val="24"/>
          <w:highlight w:val="none"/>
          <w:lang w:val="zh-CN"/>
        </w:rPr>
        <w:t>0</w:t>
      </w:r>
      <w:r>
        <w:rPr>
          <w:rFonts w:hint="eastAsia" w:ascii="宋体" w:hAnsi="宋体" w:cs="@仿宋_GB2312"/>
          <w:b/>
          <w:bCs/>
          <w:sz w:val="24"/>
          <w:szCs w:val="24"/>
          <w:highlight w:val="none"/>
          <w:lang w:val="zh-CN"/>
        </w:rPr>
        <w:t xml:space="preserve"> </w:t>
      </w:r>
      <w:r>
        <w:rPr>
          <w:rFonts w:ascii="宋体" w:hAnsi="宋体" w:cs="@仿宋_GB2312"/>
          <w:b/>
          <w:bCs/>
          <w:sz w:val="24"/>
          <w:szCs w:val="24"/>
          <w:highlight w:val="none"/>
          <w:lang w:val="zh-CN"/>
        </w:rPr>
        <w:t>履约保证金</w:t>
      </w:r>
      <w:bookmarkEnd w:id="199"/>
      <w:bookmarkEnd w:id="200"/>
      <w:bookmarkEnd w:id="201"/>
      <w:bookmarkEnd w:id="202"/>
      <w:bookmarkEnd w:id="203"/>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w:t>
      </w:r>
      <w:r>
        <w:rPr>
          <w:rFonts w:hint="eastAsia" w:ascii="宋体" w:hAnsi="宋体" w:cs="@仿宋_GB2312"/>
          <w:sz w:val="24"/>
          <w:szCs w:val="24"/>
          <w:highlight w:val="none"/>
        </w:rPr>
        <w:t>.1磋商文件要求乙方提交履约保证金的，乙方</w:t>
      </w:r>
      <w:r>
        <w:rPr>
          <w:rFonts w:ascii="宋体" w:hAnsi="宋体" w:cs="@仿宋_GB2312"/>
          <w:sz w:val="24"/>
          <w:szCs w:val="24"/>
          <w:highlight w:val="none"/>
        </w:rPr>
        <w:t>应按</w:t>
      </w:r>
      <w:r>
        <w:rPr>
          <w:rFonts w:ascii="宋体" w:hAnsi="宋体" w:cs="@仿宋_GB2312"/>
          <w:b/>
          <w:i/>
          <w:sz w:val="24"/>
          <w:szCs w:val="24"/>
          <w:highlight w:val="none"/>
          <w:u w:val="single"/>
        </w:rPr>
        <w:t>合同专用条款</w:t>
      </w:r>
      <w:r>
        <w:rPr>
          <w:rFonts w:ascii="宋体" w:hAnsi="宋体" w:cs="@仿宋_GB2312"/>
          <w:sz w:val="24"/>
          <w:szCs w:val="24"/>
          <w:highlight w:val="none"/>
        </w:rPr>
        <w:t>约定的方式</w:t>
      </w:r>
      <w:r>
        <w:rPr>
          <w:rFonts w:hint="eastAsia" w:ascii="宋体" w:hAnsi="宋体" w:cs="@仿宋_GB2312"/>
          <w:sz w:val="24"/>
          <w:szCs w:val="24"/>
          <w:highlight w:val="none"/>
        </w:rPr>
        <w:t>，以支票、汇票、本票或者金融机构、担保机构出具的保函等非现金形式，提交履约保证金；</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0.2履约保证金在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约定期间内或者货物质量保证期内不予退还或者应完全有效</w:t>
      </w:r>
      <w:r>
        <w:rPr>
          <w:rFonts w:hint="eastAsia" w:ascii="宋体" w:hAnsi="宋体" w:cs="@仿宋_GB2312"/>
          <w:sz w:val="24"/>
          <w:szCs w:val="24"/>
          <w:highlight w:val="none"/>
        </w:rPr>
        <w:t>，前述约定期间届满或者</w:t>
      </w:r>
      <w:r>
        <w:rPr>
          <w:rFonts w:ascii="宋体" w:hAnsi="宋体" w:cs="@仿宋_GB2312"/>
          <w:sz w:val="24"/>
          <w:szCs w:val="24"/>
          <w:highlight w:val="none"/>
        </w:rPr>
        <w:t>货物质量保证期届满后，甲方应将履约保证金退还乙方</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w:t>
      </w:r>
      <w:r>
        <w:rPr>
          <w:rFonts w:hint="eastAsia" w:ascii="宋体" w:hAnsi="宋体" w:cs="@仿宋_GB2312"/>
          <w:sz w:val="24"/>
          <w:szCs w:val="24"/>
          <w:highlight w:val="none"/>
        </w:rPr>
        <w:t>.3</w:t>
      </w:r>
      <w:r>
        <w:rPr>
          <w:rFonts w:ascii="宋体" w:hAnsi="宋体" w:cs="@仿宋_GB2312"/>
          <w:sz w:val="24"/>
          <w:szCs w:val="24"/>
          <w:highlight w:val="none"/>
        </w:rPr>
        <w:t>如果乙方不履行合同</w:t>
      </w:r>
      <w:r>
        <w:rPr>
          <w:rFonts w:hint="eastAsia" w:ascii="宋体" w:hAnsi="宋体" w:cs="@仿宋_GB2312"/>
          <w:sz w:val="24"/>
          <w:szCs w:val="24"/>
          <w:highlight w:val="none"/>
        </w:rPr>
        <w:t>，履约保证金不予退还；如果乙方</w:t>
      </w:r>
      <w:r>
        <w:rPr>
          <w:rFonts w:ascii="宋体" w:hAnsi="宋体" w:cs="@仿宋_GB2312"/>
          <w:sz w:val="24"/>
          <w:szCs w:val="24"/>
          <w:highlight w:val="none"/>
        </w:rPr>
        <w:t>未能按合同</w:t>
      </w:r>
      <w:r>
        <w:rPr>
          <w:rFonts w:hint="eastAsia" w:ascii="宋体" w:hAnsi="宋体" w:cs="@仿宋_GB2312"/>
          <w:sz w:val="24"/>
          <w:szCs w:val="24"/>
          <w:highlight w:val="none"/>
        </w:rPr>
        <w:t>约</w:t>
      </w:r>
      <w:r>
        <w:rPr>
          <w:rFonts w:ascii="宋体" w:hAnsi="宋体" w:cs="@仿宋_GB2312"/>
          <w:sz w:val="24"/>
          <w:szCs w:val="24"/>
          <w:highlight w:val="none"/>
        </w:rPr>
        <w:t>定全面履行义务，那么甲方有权从履约保证金中取得补偿或赔偿</w:t>
      </w:r>
      <w:r>
        <w:rPr>
          <w:rFonts w:hint="eastAsia" w:ascii="宋体" w:hAnsi="宋体" w:cs="@仿宋_GB2312"/>
          <w:sz w:val="24"/>
          <w:szCs w:val="24"/>
          <w:highlight w:val="none"/>
        </w:rPr>
        <w:t>，同时不影响甲方要求乙方承担合同约定的超过履约保证金的违约责任的权利。</w:t>
      </w:r>
    </w:p>
    <w:bookmarkEnd w:id="204"/>
    <w:p>
      <w:pPr>
        <w:spacing w:line="360" w:lineRule="auto"/>
        <w:ind w:firstLine="437"/>
        <w:outlineLvl w:val="3"/>
        <w:rPr>
          <w:rFonts w:ascii="宋体" w:hAnsi="宋体" w:cs="@仿宋_GB2312"/>
          <w:b/>
          <w:sz w:val="24"/>
          <w:szCs w:val="24"/>
          <w:highlight w:val="none"/>
        </w:rPr>
      </w:pPr>
      <w:bookmarkStart w:id="205" w:name="_Toc14001"/>
      <w:bookmarkStart w:id="206" w:name="_Toc19890"/>
      <w:bookmarkStart w:id="207" w:name="_Toc6885"/>
      <w:r>
        <w:rPr>
          <w:rFonts w:hint="eastAsia" w:ascii="宋体" w:hAnsi="宋体" w:cs="@仿宋_GB2312"/>
          <w:b/>
          <w:bCs/>
          <w:sz w:val="24"/>
          <w:szCs w:val="24"/>
          <w:highlight w:val="none"/>
          <w:lang w:val="zh-CN"/>
        </w:rPr>
        <w:t>2.2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 合同份数</w:t>
      </w:r>
      <w:bookmarkEnd w:id="205"/>
      <w:bookmarkEnd w:id="206"/>
      <w:bookmarkEnd w:id="207"/>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合同份数按</w:t>
      </w:r>
      <w:r>
        <w:rPr>
          <w:rFonts w:ascii="宋体" w:hAnsi="宋体" w:cs="@仿宋_GB2312"/>
          <w:b/>
          <w:i/>
          <w:sz w:val="24"/>
          <w:szCs w:val="24"/>
          <w:highlight w:val="none"/>
          <w:u w:val="single"/>
        </w:rPr>
        <w:t>合同专用条款</w:t>
      </w:r>
      <w:r>
        <w:rPr>
          <w:rFonts w:ascii="宋体" w:hAnsi="宋体" w:cs="@仿宋_GB2312"/>
          <w:sz w:val="24"/>
          <w:szCs w:val="24"/>
          <w:highlight w:val="none"/>
        </w:rPr>
        <w:t>规定</w:t>
      </w:r>
      <w:r>
        <w:rPr>
          <w:rFonts w:hint="eastAsia" w:ascii="宋体" w:hAnsi="宋体" w:cs="@仿宋_GB2312"/>
          <w:sz w:val="24"/>
          <w:szCs w:val="24"/>
          <w:highlight w:val="none"/>
        </w:rPr>
        <w:t>，</w:t>
      </w:r>
      <w:r>
        <w:rPr>
          <w:rFonts w:ascii="宋体" w:hAnsi="宋体" w:cs="@仿宋_GB2312"/>
          <w:sz w:val="24"/>
          <w:szCs w:val="24"/>
          <w:highlight w:val="none"/>
        </w:rPr>
        <w:t>每份均具有同等法律效力</w:t>
      </w:r>
      <w:r>
        <w:rPr>
          <w:rFonts w:hint="eastAsia" w:ascii="宋体" w:hAnsi="宋体" w:cs="@仿宋_GB2312"/>
          <w:sz w:val="24"/>
          <w:szCs w:val="24"/>
          <w:highlight w:val="none"/>
        </w:rPr>
        <w:t>。</w:t>
      </w: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br w:type="page"/>
      </w: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spacing w:line="360" w:lineRule="auto"/>
        <w:jc w:val="center"/>
        <w:outlineLvl w:val="2"/>
        <w:rPr>
          <w:rFonts w:ascii="宋体" w:hAnsi="宋体" w:cs="@仿宋_GB2312"/>
          <w:b/>
          <w:sz w:val="24"/>
          <w:szCs w:val="24"/>
          <w:highlight w:val="none"/>
        </w:rPr>
      </w:pPr>
      <w:bookmarkStart w:id="208" w:name="_Toc331685784"/>
      <w:r>
        <w:rPr>
          <w:rFonts w:hint="eastAsia" w:ascii="宋体" w:hAnsi="宋体" w:cs="@仿宋_GB2312"/>
          <w:b/>
          <w:sz w:val="24"/>
          <w:szCs w:val="24"/>
          <w:highlight w:val="none"/>
        </w:rPr>
        <w:t>第三部分</w:t>
      </w:r>
      <w:r>
        <w:rPr>
          <w:rFonts w:ascii="宋体" w:hAnsi="宋体" w:cs="@仿宋_GB2312"/>
          <w:b/>
          <w:sz w:val="24"/>
          <w:szCs w:val="24"/>
          <w:highlight w:val="none"/>
        </w:rPr>
        <w:t xml:space="preserve"> </w:t>
      </w:r>
      <w:r>
        <w:rPr>
          <w:rFonts w:hint="eastAsia" w:ascii="宋体" w:hAnsi="宋体" w:cs="@仿宋_GB2312"/>
          <w:b/>
          <w:sz w:val="24"/>
          <w:szCs w:val="24"/>
          <w:highlight w:val="none"/>
        </w:rPr>
        <w:t>合同专用条款</w:t>
      </w:r>
      <w:bookmarkEnd w:id="20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本部分</w:t>
      </w:r>
      <w:r>
        <w:rPr>
          <w:rFonts w:ascii="宋体" w:hAnsi="宋体" w:cs="@仿宋_GB2312"/>
          <w:sz w:val="24"/>
          <w:szCs w:val="24"/>
          <w:highlight w:val="none"/>
        </w:rPr>
        <w:t>是对</w:t>
      </w:r>
      <w:r>
        <w:rPr>
          <w:rFonts w:hint="eastAsia" w:ascii="宋体" w:hAnsi="宋体" w:cs="@仿宋_GB2312"/>
          <w:sz w:val="24"/>
          <w:szCs w:val="24"/>
          <w:highlight w:val="none"/>
        </w:rPr>
        <w:t>前两</w:t>
      </w:r>
      <w:r>
        <w:rPr>
          <w:rFonts w:ascii="宋体" w:hAnsi="宋体" w:cs="@仿宋_GB2312"/>
          <w:sz w:val="24"/>
          <w:szCs w:val="24"/>
          <w:highlight w:val="none"/>
        </w:rPr>
        <w:t>部分的补充和修改</w:t>
      </w:r>
      <w:r>
        <w:rPr>
          <w:rFonts w:hint="eastAsia" w:ascii="宋体" w:hAnsi="宋体" w:cs="@仿宋_GB2312"/>
          <w:sz w:val="24"/>
          <w:szCs w:val="24"/>
          <w:highlight w:val="none"/>
        </w:rPr>
        <w:t>，</w:t>
      </w:r>
      <w:r>
        <w:rPr>
          <w:rFonts w:ascii="宋体" w:hAnsi="宋体" w:cs="@仿宋_GB2312"/>
          <w:sz w:val="24"/>
          <w:szCs w:val="24"/>
          <w:highlight w:val="none"/>
        </w:rPr>
        <w:t>如果</w:t>
      </w:r>
      <w:r>
        <w:rPr>
          <w:rFonts w:hint="eastAsia" w:ascii="宋体" w:hAnsi="宋体" w:cs="@仿宋_GB2312"/>
          <w:sz w:val="24"/>
          <w:szCs w:val="24"/>
          <w:highlight w:val="none"/>
        </w:rPr>
        <w:t>前两</w:t>
      </w:r>
      <w:r>
        <w:rPr>
          <w:rFonts w:ascii="宋体" w:hAnsi="宋体" w:cs="@仿宋_GB2312"/>
          <w:sz w:val="24"/>
          <w:szCs w:val="24"/>
          <w:highlight w:val="none"/>
        </w:rPr>
        <w:t>部分和本部分的约定不一致</w:t>
      </w:r>
      <w:r>
        <w:rPr>
          <w:rFonts w:hint="eastAsia" w:ascii="宋体" w:hAnsi="宋体" w:cs="@仿宋_GB2312"/>
          <w:sz w:val="24"/>
          <w:szCs w:val="24"/>
          <w:highlight w:val="none"/>
        </w:rPr>
        <w:t>，</w:t>
      </w:r>
      <w:r>
        <w:rPr>
          <w:rFonts w:ascii="宋体" w:hAnsi="宋体" w:cs="@仿宋_GB2312"/>
          <w:sz w:val="24"/>
          <w:szCs w:val="24"/>
          <w:highlight w:val="none"/>
        </w:rPr>
        <w:t>应以本部分的约定为准</w:t>
      </w:r>
      <w:r>
        <w:rPr>
          <w:rFonts w:hint="eastAsia" w:ascii="宋体" w:hAnsi="宋体" w:cs="@仿宋_GB2312"/>
          <w:sz w:val="24"/>
          <w:szCs w:val="24"/>
          <w:highlight w:val="none"/>
        </w:rPr>
        <w:t>。</w:t>
      </w:r>
      <w:r>
        <w:rPr>
          <w:rFonts w:ascii="宋体" w:hAnsi="宋体" w:cs="@仿宋_GB2312"/>
          <w:sz w:val="24"/>
          <w:szCs w:val="24"/>
          <w:highlight w:val="none"/>
        </w:rPr>
        <w:t>本部分的条款号应与</w:t>
      </w:r>
      <w:r>
        <w:rPr>
          <w:rFonts w:hint="eastAsia" w:ascii="宋体" w:hAnsi="宋体" w:cs="@仿宋_GB2312"/>
          <w:sz w:val="24"/>
          <w:szCs w:val="24"/>
          <w:highlight w:val="none"/>
        </w:rPr>
        <w:t>前两部分</w:t>
      </w:r>
      <w:r>
        <w:rPr>
          <w:rFonts w:ascii="宋体" w:hAnsi="宋体" w:cs="@仿宋_GB2312"/>
          <w:sz w:val="24"/>
          <w:szCs w:val="24"/>
          <w:highlight w:val="none"/>
        </w:rPr>
        <w:t>的条款号保持对应</w:t>
      </w:r>
      <w:r>
        <w:rPr>
          <w:rFonts w:hint="eastAsia" w:ascii="宋体" w:hAnsi="宋体" w:cs="@仿宋_GB2312"/>
          <w:sz w:val="24"/>
          <w:szCs w:val="24"/>
          <w:highlight w:val="none"/>
        </w:rPr>
        <w:t>；与前两部分</w:t>
      </w:r>
      <w:r>
        <w:rPr>
          <w:rFonts w:ascii="宋体" w:hAnsi="宋体" w:cs="@仿宋_GB2312"/>
          <w:sz w:val="24"/>
          <w:szCs w:val="24"/>
          <w:highlight w:val="none"/>
        </w:rPr>
        <w:t>无对应关系的内容可另行编制条款号</w:t>
      </w:r>
      <w:r>
        <w:rPr>
          <w:rFonts w:hint="eastAsia" w:ascii="宋体" w:hAnsi="宋体" w:cs="@仿宋_GB2312"/>
          <w:sz w:val="24"/>
          <w:szCs w:val="24"/>
          <w:highlight w:val="none"/>
        </w:rPr>
        <w:t>。</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noWrap w:val="0"/>
            <w:vAlign w:val="center"/>
          </w:tcPr>
          <w:p>
            <w:pPr>
              <w:jc w:val="center"/>
              <w:rPr>
                <w:rFonts w:ascii="宋体" w:hAnsi="宋体" w:cs="@仿宋_GB2312"/>
                <w:b/>
                <w:sz w:val="24"/>
                <w:szCs w:val="24"/>
                <w:highlight w:val="none"/>
              </w:rPr>
            </w:pPr>
            <w:r>
              <w:rPr>
                <w:rFonts w:ascii="宋体" w:hAnsi="宋体" w:cs="@仿宋_GB2312"/>
                <w:b/>
                <w:sz w:val="24"/>
                <w:szCs w:val="24"/>
                <w:highlight w:val="none"/>
              </w:rPr>
              <w:t>条款号</w:t>
            </w:r>
          </w:p>
        </w:tc>
        <w:tc>
          <w:tcPr>
            <w:tcW w:w="4525" w:type="pct"/>
            <w:noWrap w:val="0"/>
            <w:vAlign w:val="center"/>
          </w:tcPr>
          <w:p>
            <w:pPr>
              <w:jc w:val="center"/>
              <w:rPr>
                <w:rFonts w:ascii="宋体" w:hAnsi="宋体" w:cs="@仿宋_GB2312"/>
                <w:b/>
                <w:sz w:val="24"/>
                <w:szCs w:val="24"/>
                <w:highlight w:val="none"/>
              </w:rPr>
            </w:pPr>
            <w:r>
              <w:rPr>
                <w:rFonts w:ascii="宋体" w:hAnsi="宋体" w:cs="@仿宋_GB2312"/>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r>
    </w:tbl>
    <w:p>
      <w:pPr>
        <w:widowControl/>
        <w:jc w:val="left"/>
        <w:rPr>
          <w:rFonts w:ascii="宋体" w:hAnsi="宋体" w:cs="@仿宋_GB2312"/>
          <w:sz w:val="24"/>
          <w:szCs w:val="24"/>
          <w:highlight w:val="none"/>
        </w:rPr>
      </w:pPr>
    </w:p>
    <w:p>
      <w:pPr>
        <w:spacing w:before="120" w:beforeLines="50" w:after="72" w:afterLines="30"/>
        <w:rPr>
          <w:rFonts w:hint="eastAsia" w:ascii="宋体" w:hAnsi="宋体"/>
          <w:sz w:val="24"/>
          <w:szCs w:val="24"/>
          <w:highlight w:val="none"/>
        </w:rPr>
      </w:pPr>
    </w:p>
    <w:p>
      <w:pPr>
        <w:spacing w:before="120" w:beforeLines="50" w:after="72" w:afterLines="30"/>
        <w:rPr>
          <w:rFonts w:hint="eastAsia" w:ascii="宋体" w:hAnsi="宋体"/>
          <w:sz w:val="24"/>
          <w:szCs w:val="24"/>
          <w:highlight w:val="none"/>
        </w:rPr>
      </w:pPr>
    </w:p>
    <w:p>
      <w:pPr>
        <w:spacing w:before="120" w:beforeLines="50" w:after="72" w:afterLines="30"/>
        <w:rPr>
          <w:rFonts w:hint="eastAsia" w:ascii="宋体" w:hAnsi="宋体"/>
          <w:sz w:val="28"/>
          <w:szCs w:val="27"/>
          <w:highlight w:val="none"/>
        </w:rPr>
      </w:pPr>
    </w:p>
    <w:p>
      <w:pPr>
        <w:spacing w:before="120" w:beforeLines="50" w:after="72" w:afterLines="30"/>
        <w:rPr>
          <w:rFonts w:hint="eastAsia" w:ascii="宋体" w:hAnsi="宋体"/>
          <w:sz w:val="28"/>
          <w:szCs w:val="27"/>
          <w:highlight w:val="none"/>
        </w:rPr>
      </w:pPr>
    </w:p>
    <w:p>
      <w:pPr>
        <w:spacing w:before="120" w:beforeLines="50" w:after="72" w:afterLines="30"/>
        <w:rPr>
          <w:rFonts w:hint="eastAsia" w:ascii="宋体" w:hAnsi="宋体"/>
          <w:sz w:val="28"/>
          <w:szCs w:val="27"/>
          <w:highlight w:val="none"/>
        </w:rPr>
      </w:pPr>
    </w:p>
    <w:p>
      <w:pPr>
        <w:rPr>
          <w:rFonts w:hint="eastAsia" w:ascii="宋体" w:hAnsi="宋体"/>
          <w:sz w:val="28"/>
          <w:szCs w:val="27"/>
          <w:highlight w:val="none"/>
        </w:rPr>
      </w:pPr>
    </w:p>
    <w:p>
      <w:pPr>
        <w:jc w:val="left"/>
        <w:rPr>
          <w:rFonts w:ascii="宋体" w:hAnsi="宋体"/>
          <w:b/>
          <w:sz w:val="24"/>
          <w:szCs w:val="24"/>
          <w:highlight w:val="none"/>
        </w:rPr>
      </w:pPr>
      <w:bookmarkStart w:id="209" w:name="_Hlk3118756"/>
      <w:r>
        <w:rPr>
          <w:rFonts w:hint="eastAsia" w:ascii="宋体" w:hAnsi="宋体"/>
          <w:b/>
          <w:sz w:val="24"/>
          <w:szCs w:val="24"/>
          <w:highlight w:val="none"/>
        </w:rPr>
        <w:t>合同附件：</w:t>
      </w:r>
    </w:p>
    <w:p>
      <w:pPr>
        <w:jc w:val="center"/>
        <w:rPr>
          <w:rFonts w:ascii="宋体" w:hAnsi="宋体"/>
          <w:b/>
          <w:bCs/>
          <w:sz w:val="24"/>
          <w:szCs w:val="20"/>
          <w:highlight w:val="none"/>
        </w:rPr>
      </w:pPr>
      <w:r>
        <w:rPr>
          <w:rFonts w:hint="eastAsia" w:ascii="宋体" w:hAnsi="宋体"/>
          <w:b/>
          <w:bCs/>
          <w:sz w:val="24"/>
          <w:szCs w:val="20"/>
          <w:highlight w:val="none"/>
        </w:rPr>
        <w:t>承  诺  书</w:t>
      </w:r>
    </w:p>
    <w:p>
      <w:pPr>
        <w:spacing w:line="360" w:lineRule="auto"/>
        <w:rPr>
          <w:rFonts w:ascii="宋体" w:hAnsi="宋体"/>
          <w:sz w:val="24"/>
          <w:szCs w:val="24"/>
          <w:highlight w:val="none"/>
        </w:rPr>
      </w:pP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为维护招投标工作的严肃性，甲乙双方郑重声明并承诺如下：</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一、双方已明确知晓《中华人民共和国招标投标法》《中华人民共和国招标投标法实施条例》及本项目招标公告和磋商文件关于签订书面合同的相关规定：</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一）《中华人民共和国招标投标法》第四十六条：招标人和中标人应当自中标通知书发出之日起三十日内，按照磋商文件和中标人的响应文件订立书面合同。招标人和中标人不得再行订立背离合同实质性内容的其他协议。</w:t>
      </w:r>
    </w:p>
    <w:p>
      <w:pPr>
        <w:spacing w:line="360" w:lineRule="auto"/>
        <w:ind w:firstLine="429" w:firstLineChars="196"/>
        <w:rPr>
          <w:rFonts w:ascii="宋体" w:hAnsi="宋体"/>
          <w:sz w:val="24"/>
          <w:szCs w:val="24"/>
          <w:highlight w:val="none"/>
        </w:rPr>
      </w:pPr>
      <w:r>
        <w:rPr>
          <w:rFonts w:hint="eastAsia" w:ascii="宋体" w:hAnsi="宋体"/>
          <w:sz w:val="24"/>
          <w:szCs w:val="24"/>
          <w:highlight w:val="none"/>
        </w:rPr>
        <w:t>（二）《中华人民共和国招标投标法实施条例》第五十七条：招标人和中标人应当依照招标投标法和本条例的规定签订书面合同，合同的标的、价款、质量、履行期限等主要条款应当与磋商文件和中标人的响应文件的内容一致。招标人和中标人不得再行订立背离合同实质性内容的其他协议。</w:t>
      </w:r>
    </w:p>
    <w:p>
      <w:pPr>
        <w:spacing w:line="360" w:lineRule="auto"/>
        <w:ind w:firstLine="429" w:firstLineChars="196"/>
        <w:rPr>
          <w:rFonts w:ascii="宋体" w:hAnsi="宋体"/>
          <w:sz w:val="24"/>
          <w:szCs w:val="24"/>
          <w:highlight w:val="none"/>
        </w:rPr>
      </w:pPr>
      <w:r>
        <w:rPr>
          <w:rFonts w:hint="eastAsia" w:ascii="宋体" w:hAnsi="宋体"/>
          <w:sz w:val="24"/>
          <w:szCs w:val="24"/>
          <w:highlight w:val="none"/>
        </w:rPr>
        <w:t>（三）本项目招标公告和磋商文件关于</w:t>
      </w:r>
      <w:r>
        <w:rPr>
          <w:rFonts w:ascii="宋体" w:hAnsi="宋体"/>
          <w:sz w:val="24"/>
          <w:szCs w:val="24"/>
          <w:highlight w:val="none"/>
        </w:rPr>
        <w:t>签订</w:t>
      </w:r>
      <w:r>
        <w:rPr>
          <w:rFonts w:hint="eastAsia" w:ascii="宋体" w:hAnsi="宋体"/>
          <w:sz w:val="24"/>
          <w:szCs w:val="24"/>
          <w:highlight w:val="none"/>
        </w:rPr>
        <w:t>书面</w:t>
      </w:r>
      <w:r>
        <w:rPr>
          <w:rFonts w:ascii="宋体" w:hAnsi="宋体"/>
          <w:sz w:val="24"/>
          <w:szCs w:val="24"/>
          <w:highlight w:val="none"/>
        </w:rPr>
        <w:t>合同的相关</w:t>
      </w:r>
      <w:r>
        <w:rPr>
          <w:rFonts w:hint="eastAsia" w:ascii="宋体" w:hAnsi="宋体"/>
          <w:sz w:val="24"/>
          <w:szCs w:val="24"/>
          <w:highlight w:val="none"/>
        </w:rPr>
        <w:t>约定（</w:t>
      </w:r>
      <w:r>
        <w:rPr>
          <w:rFonts w:ascii="宋体" w:hAnsi="宋体"/>
          <w:sz w:val="24"/>
          <w:szCs w:val="24"/>
          <w:highlight w:val="none"/>
        </w:rPr>
        <w:t>详见</w:t>
      </w:r>
      <w:r>
        <w:rPr>
          <w:rFonts w:hint="eastAsia" w:ascii="宋体" w:hAnsi="宋体"/>
          <w:sz w:val="24"/>
          <w:szCs w:val="24"/>
          <w:highlight w:val="none"/>
        </w:rPr>
        <w:t>本项目招标公告和磋商文件）。</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二、双方承诺严格按照上述规定签订</w:t>
      </w:r>
      <w:r>
        <w:rPr>
          <w:rFonts w:hint="eastAsia" w:ascii="宋体" w:hAnsi="宋体"/>
          <w:sz w:val="24"/>
          <w:szCs w:val="24"/>
          <w:highlight w:val="none"/>
          <w:u w:val="single"/>
        </w:rPr>
        <w:t xml:space="preserve">  某项目  </w:t>
      </w:r>
      <w:r>
        <w:rPr>
          <w:rFonts w:hint="eastAsia" w:ascii="宋体" w:hAnsi="宋体"/>
          <w:sz w:val="24"/>
          <w:szCs w:val="24"/>
          <w:highlight w:val="none"/>
        </w:rPr>
        <w:t>的书面合同。如有违反，自行承担一切法律责任和后果。</w:t>
      </w:r>
    </w:p>
    <w:p>
      <w:pPr>
        <w:spacing w:line="360" w:lineRule="auto"/>
        <w:ind w:firstLine="438" w:firstLineChars="200"/>
        <w:rPr>
          <w:rFonts w:ascii="宋体" w:hAnsi="宋体"/>
          <w:sz w:val="24"/>
          <w:szCs w:val="24"/>
          <w:highlight w:val="none"/>
        </w:rPr>
      </w:pPr>
    </w:p>
    <w:p>
      <w:pPr>
        <w:spacing w:line="360" w:lineRule="auto"/>
        <w:ind w:firstLine="438" w:firstLineChars="200"/>
        <w:rPr>
          <w:rFonts w:ascii="宋体" w:hAnsi="宋体"/>
          <w:sz w:val="24"/>
          <w:szCs w:val="24"/>
          <w:highlight w:val="none"/>
        </w:rPr>
      </w:pPr>
    </w:p>
    <w:p>
      <w:pPr>
        <w:spacing w:line="360" w:lineRule="auto"/>
        <w:ind w:firstLine="438" w:firstLineChars="200"/>
        <w:rPr>
          <w:rFonts w:ascii="宋体" w:hAns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rPr>
        <w:t>甲方：  (公章)                         乙方：  (公章)</w:t>
      </w:r>
    </w:p>
    <w:p>
      <w:pPr>
        <w:spacing w:line="360" w:lineRule="auto"/>
        <w:rPr>
          <w:rFonts w:ascii="宋体" w:hAns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rPr>
        <w:t>法定代表人或其委托代理人：            法定代表人或其委托代理人：</w:t>
      </w:r>
    </w:p>
    <w:p>
      <w:pPr>
        <w:spacing w:line="360" w:lineRule="auto"/>
        <w:rPr>
          <w:rFonts w:ascii="宋体" w:hAnsi="宋体"/>
          <w:sz w:val="24"/>
          <w:szCs w:val="24"/>
          <w:highlight w:val="none"/>
        </w:rPr>
      </w:pPr>
      <w:r>
        <w:rPr>
          <w:rFonts w:hint="eastAsia" w:ascii="宋体" w:hAnsi="宋体"/>
          <w:sz w:val="24"/>
          <w:szCs w:val="24"/>
          <w:highlight w:val="none"/>
        </w:rPr>
        <w:t>（签字）                                （签字）</w:t>
      </w:r>
    </w:p>
    <w:p>
      <w:pPr>
        <w:rPr>
          <w:highlight w:val="none"/>
        </w:rPr>
      </w:pPr>
    </w:p>
    <w:p>
      <w:pPr>
        <w:spacing w:before="120" w:beforeLines="50" w:after="72" w:afterLines="30"/>
        <w:rPr>
          <w:rFonts w:ascii="宋体" w:hAnsi="宋体"/>
          <w:sz w:val="24"/>
          <w:szCs w:val="24"/>
          <w:highlight w:val="none"/>
        </w:rPr>
      </w:pPr>
      <w:r>
        <w:rPr>
          <w:rFonts w:hint="eastAsia" w:ascii="宋体" w:hAnsi="宋体"/>
          <w:sz w:val="24"/>
          <w:szCs w:val="24"/>
          <w:highlight w:val="none"/>
        </w:rPr>
        <w:t xml:space="preserve">时间：   年   月                      时间：   年   月     </w:t>
      </w:r>
    </w:p>
    <w:bookmarkEnd w:id="209"/>
    <w:p>
      <w:pPr>
        <w:spacing w:before="120" w:beforeLines="50" w:after="72" w:afterLines="30"/>
        <w:rPr>
          <w:rFonts w:hint="eastAsia" w:ascii="宋体" w:hAnsi="宋体"/>
          <w:sz w:val="24"/>
          <w:szCs w:val="24"/>
          <w:highlight w:val="none"/>
        </w:rPr>
      </w:pPr>
    </w:p>
    <w:p>
      <w:pPr>
        <w:rPr>
          <w:highlight w:val="none"/>
        </w:rPr>
      </w:pPr>
    </w:p>
    <w:p>
      <w:pPr>
        <w:rPr>
          <w:highlight w:val="none"/>
        </w:rPr>
      </w:pPr>
    </w:p>
    <w:p>
      <w:pPr>
        <w:jc w:val="both"/>
        <w:rPr>
          <w:rFonts w:hint="default"/>
          <w:b/>
          <w:bCs/>
          <w:sz w:val="30"/>
          <w:szCs w:val="30"/>
          <w:highlight w:val="none"/>
          <w:lang w:val="en-US" w:eastAsia="zh-CN"/>
        </w:rPr>
      </w:pPr>
      <w:r>
        <w:rPr>
          <w:rFonts w:hint="eastAsia"/>
          <w:b/>
          <w:bCs/>
          <w:sz w:val="30"/>
          <w:szCs w:val="30"/>
          <w:highlight w:val="none"/>
          <w:lang w:val="en-US" w:eastAsia="zh-CN"/>
        </w:rPr>
        <w:t>五：采购需求</w:t>
      </w:r>
    </w:p>
    <w:p>
      <w:pPr>
        <w:keepNext/>
        <w:keepLines/>
        <w:spacing w:before="200"/>
        <w:outlineLvl w:val="1"/>
        <w:rPr>
          <w:rFonts w:ascii="Calibri" w:hAnsi="Calibri" w:eastAsia="宋体" w:cs="Arial"/>
          <w:bCs/>
          <w:sz w:val="24"/>
          <w:szCs w:val="24"/>
          <w:highlight w:val="none"/>
        </w:rPr>
      </w:pPr>
      <w:r>
        <w:rPr>
          <w:rFonts w:hint="eastAsia" w:ascii="Calibri" w:hAnsi="Calibri" w:eastAsia="宋体" w:cs="Arial"/>
          <w:bCs/>
          <w:sz w:val="24"/>
          <w:szCs w:val="24"/>
          <w:highlight w:val="none"/>
        </w:rPr>
        <w:t>（一）货物指标重要性表述</w:t>
      </w:r>
    </w:p>
    <w:tbl>
      <w:tblPr>
        <w:tblStyle w:val="6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51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标识重要性</w:t>
            </w:r>
          </w:p>
        </w:tc>
        <w:tc>
          <w:tcPr>
            <w:tcW w:w="77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标识符号</w:t>
            </w:r>
          </w:p>
        </w:tc>
        <w:tc>
          <w:tcPr>
            <w:tcW w:w="3130"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pPr>
              <w:spacing w:line="360" w:lineRule="auto"/>
              <w:jc w:val="center"/>
              <w:rPr>
                <w:rFonts w:ascii="宋体" w:hAnsi="宋体" w:eastAsia="宋体" w:cs="Times New Roman"/>
                <w:sz w:val="24"/>
                <w:szCs w:val="18"/>
                <w:highlight w:val="none"/>
              </w:rPr>
            </w:pPr>
            <w:r>
              <w:rPr>
                <w:rFonts w:hint="eastAsia" w:ascii="宋体" w:hAnsi="宋体" w:eastAsia="宋体" w:cs="宋体"/>
                <w:sz w:val="24"/>
                <w:szCs w:val="18"/>
                <w:highlight w:val="none"/>
              </w:rPr>
              <w:t>关键性指标项</w:t>
            </w:r>
          </w:p>
        </w:tc>
        <w:tc>
          <w:tcPr>
            <w:tcW w:w="77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宋体"/>
                <w:sz w:val="24"/>
                <w:szCs w:val="18"/>
                <w:highlight w:val="none"/>
              </w:rPr>
              <w:t>★</w:t>
            </w:r>
          </w:p>
        </w:tc>
        <w:tc>
          <w:tcPr>
            <w:tcW w:w="3130"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宋体"/>
                <w:sz w:val="24"/>
                <w:szCs w:val="18"/>
                <w:highlight w:val="none"/>
              </w:rPr>
              <w:t>不满足该指标项将导致投标被拒绝</w:t>
            </w:r>
          </w:p>
        </w:tc>
      </w:tr>
    </w:tbl>
    <w:p>
      <w:pPr>
        <w:autoSpaceDE w:val="0"/>
        <w:autoSpaceDN w:val="0"/>
        <w:adjustRightInd w:val="0"/>
        <w:spacing w:line="360" w:lineRule="auto"/>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（可</w:t>
      </w:r>
      <w:r>
        <w:rPr>
          <w:rFonts w:ascii="宋体" w:hAnsi="宋体" w:eastAsia="宋体" w:cs="Times New Roman"/>
          <w:b/>
          <w:sz w:val="24"/>
          <w:szCs w:val="24"/>
          <w:highlight w:val="none"/>
        </w:rPr>
        <w:t>根据项目实际情况</w:t>
      </w:r>
      <w:r>
        <w:rPr>
          <w:rFonts w:hint="eastAsia" w:ascii="宋体" w:hAnsi="宋体" w:eastAsia="宋体" w:cs="Times New Roman"/>
          <w:b/>
          <w:sz w:val="24"/>
          <w:szCs w:val="24"/>
          <w:highlight w:val="none"/>
        </w:rPr>
        <w:t>，自行选择几级标识。例如：重大项目可选择三级标识+无标识，一般项目可选择二到三级标识。）</w:t>
      </w:r>
    </w:p>
    <w:p>
      <w:pPr>
        <w:keepNext/>
        <w:keepLines/>
        <w:spacing w:before="200"/>
        <w:outlineLvl w:val="1"/>
        <w:rPr>
          <w:rFonts w:ascii="Calibri" w:hAnsi="Calibri" w:eastAsia="宋体" w:cs="Arial"/>
          <w:bCs/>
          <w:sz w:val="24"/>
          <w:szCs w:val="24"/>
          <w:highlight w:val="none"/>
        </w:rPr>
      </w:pPr>
      <w:r>
        <w:rPr>
          <w:rFonts w:hint="eastAsia" w:ascii="Calibri" w:hAnsi="Calibri" w:eastAsia="宋体" w:cs="Arial"/>
          <w:bCs/>
          <w:sz w:val="24"/>
          <w:szCs w:val="24"/>
          <w:highlight w:val="none"/>
        </w:rPr>
        <w:t>（二）货物指标要求</w:t>
      </w:r>
    </w:p>
    <w:tbl>
      <w:tblPr>
        <w:tblStyle w:val="65"/>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076"/>
        <w:gridCol w:w="5487"/>
        <w:gridCol w:w="1163"/>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序号</w:t>
            </w:r>
          </w:p>
        </w:tc>
        <w:tc>
          <w:tcPr>
            <w:tcW w:w="572"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货物名称</w:t>
            </w:r>
          </w:p>
        </w:tc>
        <w:tc>
          <w:tcPr>
            <w:tcW w:w="2916"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技术参数及要求</w:t>
            </w:r>
          </w:p>
        </w:tc>
        <w:tc>
          <w:tcPr>
            <w:tcW w:w="618"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数量（单位）</w:t>
            </w:r>
          </w:p>
        </w:tc>
        <w:tc>
          <w:tcPr>
            <w:tcW w:w="443"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47" w:type="pct"/>
            <w:vAlign w:val="center"/>
          </w:tcPr>
          <w:p>
            <w:pPr>
              <w:spacing w:line="360" w:lineRule="auto"/>
              <w:jc w:val="center"/>
              <w:rPr>
                <w:rFonts w:ascii="宋体" w:hAnsi="宋体" w:eastAsia="宋体" w:cs="Times New Roman"/>
                <w:sz w:val="24"/>
                <w:szCs w:val="18"/>
                <w:highlight w:val="none"/>
              </w:rPr>
            </w:pPr>
            <w:r>
              <w:rPr>
                <w:rFonts w:hint="eastAsia" w:ascii="宋体" w:hAnsi="宋体" w:eastAsia="宋体" w:cs="Times New Roman"/>
                <w:sz w:val="24"/>
                <w:szCs w:val="18"/>
                <w:highlight w:val="none"/>
              </w:rPr>
              <w:t>1</w:t>
            </w:r>
          </w:p>
        </w:tc>
        <w:tc>
          <w:tcPr>
            <w:tcW w:w="572"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lang w:val="en-US" w:eastAsia="zh-CN"/>
              </w:rPr>
              <w:t>货车</w:t>
            </w:r>
          </w:p>
        </w:tc>
        <w:tc>
          <w:tcPr>
            <w:tcW w:w="2916" w:type="pct"/>
          </w:tcPr>
          <w:p>
            <w:pPr>
              <w:adjustRightInd w:val="0"/>
              <w:snapToGrid w:val="0"/>
              <w:spacing w:line="360" w:lineRule="auto"/>
              <w:jc w:val="left"/>
              <w:rPr>
                <w:rFonts w:hint="default" w:ascii="宋体" w:hAnsi="宋体" w:eastAsia="宋体"/>
                <w:kern w:val="0"/>
                <w:sz w:val="24"/>
                <w:szCs w:val="24"/>
                <w:highlight w:val="none"/>
                <w:lang w:val="en-US" w:eastAsia="zh-CN"/>
              </w:rPr>
            </w:pPr>
            <w:r>
              <w:rPr>
                <w:rFonts w:hint="eastAsia" w:ascii="宋体" w:hAnsi="宋体"/>
                <w:color w:val="000000" w:themeColor="text1"/>
                <w:kern w:val="0"/>
                <w:sz w:val="24"/>
                <w:szCs w:val="24"/>
                <w:highlight w:val="none"/>
              </w:rPr>
              <w:t>车型：</w:t>
            </w:r>
            <w:r>
              <w:rPr>
                <w:rFonts w:hint="eastAsia" w:ascii="宋体" w:hAnsi="宋体"/>
                <w:color w:val="000000" w:themeColor="text1"/>
                <w:kern w:val="0"/>
                <w:sz w:val="24"/>
                <w:szCs w:val="24"/>
                <w:highlight w:val="none"/>
                <w:lang w:val="en-US" w:eastAsia="zh-CN"/>
              </w:rPr>
              <w:t xml:space="preserve">货车 </w:t>
            </w:r>
          </w:p>
          <w:p>
            <w:p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rPr>
              <w:t>使用燃料：</w:t>
            </w:r>
            <w:r>
              <w:rPr>
                <w:rFonts w:hint="eastAsia" w:ascii="宋体" w:hAnsi="宋体"/>
                <w:kern w:val="0"/>
                <w:sz w:val="24"/>
                <w:szCs w:val="24"/>
                <w:highlight w:val="none"/>
                <w:lang w:val="en-US" w:eastAsia="zh-CN"/>
              </w:rPr>
              <w:t>柴</w:t>
            </w:r>
            <w:r>
              <w:rPr>
                <w:rFonts w:hint="eastAsia" w:ascii="宋体" w:hAnsi="宋体"/>
                <w:kern w:val="0"/>
                <w:sz w:val="24"/>
                <w:szCs w:val="24"/>
                <w:highlight w:val="none"/>
              </w:rPr>
              <w:t>油</w:t>
            </w:r>
          </w:p>
          <w:p>
            <w:pPr>
              <w:adjustRightInd w:val="0"/>
              <w:snapToGrid w:val="0"/>
              <w:spacing w:line="360" w:lineRule="auto"/>
              <w:jc w:val="left"/>
              <w:rPr>
                <w:rFonts w:hint="eastAsia" w:ascii="宋体" w:hAnsi="宋体"/>
                <w:kern w:val="0"/>
                <w:sz w:val="24"/>
                <w:szCs w:val="24"/>
                <w:highlight w:val="none"/>
                <w:lang w:val="en-US" w:eastAsia="zh-CN"/>
              </w:rPr>
            </w:pPr>
            <w:r>
              <w:rPr>
                <w:rFonts w:hint="eastAsia" w:ascii="宋体" w:hAnsi="宋体" w:cs="宋体"/>
                <w:color w:val="000000"/>
                <w:kern w:val="0"/>
                <w:sz w:val="24"/>
                <w:szCs w:val="24"/>
                <w:highlight w:val="none"/>
                <w:lang w:val="en-US" w:eastAsia="zh-CN" w:bidi="ar"/>
              </w:rPr>
              <w:t>★</w:t>
            </w:r>
            <w:r>
              <w:rPr>
                <w:rFonts w:hint="eastAsia" w:ascii="宋体" w:hAnsi="宋体"/>
                <w:kern w:val="0"/>
                <w:sz w:val="24"/>
                <w:szCs w:val="24"/>
                <w:highlight w:val="none"/>
                <w:lang w:val="en-US" w:eastAsia="zh-CN"/>
              </w:rPr>
              <w:t>颜色</w:t>
            </w:r>
            <w:r>
              <w:rPr>
                <w:rFonts w:hint="eastAsia" w:ascii="宋体" w:hAnsi="宋体"/>
                <w:kern w:val="0"/>
                <w:sz w:val="24"/>
                <w:szCs w:val="24"/>
                <w:highlight w:val="none"/>
              </w:rPr>
              <w:t>：</w:t>
            </w:r>
            <w:r>
              <w:rPr>
                <w:rFonts w:hint="eastAsia" w:ascii="宋体" w:hAnsi="宋体"/>
                <w:kern w:val="0"/>
                <w:sz w:val="24"/>
                <w:szCs w:val="24"/>
                <w:highlight w:val="none"/>
                <w:lang w:val="en-US" w:eastAsia="zh-CN"/>
              </w:rPr>
              <w:t>工程黄</w:t>
            </w:r>
          </w:p>
          <w:p>
            <w:pPr>
              <w:numPr>
                <w:ilvl w:val="0"/>
                <w:numId w:val="0"/>
              </w:num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lang w:val="en-US" w:eastAsia="zh-CN"/>
              </w:rPr>
              <w:t>燃油标号：0</w:t>
            </w:r>
            <w:r>
              <w:rPr>
                <w:rFonts w:hint="eastAsia" w:ascii="微软雅黑" w:hAnsi="微软雅黑" w:eastAsia="微软雅黑" w:cs="微软雅黑"/>
                <w:kern w:val="0"/>
                <w:sz w:val="24"/>
                <w:szCs w:val="24"/>
                <w:highlight w:val="none"/>
                <w:lang w:val="en-US" w:eastAsia="zh-CN"/>
              </w:rPr>
              <w:t>♯</w:t>
            </w:r>
          </w:p>
          <w:p>
            <w:pPr>
              <w:numPr>
                <w:ilvl w:val="0"/>
                <w:numId w:val="0"/>
              </w:num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lang w:val="en-US" w:eastAsia="zh-CN"/>
              </w:rPr>
              <w:t>发动机</w:t>
            </w:r>
            <w:r>
              <w:rPr>
                <w:rFonts w:hint="eastAsia" w:ascii="宋体" w:hAnsi="宋体"/>
                <w:kern w:val="0"/>
                <w:sz w:val="24"/>
                <w:szCs w:val="24"/>
                <w:highlight w:val="none"/>
              </w:rPr>
              <w:t>：2.</w:t>
            </w:r>
            <w:r>
              <w:rPr>
                <w:rFonts w:hint="eastAsia" w:ascii="宋体" w:hAnsi="宋体"/>
                <w:kern w:val="0"/>
                <w:sz w:val="24"/>
                <w:szCs w:val="24"/>
                <w:highlight w:val="none"/>
                <w:lang w:val="en-US" w:eastAsia="zh-CN"/>
              </w:rPr>
              <w:t>3L 95马力</w:t>
            </w:r>
          </w:p>
          <w:p>
            <w:pPr>
              <w:adjustRightInd w:val="0"/>
              <w:snapToGrid w:val="0"/>
              <w:spacing w:line="360" w:lineRule="auto"/>
              <w:jc w:val="left"/>
              <w:rPr>
                <w:rFonts w:hint="default" w:ascii="宋体" w:hAnsi="宋体" w:eastAsia="宋体"/>
                <w:kern w:val="0"/>
                <w:sz w:val="24"/>
                <w:szCs w:val="24"/>
                <w:highlight w:val="none"/>
                <w:lang w:val="en-US" w:eastAsia="zh-CN"/>
              </w:rPr>
            </w:pPr>
            <w:r>
              <w:rPr>
                <w:rFonts w:hint="eastAsia" w:ascii="宋体" w:hAnsi="宋体"/>
                <w:kern w:val="0"/>
                <w:sz w:val="24"/>
                <w:szCs w:val="24"/>
                <w:highlight w:val="none"/>
              </w:rPr>
              <w:t>变速箱：</w:t>
            </w:r>
            <w:r>
              <w:rPr>
                <w:rFonts w:hint="eastAsia" w:ascii="宋体" w:hAnsi="宋体"/>
                <w:kern w:val="0"/>
                <w:sz w:val="24"/>
                <w:szCs w:val="24"/>
                <w:highlight w:val="none"/>
                <w:lang w:val="en-US" w:eastAsia="zh-CN"/>
              </w:rPr>
              <w:t>5挡手动</w:t>
            </w:r>
          </w:p>
          <w:p>
            <w:pPr>
              <w:adjustRightInd w:val="0"/>
              <w:snapToGrid w:val="0"/>
              <w:spacing w:line="360" w:lineRule="auto"/>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w:t>
            </w:r>
            <w:r>
              <w:rPr>
                <w:rFonts w:hint="eastAsia" w:ascii="宋体" w:hAnsi="宋体"/>
                <w:kern w:val="0"/>
                <w:sz w:val="24"/>
                <w:szCs w:val="24"/>
                <w:highlight w:val="none"/>
                <w:lang w:val="en-US" w:eastAsia="zh-CN"/>
              </w:rPr>
              <w:t>驱</w:t>
            </w:r>
            <w:r>
              <w:rPr>
                <w:rFonts w:hint="eastAsia" w:ascii="宋体" w:hAnsi="宋体"/>
                <w:kern w:val="0"/>
                <w:sz w:val="24"/>
                <w:szCs w:val="24"/>
                <w:highlight w:val="none"/>
              </w:rPr>
              <w:t>动系统：</w:t>
            </w:r>
            <w:r>
              <w:rPr>
                <w:rFonts w:hint="eastAsia" w:ascii="宋体" w:hAnsi="宋体" w:cs="宋体"/>
                <w:color w:val="000000"/>
                <w:kern w:val="0"/>
                <w:sz w:val="24"/>
                <w:szCs w:val="24"/>
                <w:highlight w:val="none"/>
                <w:lang w:val="en-US" w:eastAsia="zh-CN" w:bidi="ar"/>
              </w:rPr>
              <w:t>中置后驱</w:t>
            </w:r>
          </w:p>
          <w:p>
            <w:pPr>
              <w:adjustRightInd w:val="0"/>
              <w:snapToGrid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长</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宽</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高</w:t>
            </w:r>
            <w:r>
              <w:rPr>
                <w:rFonts w:hint="eastAsia" w:ascii="宋体" w:hAnsi="宋体" w:cs="宋体"/>
                <w:color w:val="000000"/>
                <w:kern w:val="0"/>
                <w:sz w:val="24"/>
                <w:szCs w:val="24"/>
                <w:highlight w:val="none"/>
                <w:lang w:val="en-US" w:eastAsia="zh-CN" w:bidi="ar"/>
              </w:rPr>
              <w:t>（mm）：5995*1930*2090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货箱尺寸（</w:t>
            </w:r>
            <w:r>
              <w:rPr>
                <w:rFonts w:hint="eastAsia" w:ascii="宋体" w:hAnsi="宋体" w:cs="宋体"/>
                <w:color w:val="000000"/>
                <w:kern w:val="0"/>
                <w:sz w:val="24"/>
                <w:szCs w:val="24"/>
                <w:highlight w:val="none"/>
                <w:lang w:val="en-US" w:eastAsia="zh-CN" w:bidi="ar"/>
              </w:rPr>
              <w:t>mm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cs="宋体"/>
                <w:color w:val="000000"/>
                <w:kern w:val="0"/>
                <w:sz w:val="24"/>
                <w:szCs w:val="24"/>
                <w:highlight w:val="none"/>
                <w:lang w:val="en-US" w:eastAsia="zh-CN" w:bidi="ar"/>
              </w:rPr>
              <w:t>3030*1830*355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车身结构：4门5座货车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功率（kW）：70kW</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扭矩（N.m）：240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马力（Ps）：95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最高车速（km/h）：110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车身结构：货车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车门数（个）：4</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座位数（个）：5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油箱容积（L）:45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环保标准：国VI</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前悬挂形式：非独悬式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后悬挂形式：纵置钢板弹簧</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车体结构：承载式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前制动器类型：盘式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后制动器类型：鼓式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轮胎规格尺寸：185R15LT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备胎规格：有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ABS防抱死：标配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制动力分配:EBD标配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座椅材质：织物</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轮圈材质：钢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方向盘材质：塑料</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主驾座椅调节：前后调节，靠背调节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车窗方式：前后门电动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多媒体：大屏倒车影像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近/远光灯：卤素</w:t>
            </w:r>
          </w:p>
          <w:p>
            <w:pPr>
              <w:spacing w:line="360" w:lineRule="auto"/>
              <w:rPr>
                <w:rFonts w:hint="default" w:ascii="宋体" w:hAnsi="宋体" w:eastAsia="宋体" w:cs="宋体"/>
                <w:sz w:val="24"/>
                <w:szCs w:val="18"/>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sz w:val="24"/>
                <w:szCs w:val="18"/>
                <w:highlight w:val="none"/>
                <w:lang w:val="en-US" w:eastAsia="zh-CN"/>
              </w:rPr>
              <w:t>作业警示灯（加装）</w:t>
            </w:r>
          </w:p>
        </w:tc>
        <w:tc>
          <w:tcPr>
            <w:tcW w:w="618" w:type="pct"/>
            <w:vAlign w:val="center"/>
          </w:tcPr>
          <w:p>
            <w:pPr>
              <w:spacing w:line="360" w:lineRule="auto"/>
              <w:jc w:val="center"/>
              <w:rPr>
                <w:rFonts w:ascii="宋体" w:hAnsi="宋体" w:eastAsia="宋体" w:cs="Times New Roman"/>
                <w:bCs/>
                <w:sz w:val="24"/>
                <w:szCs w:val="18"/>
                <w:highlight w:val="none"/>
              </w:rPr>
            </w:pPr>
          </w:p>
        </w:tc>
        <w:tc>
          <w:tcPr>
            <w:tcW w:w="443" w:type="pct"/>
            <w:vAlign w:val="center"/>
          </w:tcPr>
          <w:p>
            <w:pPr>
              <w:spacing w:line="360" w:lineRule="auto"/>
              <w:jc w:val="center"/>
              <w:rPr>
                <w:rFonts w:ascii="宋体" w:hAnsi="宋体" w:eastAsia="宋体" w:cs="Times New Roman"/>
                <w:bCs/>
                <w:sz w:val="24"/>
                <w:szCs w:val="18"/>
                <w:highlight w:val="none"/>
              </w:rPr>
            </w:pPr>
          </w:p>
        </w:tc>
      </w:tr>
    </w:tbl>
    <w:p>
      <w:pPr>
        <w:autoSpaceDE w:val="0"/>
        <w:autoSpaceDN w:val="0"/>
        <w:adjustRightInd w:val="0"/>
        <w:spacing w:line="360" w:lineRule="auto"/>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注：货物的技术参数及要求应当尽量细化、明确、清晰，同时须注意核心技术参数不能具有单一指向性，充分保证项目的公平性、竞争性。</w:t>
      </w:r>
    </w:p>
    <w:p>
      <w:pPr>
        <w:keepNext/>
        <w:keepLines/>
        <w:numPr>
          <w:ilvl w:val="0"/>
          <w:numId w:val="0"/>
        </w:numPr>
        <w:spacing w:before="260" w:after="260" w:line="416" w:lineRule="auto"/>
        <w:outlineLvl w:val="0"/>
        <w:rPr>
          <w:rFonts w:hint="eastAsia"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三</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安装调试、质保及售后服务要求</w:t>
      </w:r>
    </w:p>
    <w:p>
      <w:pPr>
        <w:keepNext/>
        <w:keepLines/>
        <w:numPr>
          <w:ilvl w:val="0"/>
          <w:numId w:val="0"/>
        </w:numPr>
        <w:spacing w:before="260" w:after="260" w:line="416" w:lineRule="auto"/>
        <w:outlineLvl w:val="0"/>
        <w:rPr>
          <w:rFonts w:ascii="Times New Roman" w:hAnsi="Times New Roman" w:eastAsia="宋体" w:cs="Times New Roman"/>
          <w:szCs w:val="20"/>
          <w:highlight w:val="none"/>
        </w:rPr>
      </w:pPr>
      <w:r>
        <w:rPr>
          <w:rFonts w:hint="eastAsia" w:ascii="宋体" w:hAnsi="宋体" w:eastAsia="宋体" w:cs="Times New Roman"/>
          <w:sz w:val="24"/>
          <w:szCs w:val="24"/>
          <w:highlight w:val="none"/>
          <w:lang w:val="en-US" w:eastAsia="zh-CN"/>
        </w:rPr>
        <w:t>免费质保期2年5万公里，供货及安装期限</w:t>
      </w:r>
      <w:r>
        <w:rPr>
          <w:rFonts w:hint="eastAsia" w:ascii="宋体" w:hAnsi="宋体" w:eastAsia="宋体" w:cs="宋体"/>
          <w:sz w:val="24"/>
          <w:szCs w:val="24"/>
          <w:highlight w:val="none"/>
          <w:lang w:val="en-US" w:eastAsia="zh-CN"/>
        </w:rPr>
        <w:t>中标之日起60日内。</w:t>
      </w:r>
    </w:p>
    <w:p>
      <w:pPr>
        <w:keepNext/>
        <w:keepLines/>
        <w:spacing w:before="260" w:after="260" w:line="416" w:lineRule="auto"/>
        <w:outlineLvl w:val="0"/>
        <w:rPr>
          <w:rFonts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四</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报价要求</w:t>
      </w:r>
    </w:p>
    <w:p>
      <w:pPr>
        <w:spacing w:line="360" w:lineRule="auto"/>
        <w:ind w:firstLine="438" w:firstLineChars="200"/>
        <w:rPr>
          <w:rFonts w:ascii="宋体" w:hAnsi="宋体" w:eastAsia="宋体" w:cs="Times New Roman"/>
          <w:sz w:val="24"/>
          <w:szCs w:val="28"/>
          <w:highlight w:val="none"/>
        </w:rPr>
      </w:pPr>
      <w:r>
        <w:rPr>
          <w:rFonts w:hint="eastAsia" w:cs="@仿宋_GB2312" w:asciiTheme="minorEastAsia" w:hAnsiTheme="minorEastAsia"/>
          <w:bCs/>
          <w:sz w:val="24"/>
          <w:szCs w:val="18"/>
          <w:highlight w:val="none"/>
        </w:rPr>
        <w:t>本项目采用</w:t>
      </w:r>
      <w:r>
        <w:rPr>
          <w:rFonts w:hint="eastAsia" w:cs="@仿宋_GB2312" w:asciiTheme="minorEastAsia" w:hAnsiTheme="minorEastAsia"/>
          <w:b/>
          <w:bCs/>
          <w:sz w:val="24"/>
          <w:szCs w:val="18"/>
          <w:highlight w:val="none"/>
        </w:rPr>
        <w:t>总价包干</w:t>
      </w:r>
      <w:r>
        <w:rPr>
          <w:rFonts w:hint="eastAsia" w:cs="@仿宋_GB2312" w:asciiTheme="minorEastAsia" w:hAnsiTheme="minorEastAsia"/>
          <w:bCs/>
          <w:sz w:val="24"/>
          <w:szCs w:val="18"/>
          <w:highlight w:val="none"/>
        </w:rPr>
        <w:t>，报价包含为完成本项目内容而产生的全部费用，包括但不限于货物费、运输费、安装调试费、安装过程中的必要耗材费、税费、售后服务费等，采购人后期不再追加任何费用</w:t>
      </w:r>
      <w:r>
        <w:rPr>
          <w:rFonts w:hint="eastAsia" w:cs="@仿宋_GB2312" w:asciiTheme="minorEastAsia" w:hAnsiTheme="minorEastAsia"/>
          <w:bCs/>
          <w:sz w:val="24"/>
          <w:szCs w:val="18"/>
          <w:highlight w:val="none"/>
          <w:lang w:eastAsia="zh-CN"/>
        </w:rPr>
        <w:t>，</w:t>
      </w:r>
      <w:r>
        <w:rPr>
          <w:rFonts w:hint="eastAsia" w:cs="@仿宋_GB2312" w:asciiTheme="minorEastAsia" w:hAnsiTheme="minorEastAsia"/>
          <w:bCs/>
          <w:sz w:val="24"/>
          <w:szCs w:val="18"/>
          <w:highlight w:val="none"/>
          <w:lang w:val="en-US" w:eastAsia="zh-CN"/>
        </w:rPr>
        <w:t>车辆购置税及保险除外</w:t>
      </w:r>
      <w:r>
        <w:rPr>
          <w:rFonts w:hint="eastAsia" w:cs="@仿宋_GB2312" w:asciiTheme="minorEastAsia" w:hAnsiTheme="minorEastAsia"/>
          <w:bCs/>
          <w:sz w:val="24"/>
          <w:szCs w:val="18"/>
          <w:highlight w:val="none"/>
        </w:rPr>
        <w:t>。供应商需自行考虑各种风险，谨慎报价。</w:t>
      </w:r>
    </w:p>
    <w:p>
      <w:pPr>
        <w:keepNext/>
        <w:keepLines/>
        <w:numPr>
          <w:ilvl w:val="0"/>
          <w:numId w:val="0"/>
        </w:numPr>
        <w:spacing w:before="260" w:after="260" w:line="416" w:lineRule="auto"/>
        <w:outlineLvl w:val="0"/>
        <w:rPr>
          <w:rFonts w:hint="eastAsia"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五</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其他要求</w:t>
      </w:r>
    </w:p>
    <w:p>
      <w:pPr>
        <w:spacing w:line="360" w:lineRule="auto"/>
        <w:ind w:firstLine="438" w:firstLineChars="200"/>
        <w:rPr>
          <w:rFonts w:cs="@仿宋_GB2312" w:asciiTheme="minorEastAsia" w:hAnsiTheme="minorEastAsia"/>
          <w:bCs/>
          <w:sz w:val="24"/>
          <w:szCs w:val="18"/>
          <w:highlight w:val="none"/>
        </w:rPr>
      </w:pPr>
      <w:r>
        <w:rPr>
          <w:rFonts w:cs="@仿宋_GB2312" w:asciiTheme="minorEastAsia" w:hAnsiTheme="minorEastAsia"/>
          <w:bCs/>
          <w:sz w:val="24"/>
          <w:szCs w:val="18"/>
          <w:highlight w:val="none"/>
        </w:rPr>
        <w:t>1</w:t>
      </w:r>
      <w:r>
        <w:rPr>
          <w:rFonts w:hint="eastAsia" w:cs="@仿宋_GB2312" w:asciiTheme="minorEastAsia" w:hAnsiTheme="minorEastAsia"/>
          <w:bCs/>
          <w:sz w:val="24"/>
          <w:szCs w:val="18"/>
          <w:highlight w:val="none"/>
        </w:rPr>
        <w:t>.</w:t>
      </w:r>
      <w:r>
        <w:rPr>
          <w:rFonts w:cs="@仿宋_GB2312" w:asciiTheme="minorEastAsia" w:hAnsiTheme="minorEastAsia"/>
          <w:bCs/>
          <w:sz w:val="24"/>
          <w:szCs w:val="18"/>
          <w:highlight w:val="none"/>
        </w:rPr>
        <w:t>产品质保期内，成交供应商需要为采购人提供7*24售后维保服务，接到采购人售后服务通知后，应于</w:t>
      </w:r>
      <w:r>
        <w:rPr>
          <w:rFonts w:hint="eastAsia" w:cs="@仿宋_GB2312" w:asciiTheme="minorEastAsia" w:hAnsiTheme="minorEastAsia"/>
          <w:bCs/>
          <w:sz w:val="24"/>
          <w:szCs w:val="18"/>
          <w:highlight w:val="none"/>
          <w:lang w:val="en-US" w:eastAsia="zh-CN"/>
        </w:rPr>
        <w:t>2小时</w:t>
      </w:r>
      <w:r>
        <w:rPr>
          <w:rFonts w:cs="@仿宋_GB2312" w:asciiTheme="minorEastAsia" w:hAnsiTheme="minorEastAsia"/>
          <w:bCs/>
          <w:sz w:val="24"/>
          <w:szCs w:val="18"/>
          <w:highlight w:val="none"/>
        </w:rPr>
        <w:t>安排售后服务人员</w:t>
      </w:r>
      <w:r>
        <w:rPr>
          <w:rFonts w:hint="eastAsia" w:cs="@仿宋_GB2312" w:asciiTheme="minorEastAsia" w:hAnsiTheme="minorEastAsia"/>
          <w:bCs/>
          <w:sz w:val="24"/>
          <w:szCs w:val="18"/>
          <w:highlight w:val="none"/>
          <w:lang w:val="en-US" w:eastAsia="zh-CN"/>
        </w:rPr>
        <w:t>电话响应</w:t>
      </w:r>
      <w:r>
        <w:rPr>
          <w:rFonts w:cs="@仿宋_GB2312" w:asciiTheme="minorEastAsia" w:hAnsiTheme="minorEastAsia"/>
          <w:bCs/>
          <w:sz w:val="24"/>
          <w:szCs w:val="18"/>
          <w:highlight w:val="none"/>
        </w:rPr>
        <w:t>。</w:t>
      </w:r>
    </w:p>
    <w:p>
      <w:pPr>
        <w:spacing w:line="360" w:lineRule="auto"/>
        <w:ind w:firstLine="438" w:firstLineChars="200"/>
        <w:rPr>
          <w:rFonts w:cs="@仿宋_GB2312" w:asciiTheme="minorEastAsia" w:hAnsiTheme="minorEastAsia"/>
          <w:bCs/>
          <w:sz w:val="24"/>
          <w:szCs w:val="18"/>
          <w:highlight w:val="none"/>
        </w:rPr>
      </w:pPr>
      <w:r>
        <w:rPr>
          <w:rFonts w:cs="@仿宋_GB2312" w:asciiTheme="minorEastAsia" w:hAnsiTheme="minorEastAsia"/>
          <w:bCs/>
          <w:sz w:val="24"/>
          <w:szCs w:val="18"/>
          <w:highlight w:val="none"/>
        </w:rPr>
        <w:t>2</w:t>
      </w:r>
      <w:r>
        <w:rPr>
          <w:rFonts w:hint="eastAsia" w:cs="@仿宋_GB2312" w:asciiTheme="minorEastAsia" w:hAnsiTheme="minorEastAsia"/>
          <w:bCs/>
          <w:sz w:val="24"/>
          <w:szCs w:val="18"/>
          <w:highlight w:val="none"/>
        </w:rPr>
        <w:t>.</w:t>
      </w:r>
      <w:r>
        <w:rPr>
          <w:rFonts w:cs="@仿宋_GB2312" w:asciiTheme="minorEastAsia" w:hAnsiTheme="minorEastAsia"/>
          <w:bCs/>
          <w:sz w:val="24"/>
          <w:szCs w:val="18"/>
          <w:highlight w:val="none"/>
        </w:rPr>
        <w:t>产品质保期内，如若产品出现非人为因素的质量问题，成交供应商需要及时上门维修，必要时，经采购人同意后，替换新的合格产品。</w:t>
      </w:r>
    </w:p>
    <w:p>
      <w:pPr>
        <w:pStyle w:val="2"/>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210"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211" w:name="_Toc461053086"/>
      <w:bookmarkStart w:id="212" w:name="_Toc2774249"/>
      <w:bookmarkStart w:id="213" w:name="_Toc461056631"/>
      <w:r>
        <w:rPr>
          <w:rFonts w:hint="eastAsia" w:ascii="宋体" w:hAnsi="宋体" w:eastAsia="宋体"/>
          <w:bCs w:val="0"/>
          <w:color w:val="000000"/>
          <w:sz w:val="24"/>
          <w:szCs w:val="24"/>
          <w:highlight w:val="none"/>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211"/>
      <w:bookmarkEnd w:id="212"/>
      <w:bookmarkEnd w:id="213"/>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210"/>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1700" w:type="dxa"/>
            <w:tcBorders>
              <w:top w:val="nil"/>
              <w:bottom w:val="single" w:color="auto" w:sz="4" w:space="0"/>
            </w:tcBorders>
            <w:noWrap w:val="0"/>
            <w:vAlign w:val="center"/>
          </w:tcPr>
          <w:p>
            <w:pPr>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最终报价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highlight w:val="none"/>
                <w:u w:val="single"/>
                <w:lang w:val="en-US" w:eastAsia="zh-CN"/>
              </w:rPr>
            </w:pPr>
            <w:r>
              <w:rPr>
                <w:rFonts w:hint="eastAsia" w:ascii="宋体" w:hAnsi="宋体"/>
                <w:b/>
                <w:bCs/>
                <w:color w:val="000000"/>
                <w:sz w:val="24"/>
                <w:szCs w:val="28"/>
                <w:highlight w:val="none"/>
                <w:lang w:eastAsia="zh-CN"/>
              </w:rPr>
              <w:t>人民币（大写）：</w:t>
            </w:r>
            <w:r>
              <w:rPr>
                <w:rFonts w:hint="eastAsia" w:ascii="宋体" w:hAnsi="宋体"/>
                <w:b/>
                <w:color w:val="000000"/>
                <w:sz w:val="24"/>
                <w:highlight w:val="none"/>
                <w:u w:val="single"/>
                <w:lang w:val="en-US" w:eastAsia="zh-CN"/>
              </w:rPr>
              <w:t xml:space="preserve">                         </w:t>
            </w:r>
          </w:p>
          <w:p>
            <w:pPr>
              <w:spacing w:line="480" w:lineRule="auto"/>
              <w:ind w:firstLine="657" w:firstLineChars="300"/>
              <w:jc w:val="left"/>
              <w:rPr>
                <w:rFonts w:hint="default" w:ascii="宋体" w:hAnsi="宋体"/>
                <w:b/>
                <w:color w:val="000000"/>
                <w:sz w:val="24"/>
                <w:highlight w:val="none"/>
                <w:u w:val="single"/>
                <w:lang w:val="en-US" w:eastAsia="zh-CN"/>
              </w:rPr>
            </w:pPr>
            <w:r>
              <w:rPr>
                <w:rFonts w:hint="eastAsia" w:ascii="宋体" w:hAnsi="宋体"/>
                <w:b/>
                <w:color w:val="000000"/>
                <w:sz w:val="24"/>
                <w:highlight w:val="none"/>
                <w:u w:val="none"/>
                <w:lang w:val="en-US" w:eastAsia="zh-CN"/>
              </w:rPr>
              <w:t>（小写）：</w:t>
            </w:r>
            <w:r>
              <w:rPr>
                <w:rFonts w:hint="eastAsia" w:ascii="宋体" w:hAnsi="宋体"/>
                <w:b/>
                <w:color w:val="000000"/>
                <w:sz w:val="24"/>
                <w:highlight w:val="none"/>
                <w:u w:val="single"/>
                <w:lang w:val="en-US" w:eastAsia="zh-CN"/>
              </w:rPr>
              <w:t xml:space="preserve">                         </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360" w:lineRule="auto"/>
              <w:ind w:firstLine="438" w:firstLineChars="200"/>
              <w:rPr>
                <w:rFonts w:hint="default" w:eastAsia="宋体" w:cs="@仿宋_GB2312" w:asciiTheme="minorEastAsia" w:hAnsiTheme="minorEastAsia"/>
                <w:b/>
                <w:bCs w:val="0"/>
                <w:sz w:val="24"/>
                <w:szCs w:val="18"/>
                <w:highlight w:val="none"/>
                <w:lang w:val="en-US" w:eastAsia="zh-CN"/>
              </w:rPr>
            </w:pPr>
            <w:r>
              <w:rPr>
                <w:rFonts w:hint="eastAsia" w:cs="@仿宋_GB2312" w:asciiTheme="minorEastAsia" w:hAnsiTheme="minorEastAsia"/>
                <w:b/>
                <w:bCs w:val="0"/>
                <w:sz w:val="24"/>
                <w:szCs w:val="18"/>
                <w:highlight w:val="none"/>
                <w:lang w:val="en-US" w:eastAsia="zh-CN"/>
              </w:rPr>
              <w:t>投标人需提供产品的品牌、型号、配置等详细清单。</w:t>
            </w:r>
          </w:p>
          <w:p>
            <w:pPr>
              <w:spacing w:line="480" w:lineRule="auto"/>
              <w:jc w:val="left"/>
              <w:rPr>
                <w:rFonts w:hint="eastAsia" w:ascii="宋体" w:hAnsi="宋体"/>
                <w:color w:val="000000"/>
                <w:sz w:val="24"/>
                <w:szCs w:val="28"/>
                <w:highlight w:val="none"/>
                <w:lang w:eastAsia="zh-CN"/>
              </w:rPr>
            </w:pPr>
          </w:p>
        </w:tc>
      </w:tr>
    </w:tbl>
    <w:p>
      <w:pPr>
        <w:numPr>
          <w:ilvl w:val="0"/>
          <w:numId w:val="4"/>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4"/>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14" w:name="_Toc438648620"/>
      <w:r>
        <w:rPr>
          <w:rFonts w:hint="eastAsia" w:hAnsi="宋体" w:cs="宋体"/>
          <w:b/>
          <w:color w:val="000000"/>
          <w:szCs w:val="24"/>
          <w:highlight w:val="none"/>
        </w:rPr>
        <w:br w:type="page"/>
      </w:r>
      <w:bookmarkEnd w:id="214"/>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1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1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57"/>
    <w:bookmarkEnd w:id="58"/>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B46B52F8"/>
    <w:multiLevelType w:val="singleLevel"/>
    <w:tmpl w:val="B46B52F8"/>
    <w:lvl w:ilvl="0" w:tentative="0">
      <w:start w:val="1"/>
      <w:numFmt w:val="decimal"/>
      <w:suff w:val="nothing"/>
      <w:lvlText w:val="%1、"/>
      <w:lvlJc w:val="left"/>
    </w:lvl>
  </w:abstractNum>
  <w:abstractNum w:abstractNumId="2">
    <w:nsid w:val="C86F04CE"/>
    <w:multiLevelType w:val="singleLevel"/>
    <w:tmpl w:val="C86F04CE"/>
    <w:lvl w:ilvl="0" w:tentative="0">
      <w:start w:val="1"/>
      <w:numFmt w:val="decimal"/>
      <w:suff w:val="nothing"/>
      <w:lvlText w:val="%1、"/>
      <w:lvlJc w:val="left"/>
    </w:lvl>
  </w:abstractNum>
  <w:abstractNum w:abstractNumId="3">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CE4908"/>
    <w:rsid w:val="1D7734E2"/>
    <w:rsid w:val="1E212D2C"/>
    <w:rsid w:val="1FAF6052"/>
    <w:rsid w:val="200D2E52"/>
    <w:rsid w:val="21FD3AEA"/>
    <w:rsid w:val="220F56F1"/>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651FE2"/>
    <w:rsid w:val="3BA537DF"/>
    <w:rsid w:val="3D05582A"/>
    <w:rsid w:val="3D1B1DE9"/>
    <w:rsid w:val="3E0C652E"/>
    <w:rsid w:val="3E503843"/>
    <w:rsid w:val="3EE4478D"/>
    <w:rsid w:val="3F4F1107"/>
    <w:rsid w:val="40466FDB"/>
    <w:rsid w:val="40773F96"/>
    <w:rsid w:val="408C373D"/>
    <w:rsid w:val="40C50DE9"/>
    <w:rsid w:val="411D29D5"/>
    <w:rsid w:val="41E62125"/>
    <w:rsid w:val="42441329"/>
    <w:rsid w:val="424B0183"/>
    <w:rsid w:val="42827FAD"/>
    <w:rsid w:val="42AE43F2"/>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362AE0"/>
    <w:rsid w:val="537D5B1F"/>
    <w:rsid w:val="53885680"/>
    <w:rsid w:val="57A82F18"/>
    <w:rsid w:val="59503A2E"/>
    <w:rsid w:val="59771907"/>
    <w:rsid w:val="599F2EC1"/>
    <w:rsid w:val="59D623D0"/>
    <w:rsid w:val="59E5547D"/>
    <w:rsid w:val="5A144CF0"/>
    <w:rsid w:val="5A246F8E"/>
    <w:rsid w:val="5A533AA6"/>
    <w:rsid w:val="5B4D74F0"/>
    <w:rsid w:val="5C031541"/>
    <w:rsid w:val="5D667F60"/>
    <w:rsid w:val="5E661FE6"/>
    <w:rsid w:val="5ED72AC2"/>
    <w:rsid w:val="5F9C06A7"/>
    <w:rsid w:val="612A4F36"/>
    <w:rsid w:val="62A819D0"/>
    <w:rsid w:val="62C124BF"/>
    <w:rsid w:val="62EC7940"/>
    <w:rsid w:val="638C1840"/>
    <w:rsid w:val="639826A5"/>
    <w:rsid w:val="643B21CC"/>
    <w:rsid w:val="643F2933"/>
    <w:rsid w:val="64D65719"/>
    <w:rsid w:val="65501489"/>
    <w:rsid w:val="658656AE"/>
    <w:rsid w:val="65CD5731"/>
    <w:rsid w:val="65DF0A5F"/>
    <w:rsid w:val="670717DE"/>
    <w:rsid w:val="677102A6"/>
    <w:rsid w:val="67993F64"/>
    <w:rsid w:val="6A462692"/>
    <w:rsid w:val="6A6E367C"/>
    <w:rsid w:val="6C0C505C"/>
    <w:rsid w:val="6C3E4CD2"/>
    <w:rsid w:val="6CAB69A8"/>
    <w:rsid w:val="6CBE1293"/>
    <w:rsid w:val="6D0464DC"/>
    <w:rsid w:val="6D102A04"/>
    <w:rsid w:val="6D855A48"/>
    <w:rsid w:val="6E252855"/>
    <w:rsid w:val="6E2D073C"/>
    <w:rsid w:val="6F45735D"/>
    <w:rsid w:val="71A154FB"/>
    <w:rsid w:val="71C16538"/>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7</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2024-07-22T02:39:37Z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