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lang w:eastAsia="zh-CN"/>
          <w14:shadow w14:blurRad="50800" w14:dist="38100" w14:dir="2700000" w14:sx="100000" w14:sy="100000" w14:kx="0" w14:ky="0" w14:algn="tl">
            <w14:srgbClr w14:val="000000">
              <w14:alpha w14:val="60000"/>
            </w14:srgbClr>
          </w14:shadow>
        </w:rPr>
        <w:t>合肥金晶水务有限公司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int="default" w:hAnsi="DotumChe" w:cs="宋体"/>
          <w:b/>
          <w:color w:val="000000"/>
          <w:spacing w:val="20"/>
          <w:sz w:val="32"/>
          <w:szCs w:val="32"/>
          <w:highlight w:val="none"/>
          <w:lang w:val="en-US"/>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2024高刘污水处理厂委托检测服务</w:t>
      </w:r>
    </w:p>
    <w:p>
      <w:pPr>
        <w:autoSpaceDE w:val="0"/>
        <w:autoSpaceDN w:val="0"/>
        <w:adjustRightInd w:val="0"/>
        <w:ind w:firstLine="1166" w:firstLineChars="344"/>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w:t>
      </w:r>
      <w:r>
        <w:rPr>
          <w:rFonts w:hint="eastAsia" w:hAnsi="DotumChe" w:cs="宋体"/>
          <w:b/>
          <w:color w:val="000000"/>
          <w:spacing w:val="20"/>
          <w:sz w:val="32"/>
          <w:szCs w:val="32"/>
          <w:highlight w:val="none"/>
          <w:lang w:eastAsia="zh-CN"/>
        </w:rPr>
        <w:t>20240</w:t>
      </w:r>
      <w:r>
        <w:rPr>
          <w:rFonts w:hint="eastAsia" w:hAnsi="DotumChe" w:cs="宋体"/>
          <w:b/>
          <w:color w:val="000000"/>
          <w:spacing w:val="20"/>
          <w:sz w:val="32"/>
          <w:szCs w:val="32"/>
          <w:highlight w:val="none"/>
          <w:lang w:val="en-US" w:eastAsia="zh-CN"/>
        </w:rPr>
        <w:t>2</w:t>
      </w:r>
      <w:r>
        <w:rPr>
          <w:rFonts w:hint="eastAsia" w:hAnsi="DotumChe" w:cs="宋体"/>
          <w:b/>
          <w:color w:val="000000"/>
          <w:spacing w:val="20"/>
          <w:sz w:val="32"/>
          <w:szCs w:val="32"/>
          <w:highlight w:val="none"/>
          <w:lang w:eastAsia="zh-CN"/>
        </w:rPr>
        <w:t>3</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8</w:t>
      </w:r>
      <w:r>
        <w:rPr>
          <w:rFonts w:hint="eastAsia" w:hAnsi="DotumChe" w:cs="宋体"/>
          <w:b/>
          <w:color w:val="000000"/>
          <w:spacing w:val="20"/>
          <w:sz w:val="32"/>
          <w:szCs w:val="32"/>
          <w:highlight w:val="none"/>
        </w:rPr>
        <w:t>月</w:t>
      </w:r>
    </w:p>
    <w:p>
      <w:pPr>
        <w:pStyle w:val="24"/>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2"/>
          <w:color w:val="000000"/>
          <w:sz w:val="28"/>
          <w:szCs w:val="28"/>
          <w:highlight w:val="none"/>
          <w:u w:val="none"/>
        </w:rPr>
      </w:pPr>
      <w:bookmarkStart w:id="0" w:name="_Hlt533241375"/>
      <w:bookmarkEnd w:id="0"/>
      <w:bookmarkStart w:id="1" w:name="_Hlt519045295"/>
      <w:bookmarkEnd w:id="1"/>
      <w:bookmarkStart w:id="2" w:name="_Hlt526418134"/>
      <w:bookmarkEnd w:id="2"/>
      <w:r>
        <w:rPr>
          <w:rStyle w:val="72"/>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3"/>
      <w:bookmarkStart w:id="4" w:name="_Hlt527617982"/>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合肥金晶水务有限公司</w:t>
      </w:r>
      <w:r>
        <w:rPr>
          <w:rFonts w:hint="eastAsia" w:hAnsi="宋体"/>
          <w:color w:val="000000"/>
          <w:szCs w:val="18"/>
          <w:highlight w:val="none"/>
        </w:rPr>
        <w:t xml:space="preserve"> （以下简称</w:t>
      </w:r>
      <w:r>
        <w:rPr>
          <w:rFonts w:hint="eastAsia" w:hAnsi="宋体"/>
          <w:color w:val="000000"/>
          <w:szCs w:val="18"/>
          <w:highlight w:val="none"/>
          <w:lang w:eastAsia="zh-CN"/>
        </w:rPr>
        <w:t>金晶水务</w:t>
      </w:r>
      <w:r>
        <w:rPr>
          <w:rFonts w:hint="eastAsia" w:hAnsi="宋体"/>
          <w:color w:val="000000"/>
          <w:szCs w:val="18"/>
          <w:highlight w:val="none"/>
        </w:rPr>
        <w:t>）</w:t>
      </w:r>
      <w:r>
        <w:rPr>
          <w:rFonts w:hint="eastAsia" w:hAnsi="宋体" w:cs="宋体"/>
          <w:color w:val="000000"/>
          <w:highlight w:val="none"/>
        </w:rPr>
        <w:t>“</w:t>
      </w:r>
      <w:r>
        <w:rPr>
          <w:rFonts w:hint="eastAsia" w:cs="Times New Roman"/>
          <w:szCs w:val="22"/>
          <w:lang w:val="en-US" w:eastAsia="zh-CN"/>
        </w:rPr>
        <w:t>2024高刘污水处理厂委托检测服务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1、项目编号： GYGSZB-</w:t>
      </w:r>
      <w:r>
        <w:rPr>
          <w:rFonts w:hint="eastAsia" w:hAnsi="宋体"/>
          <w:color w:val="000000"/>
          <w:szCs w:val="18"/>
          <w:highlight w:val="none"/>
          <w:lang w:eastAsia="zh-CN"/>
        </w:rPr>
        <w:t>20240</w:t>
      </w:r>
      <w:r>
        <w:rPr>
          <w:rFonts w:hint="eastAsia" w:hAnsi="宋体"/>
          <w:color w:val="000000"/>
          <w:szCs w:val="18"/>
          <w:highlight w:val="none"/>
          <w:lang w:val="en-US" w:eastAsia="zh-CN"/>
        </w:rPr>
        <w:t>2</w:t>
      </w:r>
      <w:r>
        <w:rPr>
          <w:rFonts w:hint="eastAsia" w:hAnsi="宋体"/>
          <w:color w:val="000000"/>
          <w:szCs w:val="18"/>
          <w:highlight w:val="none"/>
          <w:lang w:eastAsia="zh-CN"/>
        </w:rPr>
        <w:t>3</w:t>
      </w:r>
    </w:p>
    <w:p>
      <w:pPr>
        <w:autoSpaceDE w:val="0"/>
        <w:autoSpaceDN w:val="0"/>
        <w:adjustRightInd w:val="0"/>
        <w:spacing w:line="360" w:lineRule="auto"/>
        <w:ind w:firstLine="438" w:firstLineChars="200"/>
        <w:jc w:val="left"/>
        <w:rPr>
          <w:rFonts w:hAnsi="宋体" w:cs="宋体"/>
          <w:b/>
          <w:color w:val="000000"/>
          <w:highlight w:val="none"/>
        </w:rPr>
      </w:pPr>
      <w:r>
        <w:rPr>
          <w:rFonts w:hint="eastAsia" w:hAnsi="宋体"/>
          <w:color w:val="000000"/>
          <w:szCs w:val="18"/>
          <w:highlight w:val="none"/>
        </w:rPr>
        <w:t>2、项目名称：</w:t>
      </w:r>
      <w:r>
        <w:rPr>
          <w:rFonts w:hint="eastAsia" w:cs="Times New Roman"/>
          <w:szCs w:val="22"/>
          <w:lang w:val="en-US" w:eastAsia="zh-CN"/>
        </w:rPr>
        <w:t>2024高刘污水处理厂委托检测服务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3、项目地点：合肥经开区北区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合肥金晶水务有限公司</w:t>
      </w:r>
      <w:r>
        <w:rPr>
          <w:rFonts w:hint="eastAsia" w:hAnsi="宋体"/>
          <w:color w:val="000000"/>
          <w:szCs w:val="18"/>
          <w:highlight w:val="none"/>
        </w:rPr>
        <w:t xml:space="preserve"> （以下简称</w:t>
      </w:r>
      <w:r>
        <w:rPr>
          <w:rFonts w:hint="eastAsia" w:hAnsi="宋体"/>
          <w:color w:val="000000"/>
          <w:szCs w:val="18"/>
          <w:highlight w:val="none"/>
          <w:lang w:eastAsia="zh-CN"/>
        </w:rPr>
        <w:t>金晶水务</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int="eastAsia" w:ascii="宋体"/>
          <w:bCs/>
          <w:sz w:val="24"/>
          <w:szCs w:val="28"/>
        </w:rPr>
      </w:pPr>
      <w:r>
        <w:rPr>
          <w:rFonts w:hint="eastAsia" w:hAnsi="宋体"/>
          <w:color w:val="000000"/>
          <w:szCs w:val="18"/>
          <w:highlight w:val="none"/>
        </w:rPr>
        <w:t>5、项目概况：</w:t>
      </w:r>
      <w:r>
        <w:rPr>
          <w:rFonts w:hint="eastAsia" w:ascii="宋体"/>
          <w:bCs/>
          <w:sz w:val="24"/>
          <w:szCs w:val="28"/>
        </w:rPr>
        <w:t>高</w:t>
      </w:r>
      <w:r>
        <w:rPr>
          <w:rFonts w:hint="eastAsia"/>
          <w:bCs/>
          <w:sz w:val="24"/>
          <w:szCs w:val="28"/>
          <w:lang w:val="en-US" w:eastAsia="zh-CN"/>
        </w:rPr>
        <w:t>刘</w:t>
      </w:r>
      <w:r>
        <w:rPr>
          <w:rFonts w:hint="eastAsia" w:ascii="宋体"/>
          <w:bCs/>
          <w:sz w:val="24"/>
          <w:szCs w:val="28"/>
        </w:rPr>
        <w:t>污水处理厂项目位于合肥经开北区高刘街道，根据《排污单位自行监测技术指南 水处理)》(HJ 1083-2020),高刘污水处理厂排污许可自行监测规定等文件要求，为加强污染源监测的管理，确保出水稳定达标，拟对高刘污水处理厂自行</w:t>
      </w:r>
      <w:r>
        <w:rPr>
          <w:rFonts w:hint="eastAsia"/>
          <w:bCs/>
          <w:sz w:val="24"/>
          <w:szCs w:val="28"/>
          <w:lang w:val="en-US" w:eastAsia="zh-CN"/>
        </w:rPr>
        <w:t>监测</w:t>
      </w:r>
      <w:r>
        <w:rPr>
          <w:rFonts w:hint="eastAsia" w:ascii="宋体"/>
          <w:bCs/>
          <w:sz w:val="24"/>
          <w:szCs w:val="28"/>
        </w:rPr>
        <w:t>中手工</w:t>
      </w:r>
      <w:r>
        <w:rPr>
          <w:rFonts w:hint="eastAsia"/>
          <w:bCs/>
          <w:sz w:val="24"/>
          <w:szCs w:val="28"/>
          <w:lang w:val="en-US" w:eastAsia="zh-CN"/>
        </w:rPr>
        <w:t>检测</w:t>
      </w:r>
      <w:r>
        <w:rPr>
          <w:rFonts w:hint="eastAsia" w:ascii="宋体"/>
          <w:bCs/>
          <w:sz w:val="24"/>
          <w:szCs w:val="28"/>
        </w:rPr>
        <w:t>项目进行委托检测招标，经估算</w:t>
      </w:r>
      <w:r>
        <w:rPr>
          <w:rFonts w:hint="eastAsia"/>
          <w:bCs/>
          <w:sz w:val="24"/>
          <w:szCs w:val="28"/>
          <w:lang w:val="en-US" w:eastAsia="zh-CN"/>
        </w:rPr>
        <w:t>项目</w:t>
      </w:r>
      <w:r>
        <w:rPr>
          <w:rFonts w:hint="eastAsia" w:ascii="宋体"/>
          <w:bCs/>
          <w:sz w:val="24"/>
          <w:szCs w:val="28"/>
        </w:rPr>
        <w:t>费用</w:t>
      </w:r>
      <w:r>
        <w:rPr>
          <w:rFonts w:hint="eastAsia"/>
          <w:bCs/>
          <w:sz w:val="24"/>
          <w:szCs w:val="28"/>
          <w:lang w:val="en-US" w:eastAsia="zh-CN"/>
        </w:rPr>
        <w:t>9万</w:t>
      </w:r>
      <w:r>
        <w:rPr>
          <w:rFonts w:hint="eastAsia" w:ascii="宋体"/>
          <w:bCs/>
          <w:sz w:val="24"/>
          <w:szCs w:val="28"/>
        </w:rPr>
        <w:t>元，具体费用由实际发生为准。若标准有变动时，以国家颁布的最新版本为准。</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90000元</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1、符合《中华人民共和国政府采购法》第二十二条规定。</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2、供应商具有有效的检验检测机构资质认定证书（CMA）（检测能力范围需包含废水、噪声、废气、污泥等环境检测内容，具体内容见检测清单指标），且近两年未受到生态环境或市场监管部门处罚；</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b w:val="0"/>
          <w:bCs w:val="0"/>
          <w:sz w:val="24"/>
          <w:szCs w:val="18"/>
          <w:lang w:val="en-US" w:eastAsia="zh-CN"/>
        </w:rPr>
        <w:t>3、具有本地化服务能力；</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1、开标时间：202</w:t>
      </w:r>
      <w:r>
        <w:rPr>
          <w:rFonts w:hint="eastAsia" w:hAnsi="宋体"/>
          <w:color w:val="000000"/>
          <w:szCs w:val="18"/>
          <w:highlight w:val="none"/>
          <w:lang w:val="en-US" w:eastAsia="zh-CN"/>
        </w:rPr>
        <w:t>4</w:t>
      </w:r>
      <w:r>
        <w:rPr>
          <w:rFonts w:hint="eastAsia" w:hAnsi="宋体"/>
          <w:color w:val="000000"/>
          <w:szCs w:val="18"/>
          <w:highlight w:val="none"/>
        </w:rPr>
        <w:t xml:space="preserve">年 </w:t>
      </w:r>
      <w:r>
        <w:rPr>
          <w:rFonts w:hint="eastAsia" w:hAnsi="宋体"/>
          <w:color w:val="000000"/>
          <w:szCs w:val="18"/>
          <w:highlight w:val="none"/>
          <w:lang w:val="en-US" w:eastAsia="zh-CN"/>
        </w:rPr>
        <w:t>8</w:t>
      </w:r>
      <w:r>
        <w:rPr>
          <w:rFonts w:hint="eastAsia" w:hAnsi="宋体"/>
          <w:color w:val="000000"/>
          <w:szCs w:val="18"/>
          <w:highlight w:val="none"/>
        </w:rPr>
        <w:t>月</w:t>
      </w:r>
      <w:r>
        <w:rPr>
          <w:rFonts w:hint="eastAsia" w:hAnsi="宋体"/>
          <w:color w:val="000000"/>
          <w:szCs w:val="18"/>
          <w:highlight w:val="none"/>
          <w:lang w:val="en-US" w:eastAsia="zh-CN"/>
        </w:rPr>
        <w:t xml:space="preserve"> 7 </w:t>
      </w:r>
      <w:r>
        <w:rPr>
          <w:rFonts w:hint="eastAsia" w:hAnsi="宋体"/>
          <w:color w:val="000000"/>
          <w:szCs w:val="18"/>
          <w:highlight w:val="none"/>
        </w:rPr>
        <w:t>日</w:t>
      </w:r>
      <w:r>
        <w:rPr>
          <w:rFonts w:hint="eastAsia" w:hAnsi="宋体"/>
          <w:color w:val="000000"/>
          <w:szCs w:val="18"/>
          <w:highlight w:val="none"/>
          <w:lang w:val="en-US" w:eastAsia="zh-CN"/>
        </w:rPr>
        <w:t>9</w:t>
      </w:r>
      <w:r>
        <w:rPr>
          <w:rFonts w:hint="eastAsia" w:hAnsi="宋体"/>
          <w:color w:val="000000"/>
          <w:szCs w:val="18"/>
          <w:highlight w:val="none"/>
        </w:rPr>
        <w:t>：</w:t>
      </w:r>
      <w:r>
        <w:rPr>
          <w:rFonts w:hint="eastAsia" w:hAnsi="宋体"/>
          <w:color w:val="000000"/>
          <w:szCs w:val="18"/>
          <w:highlight w:val="none"/>
          <w:lang w:val="en-US" w:eastAsia="zh-CN"/>
        </w:rPr>
        <w:t>0</w:t>
      </w:r>
      <w:r>
        <w:rPr>
          <w:rFonts w:hint="eastAsia" w:hAnsi="宋体"/>
          <w:color w:val="000000"/>
          <w:szCs w:val="18"/>
          <w:highlight w:val="none"/>
        </w:rPr>
        <w:t xml:space="preserve">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2、开标地点：合肥经济技术开发区繁华大道266号</w:t>
      </w:r>
      <w:r>
        <w:rPr>
          <w:rFonts w:hint="eastAsia" w:hAnsi="宋体"/>
          <w:color w:val="000000"/>
          <w:szCs w:val="18"/>
          <w:highlight w:val="none"/>
          <w:lang w:eastAsia="zh-CN"/>
        </w:rPr>
        <w:t>合肥</w:t>
      </w:r>
      <w:r>
        <w:rPr>
          <w:rFonts w:hint="eastAsia" w:hAnsi="宋体"/>
          <w:color w:val="000000"/>
          <w:szCs w:val="18"/>
          <w:highlight w:val="none"/>
          <w:lang w:val="en-US" w:eastAsia="zh-CN"/>
        </w:rPr>
        <w:t>经济技术开发区公用事业发展</w:t>
      </w:r>
      <w:r>
        <w:rPr>
          <w:rFonts w:hint="eastAsia" w:hAnsi="宋体"/>
          <w:color w:val="000000"/>
          <w:szCs w:val="18"/>
          <w:highlight w:val="none"/>
          <w:lang w:eastAsia="zh-CN"/>
        </w:rPr>
        <w:t>有限公司</w:t>
      </w:r>
      <w:r>
        <w:rPr>
          <w:rFonts w:hint="eastAsia" w:hAnsi="宋体"/>
          <w:color w:val="000000"/>
          <w:szCs w:val="18"/>
          <w:highlight w:val="none"/>
        </w:rPr>
        <w:t xml:space="preserve">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val="en-US" w:eastAsia="zh-CN"/>
        </w:rPr>
        <w:t>合经区公用事业发展</w:t>
      </w:r>
      <w:r>
        <w:rPr>
          <w:rFonts w:hint="eastAsia" w:hAnsi="宋体"/>
          <w:color w:val="000000"/>
          <w:szCs w:val="18"/>
          <w:highlight w:val="none"/>
          <w:lang w:eastAsia="zh-CN"/>
        </w:rPr>
        <w:t>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王瑞</w:t>
      </w:r>
      <w:r>
        <w:rPr>
          <w:rFonts w:hAnsi="宋体" w:cs="宋体"/>
          <w:highlight w:val="none"/>
        </w:rPr>
        <w:t xml:space="preserve"> </w:t>
      </w:r>
      <w:r>
        <w:rPr>
          <w:rFonts w:hint="eastAsia" w:hAnsi="宋体" w:cs="宋体"/>
          <w:highlight w:val="none"/>
        </w:rPr>
        <w:t xml:space="preserve">  </w:t>
      </w:r>
      <w:r>
        <w:rPr>
          <w:rFonts w:hint="eastAsia" w:hAnsi="宋体" w:cs="宋体"/>
          <w:highlight w:val="none"/>
          <w:lang w:val="en-US" w:eastAsia="zh-CN"/>
        </w:rPr>
        <w:t xml:space="preserve">  </w:t>
      </w:r>
      <w:r>
        <w:rPr>
          <w:rFonts w:hint="eastAsia" w:hAnsi="宋体" w:cs="宋体"/>
          <w:highlight w:val="none"/>
        </w:rPr>
        <w:t>电话：0551-</w:t>
      </w:r>
      <w:r>
        <w:rPr>
          <w:rFonts w:hint="eastAsia" w:hAnsi="宋体" w:cs="宋体"/>
          <w:highlight w:val="none"/>
          <w:lang w:val="en-US" w:eastAsia="zh-CN"/>
        </w:rPr>
        <w:t>68937365</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w:t>
      </w:r>
      <w:r>
        <w:rPr>
          <w:rFonts w:hint="eastAsia" w:hAnsi="宋体"/>
          <w:color w:val="000000"/>
          <w:szCs w:val="18"/>
          <w:highlight w:val="none"/>
          <w:lang w:val="en-US" w:eastAsia="zh-CN"/>
        </w:rPr>
        <w:t>公用事业发展</w:t>
      </w:r>
      <w:r>
        <w:rPr>
          <w:rFonts w:hint="eastAsia" w:hAnsi="宋体"/>
          <w:color w:val="000000"/>
          <w:szCs w:val="18"/>
          <w:highlight w:val="none"/>
          <w:lang w:eastAsia="zh-CN"/>
        </w:rPr>
        <w:t>有限公司</w:t>
      </w:r>
      <w:r>
        <w:rPr>
          <w:rFonts w:hint="eastAsia" w:hAnsi="宋体" w:cs="宋体"/>
          <w:highlight w:val="none"/>
        </w:rPr>
        <w:t>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4"/>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4"/>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合肥金晶水务有限公司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cs="Times New Roman"/>
                <w:szCs w:val="22"/>
                <w:lang w:val="en-US" w:eastAsia="zh-CN"/>
              </w:rPr>
              <w:t>2024高刘污水处理厂委托检测服务</w:t>
            </w:r>
            <w:r>
              <w:rPr>
                <w:rFonts w:hint="eastAsia" w:hAnsi="宋体"/>
                <w:color w:val="000000"/>
                <w:szCs w:val="18"/>
                <w:highlight w:val="none"/>
                <w:lang w:val="en-US" w:eastAsia="zh-CN"/>
              </w:rPr>
              <w:t xml:space="preserve"> </w:t>
            </w:r>
            <w:r>
              <w:rPr>
                <w:rFonts w:hint="eastAsia"/>
                <w:b w:val="0"/>
                <w:bCs w:val="0"/>
                <w:color w:val="000000"/>
                <w:sz w:val="24"/>
                <w:szCs w:val="18"/>
                <w:highlight w:val="none"/>
              </w:rPr>
              <w:t>GYGSZB-</w:t>
            </w:r>
            <w:r>
              <w:rPr>
                <w:rFonts w:hint="eastAsia" w:hAnsi="宋体"/>
                <w:color w:val="000000"/>
                <w:szCs w:val="18"/>
                <w:highlight w:val="none"/>
                <w:lang w:eastAsia="zh-CN"/>
              </w:rPr>
              <w:t>2024013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1、符合《中华人民共和国政府采购法》第二十二条规定。</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2、供应商具有有效的检验检测机构资质认定证书（CMA）（检测能力范围需包含废水、噪声、废气、污泥等环境检测内容，具体内容见检测清单指标），且近两年未受到生态环境或市场监管部门处罚；</w:t>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b/>
                <w:bCs/>
                <w:color w:val="000000"/>
                <w:szCs w:val="24"/>
                <w:highlight w:val="none"/>
              </w:rPr>
            </w:pPr>
            <w:r>
              <w:rPr>
                <w:rFonts w:hint="eastAsia" w:ascii="宋体" w:hAnsi="宋体" w:eastAsia="宋体"/>
                <w:b w:val="0"/>
                <w:bCs w:val="0"/>
                <w:sz w:val="24"/>
                <w:szCs w:val="18"/>
                <w:lang w:val="en-US" w:eastAsia="zh-CN"/>
              </w:rPr>
              <w:t>3、具有本地化服务能力；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222"/>
              <w:spacing w:line="500" w:lineRule="exact"/>
              <w:rPr>
                <w:rFonts w:hAnsi="宋体" w:cs="宋体"/>
                <w:color w:val="000000"/>
                <w:szCs w:val="21"/>
                <w:highlight w:val="none"/>
              </w:rPr>
            </w:pPr>
            <w:r>
              <w:rPr>
                <w:rFonts w:hint="eastAsia" w:ascii="宋体" w:hAnsi="宋体"/>
                <w:color w:val="000000" w:themeColor="text1"/>
                <w:sz w:val="24"/>
                <w:szCs w:val="18"/>
                <w:lang w:val="en-US" w:eastAsia="zh-CN"/>
                <w14:textFill>
                  <w14:solidFill>
                    <w14:schemeClr w14:val="tx1"/>
                  </w14:solidFill>
                </w14:textFill>
              </w:rPr>
              <w:t>每季度</w:t>
            </w:r>
            <w:r>
              <w:rPr>
                <w:rFonts w:hint="eastAsia" w:ascii="宋体" w:hAnsi="宋体"/>
                <w:color w:val="000000" w:themeColor="text1"/>
                <w:sz w:val="24"/>
                <w:szCs w:val="18"/>
                <w14:textFill>
                  <w14:solidFill>
                    <w14:schemeClr w14:val="tx1"/>
                  </w14:solidFill>
                </w14:textFill>
              </w:rPr>
              <w:t>完成现场</w:t>
            </w:r>
            <w:r>
              <w:rPr>
                <w:rFonts w:hint="eastAsia" w:ascii="宋体" w:hAnsi="宋体"/>
                <w:color w:val="000000" w:themeColor="text1"/>
                <w:sz w:val="24"/>
                <w:szCs w:val="18"/>
                <w:lang w:val="en-US" w:eastAsia="zh-CN"/>
                <w14:textFill>
                  <w14:solidFill>
                    <w14:schemeClr w14:val="tx1"/>
                  </w14:solidFill>
                </w14:textFill>
              </w:rPr>
              <w:t>检测</w:t>
            </w:r>
            <w:r>
              <w:rPr>
                <w:rFonts w:hint="eastAsia" w:ascii="宋体" w:hAnsi="宋体"/>
                <w:color w:val="000000" w:themeColor="text1"/>
                <w:sz w:val="24"/>
                <w:szCs w:val="18"/>
                <w14:textFill>
                  <w14:solidFill>
                    <w14:schemeClr w14:val="tx1"/>
                  </w14:solidFill>
                </w14:textFill>
              </w:rPr>
              <w:t>服务后，按照合同条款规定价格予以支付</w:t>
            </w:r>
            <w:r>
              <w:rPr>
                <w:rFonts w:hint="eastAsia" w:ascii="宋体" w:hAnsi="宋体"/>
                <w:color w:val="000000" w:themeColor="text1"/>
                <w:sz w:val="24"/>
                <w:szCs w:val="18"/>
                <w:lang w:eastAsia="zh-CN"/>
                <w14:textFill>
                  <w14:solidFill>
                    <w14:schemeClr w14:val="tx1"/>
                  </w14:solidFill>
                </w14:textFill>
              </w:rPr>
              <w:t>。</w:t>
            </w:r>
            <w:r>
              <w:rPr>
                <w:rFonts w:hint="eastAsia" w:ascii="宋体" w:hAnsi="宋体"/>
                <w:color w:val="000000" w:themeColor="text1"/>
                <w:sz w:val="24"/>
                <w:szCs w:val="18"/>
                <w14:textFill>
                  <w14:solidFill>
                    <w14:schemeClr w14:val="tx1"/>
                  </w14:solidFill>
                </w14:textFill>
              </w:rPr>
              <w:t>税率：开具税务部门认可的、合法有效的技术服务发票</w:t>
            </w:r>
            <w:r>
              <w:rPr>
                <w:rFonts w:hint="eastAsia" w:ascii="宋体" w:hAnsi="宋体"/>
                <w:color w:val="000000" w:themeColor="text1"/>
                <w:sz w:val="24"/>
                <w:szCs w:val="18"/>
                <w:lang w:eastAsia="zh-CN"/>
                <w14:textFill>
                  <w14:solidFill>
                    <w14:schemeClr w14:val="tx1"/>
                  </w14:solidFill>
                </w14:textFill>
              </w:rPr>
              <w:t>。</w:t>
            </w: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5"/>
              <w:spacing w:line="360" w:lineRule="auto"/>
              <w:ind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 xml:space="preserve">年 </w:t>
            </w:r>
            <w:r>
              <w:rPr>
                <w:rFonts w:hint="eastAsia" w:hAnsi="宋体"/>
                <w:b/>
                <w:bCs/>
                <w:color w:val="000000"/>
                <w:highlight w:val="none"/>
                <w:lang w:val="en-US" w:eastAsia="zh-CN"/>
              </w:rPr>
              <w:t>8</w:t>
            </w:r>
            <w:r>
              <w:rPr>
                <w:rFonts w:hint="eastAsia" w:hAnsi="宋体"/>
                <w:b/>
                <w:bCs/>
                <w:color w:val="000000"/>
                <w:highlight w:val="none"/>
              </w:rPr>
              <w:t>月</w:t>
            </w:r>
            <w:r>
              <w:rPr>
                <w:rFonts w:hint="eastAsia" w:hAnsi="宋体"/>
                <w:b/>
                <w:bCs/>
                <w:color w:val="000000"/>
                <w:highlight w:val="none"/>
                <w:lang w:val="en-US" w:eastAsia="zh-CN"/>
              </w:rPr>
              <w:t>6</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color w:val="000000"/>
                <w:szCs w:val="18"/>
                <w:highlight w:val="none"/>
                <w:lang w:val="en-US" w:eastAsia="zh-CN"/>
              </w:rPr>
              <w:t>合经区公用事业发展</w:t>
            </w:r>
            <w:r>
              <w:rPr>
                <w:rFonts w:hint="eastAsia" w:hAnsi="宋体"/>
                <w:color w:val="000000"/>
                <w:szCs w:val="18"/>
                <w:highlight w:val="none"/>
                <w:lang w:eastAsia="zh-CN"/>
              </w:rPr>
              <w:t>有限公司</w:t>
            </w:r>
            <w:r>
              <w:rPr>
                <w:rFonts w:hint="eastAsia" w:hAnsi="宋体"/>
                <w:bCs/>
                <w:color w:val="000000"/>
                <w:highlight w:val="none"/>
              </w:rPr>
              <w:t>对答疑进行的澄清、更正或更改，将在网站上及时发布，该公告内容为招标文件的组成部分，对供应商具有同样约束力效力。供应商应主动上网查询。</w:t>
            </w:r>
            <w:r>
              <w:rPr>
                <w:rFonts w:hint="eastAsia" w:hAnsi="宋体"/>
                <w:color w:val="000000"/>
                <w:szCs w:val="18"/>
                <w:highlight w:val="none"/>
                <w:lang w:val="en-US" w:eastAsia="zh-CN"/>
              </w:rPr>
              <w:t>合经区公用事业发展</w:t>
            </w:r>
            <w:r>
              <w:rPr>
                <w:rFonts w:hint="eastAsia" w:hAnsi="宋体"/>
                <w:color w:val="000000"/>
                <w:szCs w:val="18"/>
                <w:highlight w:val="none"/>
                <w:lang w:eastAsia="zh-CN"/>
              </w:rPr>
              <w:t>有限公司</w:t>
            </w:r>
            <w:r>
              <w:rPr>
                <w:rFonts w:hint="eastAsia" w:hAnsi="宋体"/>
                <w:bCs/>
                <w:color w:val="000000"/>
                <w:highlight w:val="none"/>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eastAsia="宋体"/>
                <w:color w:val="000000"/>
                <w:highlight w:val="none"/>
                <w:lang w:eastAsia="zh-CN"/>
              </w:rPr>
            </w:pPr>
            <w:r>
              <w:rPr>
                <w:rFonts w:hint="eastAsia" w:hAnsi="宋体"/>
                <w:color w:val="000000"/>
                <w:highlight w:val="none"/>
                <w:lang w:val="en-US" w:eastAsia="zh-CN"/>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rFonts w:hint="default" w:eastAsia="宋体"/>
                <w:color w:val="000000"/>
                <w:highlight w:val="none"/>
                <w:lang w:val="en-US" w:eastAsia="zh-CN"/>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50686"/>
      <w:bookmarkEnd w:id="12"/>
      <w:bookmarkStart w:id="13" w:name="_Hlt509649998"/>
      <w:bookmarkEnd w:id="13"/>
      <w:bookmarkStart w:id="14" w:name="_Hlt509650955"/>
      <w:bookmarkEnd w:id="14"/>
      <w:bookmarkStart w:id="15" w:name="_Hlt509649722"/>
      <w:bookmarkEnd w:id="15"/>
      <w:bookmarkStart w:id="16" w:name="_Hlt50965012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16"/>
      <w:bookmarkEnd w:id="18"/>
      <w:bookmarkStart w:id="19" w:name="_Hlt509650690"/>
      <w:bookmarkEnd w:id="19"/>
      <w:bookmarkStart w:id="20" w:name="_Hlt509649645"/>
      <w:bookmarkEnd w:id="20"/>
      <w:bookmarkStart w:id="21" w:name="_Hlt509649795"/>
      <w:bookmarkEnd w:id="21"/>
      <w:bookmarkStart w:id="22" w:name="_Hlt509650932"/>
      <w:bookmarkEnd w:id="22"/>
      <w:bookmarkStart w:id="23" w:name="_Hlt509650929"/>
      <w:bookmarkEnd w:id="23"/>
      <w:bookmarkStart w:id="24" w:name="_Hlt509649678"/>
      <w:bookmarkEnd w:id="24"/>
      <w:bookmarkStart w:id="25" w:name="_Hlt509650936"/>
      <w:bookmarkEnd w:id="25"/>
      <w:bookmarkStart w:id="26" w:name="_Hlt509649330"/>
      <w:bookmarkEnd w:id="26"/>
      <w:bookmarkStart w:id="27" w:name="_Hlt509649669"/>
      <w:bookmarkEnd w:id="27"/>
      <w:bookmarkStart w:id="28" w:name="_Hlt526418153"/>
      <w:bookmarkEnd w:id="28"/>
      <w:bookmarkStart w:id="29" w:name="_Hlt509650103"/>
      <w:bookmarkEnd w:id="29"/>
      <w:bookmarkStart w:id="30" w:name="_Hlt509650333"/>
      <w:bookmarkEnd w:id="30"/>
      <w:bookmarkStart w:id="31" w:name="_Hlt509650961"/>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18"/>
          <w:highlight w:val="none"/>
          <w:lang w:val="en-US" w:eastAsia="zh-CN"/>
        </w:rPr>
        <w:t>合经区公用事业发展</w:t>
      </w:r>
      <w:r>
        <w:rPr>
          <w:rFonts w:hint="eastAsia" w:hAnsi="宋体"/>
          <w:color w:val="000000"/>
          <w:szCs w:val="18"/>
          <w:highlight w:val="none"/>
          <w:lang w:eastAsia="zh-CN"/>
        </w:rPr>
        <w:t>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18"/>
          <w:highlight w:val="none"/>
          <w:lang w:val="en-US" w:eastAsia="zh-CN"/>
        </w:rPr>
        <w:t>合经区公用事业发展</w:t>
      </w:r>
      <w:r>
        <w:rPr>
          <w:rFonts w:hint="eastAsia" w:hAnsi="宋体"/>
          <w:color w:val="000000"/>
          <w:szCs w:val="18"/>
          <w:highlight w:val="none"/>
          <w:lang w:eastAsia="zh-CN"/>
        </w:rPr>
        <w:t>有限公司</w:t>
      </w:r>
      <w:r>
        <w:rPr>
          <w:rFonts w:hint="eastAsia" w:hAnsi="宋体"/>
          <w:color w:val="000000"/>
          <w:szCs w:val="24"/>
          <w:highlight w:val="none"/>
        </w:rPr>
        <w:t>网站(</w:t>
      </w:r>
      <w:r>
        <w:rPr>
          <w:highlight w:val="none"/>
        </w:rPr>
        <w:fldChar w:fldCharType="begin"/>
      </w:r>
      <w:r>
        <w:rPr>
          <w:highlight w:val="none"/>
        </w:rPr>
        <w:instrText xml:space="preserve"> HYPERLINK "http://www.hfpudc.com/" </w:instrText>
      </w:r>
      <w:r>
        <w:rPr>
          <w:highlight w:val="none"/>
        </w:rPr>
        <w:fldChar w:fldCharType="separate"/>
      </w:r>
      <w:r>
        <w:rPr>
          <w:rStyle w:val="72"/>
          <w:rFonts w:hAnsi="宋体"/>
          <w:szCs w:val="24"/>
          <w:highlight w:val="none"/>
        </w:rPr>
        <w:t>http://www.hfpudc.com/</w:t>
      </w:r>
      <w:r>
        <w:rPr>
          <w:rStyle w:val="72"/>
          <w:rFonts w:hAnsi="宋体"/>
          <w:szCs w:val="24"/>
          <w:highlight w:val="none"/>
        </w:rPr>
        <w:fldChar w:fldCharType="end"/>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合肥金晶水务有限公司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lang w:eastAsia="zh-CN"/>
        </w:rPr>
        <w:t>金晶水务</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lang w:eastAsia="zh-CN"/>
        </w:rPr>
        <w:t>金晶水务</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lang w:eastAsia="zh-CN"/>
        </w:rPr>
        <w:t>金晶水务</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7"/>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100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w:t>
      </w:r>
      <w:r>
        <w:rPr>
          <w:rFonts w:hint="eastAsia" w:hAnsi="宋体"/>
          <w:color w:val="000000"/>
          <w:highlight w:val="none"/>
          <w:lang w:eastAsia="zh-CN"/>
        </w:rPr>
        <w:t>金晶水务</w:t>
      </w:r>
      <w:r>
        <w:rPr>
          <w:rFonts w:hint="eastAsia" w:hAnsi="宋体"/>
          <w:color w:val="000000"/>
          <w:highlight w:val="none"/>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w:t>
      </w:r>
      <w:r>
        <w:rPr>
          <w:rFonts w:hint="eastAsia" w:hAnsi="宋体"/>
          <w:color w:val="000000"/>
          <w:szCs w:val="24"/>
          <w:highlight w:val="none"/>
          <w:lang w:eastAsia="zh-CN"/>
        </w:rPr>
        <w:t>金晶水务</w:t>
      </w:r>
      <w:r>
        <w:rPr>
          <w:rFonts w:hint="eastAsia" w:hAnsi="宋体"/>
          <w:color w:val="000000"/>
          <w:szCs w:val="24"/>
          <w:highlight w:val="none"/>
        </w:rPr>
        <w:t>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09650697"/>
      <w:bookmarkEnd w:id="50"/>
      <w:bookmarkStart w:id="51" w:name="_Hlt510342861"/>
      <w:bookmarkEnd w:id="51"/>
      <w:bookmarkStart w:id="52" w:name="_Hlt509649724"/>
      <w:bookmarkEnd w:id="52"/>
      <w:bookmarkStart w:id="53" w:name="_Toc527131323"/>
      <w:bookmarkStart w:id="54" w:name="_Toc527117258"/>
      <w:r>
        <w:rPr>
          <w:rFonts w:hint="eastAsia" w:hAnsi="宋体"/>
          <w:b/>
          <w:color w:val="000000"/>
          <w:sz w:val="30"/>
          <w:szCs w:val="30"/>
          <w:highlight w:val="none"/>
        </w:rPr>
        <w:t>四、采购合同</w:t>
      </w:r>
    </w:p>
    <w:p>
      <w:pPr>
        <w:spacing w:line="480" w:lineRule="auto"/>
        <w:jc w:val="center"/>
        <w:rPr>
          <w:rFonts w:ascii="宋体" w:hAnsi="宋体" w:cs="@仿宋_GB2312"/>
          <w:b/>
          <w:color w:val="000000"/>
          <w:sz w:val="24"/>
          <w:szCs w:val="24"/>
        </w:rPr>
      </w:pPr>
      <w:r>
        <w:rPr>
          <w:rFonts w:hint="eastAsia" w:ascii="宋体" w:hAnsi="宋体" w:cs="@仿宋_GB2312"/>
          <w:b/>
          <w:color w:val="000000"/>
          <w:sz w:val="24"/>
          <w:szCs w:val="24"/>
        </w:rPr>
        <w:t>（服务类）</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hAnsi="宋体" w:cs="@仿宋_GB2312"/>
          <w:color w:val="000000"/>
          <w:sz w:val="24"/>
          <w:szCs w:val="24"/>
          <w:u w:val="single"/>
          <w:lang w:val="en-US" w:eastAsia="zh-CN"/>
        </w:rPr>
        <w:t xml:space="preserve">                          </w:t>
      </w:r>
    </w:p>
    <w:p>
      <w:pPr>
        <w:spacing w:before="120" w:line="480" w:lineRule="auto"/>
        <w:ind w:left="960"/>
        <w:rPr>
          <w:rFonts w:hint="eastAsia"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hAnsi="宋体" w:cs="@仿宋_GB2312"/>
          <w:color w:val="000000"/>
          <w:sz w:val="24"/>
          <w:szCs w:val="24"/>
          <w:u w:val="none"/>
          <w:lang w:val="en-US" w:eastAsia="zh-CN"/>
        </w:rPr>
        <w:t xml:space="preserve">   </w:t>
      </w:r>
      <w:r>
        <w:rPr>
          <w:rFonts w:hint="eastAsia"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r>
        <w:rPr>
          <w:rFonts w:hint="eastAsia" w:hAnsi="宋体" w:cs="@仿宋_GB2312"/>
          <w:color w:val="000000"/>
          <w:sz w:val="24"/>
          <w:szCs w:val="24"/>
          <w:lang w:val="en-US" w:eastAsia="zh-CN"/>
        </w:rPr>
        <w:t xml:space="preserve"> </w:t>
      </w:r>
      <w:r>
        <w:rPr>
          <w:rFonts w:hint="eastAsia" w:hAnsi="宋体" w:cs="@仿宋_GB2312"/>
          <w:color w:val="000000"/>
          <w:sz w:val="24"/>
          <w:szCs w:val="24"/>
          <w:u w:val="single"/>
          <w:lang w:val="en-US" w:eastAsia="zh-CN"/>
        </w:rPr>
        <w:t xml:space="preserve">                     </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以下简称：甲方</w:t>
      </w:r>
      <w:r>
        <w:rPr>
          <w:rFonts w:hint="eastAsia" w:ascii="宋体" w:hAnsi="宋体" w:cs="@仿宋_GB2312"/>
          <w:color w:val="000000"/>
          <w:sz w:val="24"/>
          <w:szCs w:val="24"/>
        </w:rPr>
        <w:t>）通过招标活动，经</w:t>
      </w:r>
      <w:r>
        <w:rPr>
          <w:rFonts w:hint="eastAsia" w:ascii="宋体" w:hAnsi="宋体" w:cs="@仿宋_GB2312"/>
          <w:color w:val="000000"/>
          <w:sz w:val="24"/>
          <w:szCs w:val="24"/>
          <w:u w:val="single"/>
          <w:lang w:val="en-US" w:eastAsia="zh-CN"/>
        </w:rPr>
        <w:t>评审</w:t>
      </w:r>
      <w:r>
        <w:rPr>
          <w:rFonts w:hint="eastAsia" w:ascii="宋体" w:hAnsi="宋体" w:cs="@仿宋_GB2312"/>
          <w:color w:val="000000"/>
          <w:sz w:val="24"/>
          <w:szCs w:val="24"/>
          <w:u w:val="single"/>
        </w:rPr>
        <w:t>小组</w:t>
      </w:r>
      <w:r>
        <w:rPr>
          <w:rFonts w:hint="eastAsia" w:ascii="宋体" w:hAnsi="宋体" w:cs="@仿宋_GB2312"/>
          <w:color w:val="000000"/>
          <w:sz w:val="24"/>
          <w:szCs w:val="24"/>
        </w:rPr>
        <w:t>评定，</w:t>
      </w:r>
      <w:r>
        <w:rPr>
          <w:rFonts w:hint="eastAsia" w:ascii="宋体" w:hAnsi="宋体" w:cs="@仿宋_GB2312"/>
          <w:i/>
          <w:iCs/>
          <w:color w:val="000000"/>
          <w:sz w:val="24"/>
          <w:szCs w:val="24"/>
          <w:u w:val="single"/>
        </w:rPr>
        <w:t>（中标人名称）</w:t>
      </w:r>
      <w:r>
        <w:rPr>
          <w:rFonts w:hint="eastAsia" w:ascii="宋体" w:hAnsi="宋体" w:cs="@仿宋_GB2312"/>
          <w:color w:val="000000"/>
          <w:sz w:val="24"/>
          <w:szCs w:val="24"/>
        </w:rPr>
        <w:t>（</w:t>
      </w:r>
      <w:r>
        <w:rPr>
          <w:rFonts w:hint="eastAsia" w:ascii="宋体" w:hAnsi="宋体" w:cs="@仿宋_GB2312"/>
          <w:color w:val="000000"/>
          <w:sz w:val="24"/>
          <w:szCs w:val="24"/>
          <w:lang w:val="zh-CN"/>
        </w:rPr>
        <w:t>以下简称：乙方</w:t>
      </w:r>
      <w:r>
        <w:rPr>
          <w:rFonts w:hint="eastAsia" w:hAnsi="宋体" w:cs="@仿宋_GB2312"/>
          <w:color w:val="000000"/>
          <w:sz w:val="24"/>
          <w:szCs w:val="24"/>
          <w:lang w:val="en-US" w:eastAsia="zh-CN"/>
        </w:rPr>
        <w:t xml:space="preserve">   </w:t>
      </w:r>
      <w:r>
        <w:rPr>
          <w:rFonts w:hint="eastAsia" w:hAnsi="宋体" w:cs="@仿宋_GB2312"/>
          <w:color w:val="000000"/>
          <w:sz w:val="24"/>
          <w:szCs w:val="24"/>
          <w:u w:val="single"/>
          <w:lang w:val="en-US" w:eastAsia="zh-CN"/>
        </w:rPr>
        <w:t xml:space="preserve">           </w:t>
      </w:r>
      <w:r>
        <w:rPr>
          <w:rFonts w:hint="eastAsia" w:ascii="宋体" w:hAnsi="宋体" w:cs="@仿宋_GB2312"/>
          <w:color w:val="000000"/>
          <w:sz w:val="24"/>
          <w:szCs w:val="24"/>
        </w:rPr>
        <w:t>）为本项目中标人，现按照招标文件确定的事项签订本合同。</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5" w:name="_Toc24059"/>
      <w:bookmarkStart w:id="56" w:name="_Toc3029"/>
      <w:bookmarkStart w:id="57" w:name="_Toc2232"/>
      <w:r>
        <w:rPr>
          <w:rFonts w:hint="eastAsia" w:ascii="宋体" w:hAnsi="宋体" w:cs="@仿宋_GB2312"/>
          <w:b/>
          <w:bCs/>
          <w:color w:val="000000"/>
          <w:sz w:val="24"/>
          <w:szCs w:val="24"/>
          <w:lang w:val="zh-CN"/>
        </w:rPr>
        <w:t>1.1 合同组成部分</w:t>
      </w:r>
      <w:bookmarkEnd w:id="55"/>
      <w:bookmarkEnd w:id="56"/>
      <w:bookmarkEnd w:id="57"/>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58" w:name="_Toc2918"/>
      <w:bookmarkStart w:id="59" w:name="_Toc22185"/>
      <w:bookmarkStart w:id="60" w:name="_Toc18585"/>
      <w:bookmarkStart w:id="61" w:name="_Toc6311"/>
      <w:bookmarkStart w:id="62" w:name="_Toc6773"/>
      <w:r>
        <w:rPr>
          <w:rFonts w:hint="eastAsia" w:ascii="宋体" w:hAnsi="宋体" w:cs="@仿宋_GB2312"/>
          <w:b/>
          <w:bCs/>
          <w:color w:val="000000"/>
          <w:sz w:val="24"/>
          <w:szCs w:val="24"/>
          <w:lang w:val="zh-CN"/>
        </w:rPr>
        <w:t xml:space="preserve">1.2 </w:t>
      </w:r>
      <w:bookmarkEnd w:id="58"/>
      <w:bookmarkEnd w:id="59"/>
      <w:bookmarkEnd w:id="60"/>
      <w:bookmarkEnd w:id="61"/>
      <w:bookmarkEnd w:id="62"/>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3" w:name="_Toc21631"/>
      <w:bookmarkStart w:id="64" w:name="_Toc21551"/>
      <w:bookmarkStart w:id="65" w:name="_Toc23292"/>
      <w:r>
        <w:rPr>
          <w:rFonts w:hint="eastAsia" w:ascii="宋体" w:hAnsi="宋体" w:cs="@仿宋_GB2312"/>
          <w:b/>
          <w:bCs/>
          <w:color w:val="000000"/>
          <w:sz w:val="24"/>
          <w:szCs w:val="24"/>
          <w:lang w:val="zh-CN"/>
        </w:rPr>
        <w:t>1.3 价款</w:t>
      </w:r>
      <w:bookmarkEnd w:id="63"/>
      <w:bookmarkEnd w:id="64"/>
      <w:bookmarkEnd w:id="6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66" w:name="_Toc1814"/>
      <w:bookmarkStart w:id="67" w:name="_Toc22618"/>
      <w:bookmarkStart w:id="68" w:name="_Toc10340"/>
      <w:r>
        <w:rPr>
          <w:rFonts w:hint="eastAsia" w:ascii="宋体" w:hAnsi="宋体" w:cs="@仿宋_GB2312"/>
          <w:b/>
          <w:bCs/>
          <w:color w:val="000000"/>
          <w:sz w:val="24"/>
          <w:szCs w:val="24"/>
          <w:lang w:val="zh-CN"/>
        </w:rPr>
        <w:t>1.4 付款方式和发票开具方式</w:t>
      </w:r>
      <w:bookmarkEnd w:id="66"/>
      <w:bookmarkEnd w:id="67"/>
      <w:bookmarkEnd w:id="6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9" w:name="_Toc32071"/>
      <w:bookmarkStart w:id="70" w:name="_Toc2846"/>
      <w:bookmarkStart w:id="71" w:name="_Toc19304"/>
      <w:r>
        <w:rPr>
          <w:rFonts w:hint="eastAsia" w:ascii="宋体" w:hAnsi="宋体" w:cs="@仿宋_GB2312"/>
          <w:b/>
          <w:bCs/>
          <w:color w:val="000000"/>
          <w:sz w:val="24"/>
          <w:szCs w:val="24"/>
          <w:lang w:val="zh-CN"/>
        </w:rPr>
        <w:t>1.5 服务期限、地点和方式</w:t>
      </w:r>
      <w:bookmarkEnd w:id="69"/>
      <w:bookmarkEnd w:id="70"/>
      <w:bookmarkEnd w:id="71"/>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2" w:name="_Toc27250"/>
      <w:bookmarkStart w:id="73" w:name="_Toc21423"/>
      <w:bookmarkStart w:id="74" w:name="_Toc19554"/>
      <w:r>
        <w:rPr>
          <w:rFonts w:hint="eastAsia" w:ascii="宋体" w:hAnsi="宋体" w:cs="@仿宋_GB2312"/>
          <w:b/>
          <w:bCs/>
          <w:color w:val="000000"/>
          <w:sz w:val="24"/>
          <w:szCs w:val="24"/>
          <w:lang w:val="zh-CN"/>
        </w:rPr>
        <w:t>1.6 违约责任</w:t>
      </w:r>
      <w:bookmarkEnd w:id="72"/>
      <w:bookmarkEnd w:id="73"/>
      <w:bookmarkEnd w:id="7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5" w:name="_Toc15583"/>
      <w:bookmarkStart w:id="76" w:name="_Toc16021"/>
      <w:bookmarkStart w:id="77" w:name="_Toc28375"/>
      <w:r>
        <w:rPr>
          <w:rFonts w:hint="eastAsia" w:ascii="宋体" w:hAnsi="宋体" w:cs="@仿宋_GB2312"/>
          <w:b/>
          <w:bCs/>
          <w:color w:val="000000"/>
          <w:sz w:val="24"/>
          <w:szCs w:val="24"/>
          <w:lang w:val="zh-CN"/>
        </w:rPr>
        <w:t>1.7 合同争议的解决</w:t>
      </w:r>
      <w:bookmarkEnd w:id="75"/>
      <w:bookmarkEnd w:id="76"/>
      <w:bookmarkEnd w:id="7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78" w:name="_Toc7245"/>
      <w:bookmarkStart w:id="79" w:name="_Toc11173"/>
      <w:bookmarkStart w:id="80" w:name="_Toc15322"/>
      <w:r>
        <w:rPr>
          <w:rFonts w:hint="eastAsia" w:ascii="宋体" w:hAnsi="宋体" w:cs="@仿宋_GB2312"/>
          <w:b/>
          <w:bCs/>
          <w:color w:val="000000"/>
          <w:sz w:val="24"/>
          <w:szCs w:val="24"/>
          <w:lang w:val="zh-CN"/>
        </w:rPr>
        <w:t>1.8 合同生效</w:t>
      </w:r>
      <w:bookmarkEnd w:id="78"/>
      <w:bookmarkEnd w:id="79"/>
      <w:bookmarkEnd w:id="8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1"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hint="eastAsia"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1"/>
    </w:p>
    <w:p>
      <w:pPr>
        <w:spacing w:line="360" w:lineRule="auto"/>
        <w:ind w:firstLine="437"/>
        <w:outlineLvl w:val="3"/>
        <w:rPr>
          <w:rFonts w:ascii="宋体" w:hAnsi="宋体" w:cs="@仿宋_GB2312"/>
          <w:b/>
          <w:bCs/>
          <w:color w:val="000000"/>
          <w:sz w:val="24"/>
          <w:szCs w:val="24"/>
          <w:lang w:val="zh-CN"/>
        </w:rPr>
      </w:pPr>
      <w:bookmarkStart w:id="82" w:name="_Ref467379205"/>
      <w:bookmarkStart w:id="83" w:name="_Ref467379225"/>
      <w:bookmarkStart w:id="84" w:name="_Ref467379094"/>
      <w:bookmarkStart w:id="85" w:name="_Ref467379214"/>
      <w:bookmarkStart w:id="86" w:name="_Ref467379195"/>
      <w:bookmarkStart w:id="87" w:name="_Toc487900349"/>
      <w:bookmarkStart w:id="88" w:name="_Ref467379101"/>
      <w:bookmarkStart w:id="89" w:name="_Toc279701240"/>
      <w:bookmarkStart w:id="90" w:name="_Toc28763"/>
      <w:bookmarkStart w:id="91" w:name="_Ref467378404"/>
      <w:bookmarkStart w:id="92" w:name="_Toc19614"/>
      <w:bookmarkStart w:id="93" w:name="_Ref467379109"/>
      <w:bookmarkStart w:id="94" w:name="_Ref467378499"/>
      <w:bookmarkStart w:id="95" w:name="_Toc259093669"/>
      <w:bookmarkStart w:id="96" w:name="_Toc16917"/>
      <w:bookmarkStart w:id="97" w:name="_Ref467378463"/>
      <w:r>
        <w:rPr>
          <w:rFonts w:hint="eastAsia" w:ascii="宋体" w:hAnsi="宋体" w:cs="@仿宋_GB2312"/>
          <w:b/>
          <w:bCs/>
          <w:color w:val="000000"/>
          <w:sz w:val="24"/>
          <w:szCs w:val="24"/>
          <w:lang w:val="zh-CN"/>
        </w:rPr>
        <w:t>2.1 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98" w:name="_Ref467378840"/>
      <w:r>
        <w:rPr>
          <w:rFonts w:hint="eastAsia" w:ascii="宋体" w:hAnsi="宋体" w:cs="@仿宋_GB2312"/>
          <w:color w:val="000000"/>
          <w:sz w:val="24"/>
          <w:szCs w:val="24"/>
        </w:rPr>
        <w:t>2.1.4“甲方”系指与中标人签署合同的招标人</w:t>
      </w:r>
      <w:bookmarkEnd w:id="98"/>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99" w:name="_Ref467379400"/>
      <w:r>
        <w:rPr>
          <w:rFonts w:hint="eastAsia" w:ascii="宋体" w:hAnsi="宋体" w:cs="@仿宋_GB2312"/>
          <w:color w:val="000000"/>
          <w:sz w:val="24"/>
          <w:szCs w:val="24"/>
        </w:rPr>
        <w:t>2.1.5“乙方”系指根据合同约定提供服务的中标人</w:t>
      </w:r>
      <w:bookmarkEnd w:id="99"/>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0" w:name="_Ref467379436"/>
      <w:r>
        <w:rPr>
          <w:rFonts w:hint="eastAsia" w:ascii="宋体" w:hAnsi="宋体" w:cs="@仿宋_GB2312"/>
          <w:color w:val="000000"/>
          <w:sz w:val="24"/>
          <w:szCs w:val="24"/>
        </w:rPr>
        <w:t>2.1.6“现场”系指合同约定提供服务的地点。</w:t>
      </w:r>
      <w:bookmarkEnd w:id="100"/>
    </w:p>
    <w:p>
      <w:pPr>
        <w:spacing w:line="360" w:lineRule="auto"/>
        <w:ind w:firstLine="437"/>
        <w:outlineLvl w:val="3"/>
        <w:rPr>
          <w:rFonts w:ascii="宋体" w:hAnsi="宋体" w:cs="@仿宋_GB2312"/>
          <w:b/>
          <w:bCs/>
          <w:color w:val="000000"/>
          <w:sz w:val="24"/>
          <w:szCs w:val="24"/>
          <w:lang w:val="zh-CN"/>
        </w:rPr>
      </w:pPr>
      <w:bookmarkStart w:id="101" w:name="_Toc279701241"/>
      <w:bookmarkStart w:id="102" w:name="_Toc13336"/>
      <w:bookmarkStart w:id="103" w:name="_Toc487900350"/>
      <w:bookmarkStart w:id="104" w:name="_Toc27635"/>
      <w:bookmarkStart w:id="105" w:name="_Toc259093670"/>
      <w:bookmarkStart w:id="106" w:name="_Toc32504"/>
      <w:r>
        <w:rPr>
          <w:rFonts w:hint="eastAsia" w:ascii="宋体" w:hAnsi="宋体" w:cs="@仿宋_GB2312"/>
          <w:b/>
          <w:bCs/>
          <w:color w:val="000000"/>
          <w:sz w:val="24"/>
          <w:szCs w:val="24"/>
          <w:lang w:val="zh-CN"/>
        </w:rPr>
        <w:t>2.2 技术规范</w:t>
      </w:r>
      <w:bookmarkEnd w:id="101"/>
      <w:bookmarkEnd w:id="102"/>
      <w:bookmarkEnd w:id="103"/>
      <w:bookmarkEnd w:id="104"/>
      <w:bookmarkEnd w:id="105"/>
      <w:bookmarkEnd w:id="10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07" w:name="_Toc487900351"/>
      <w:bookmarkStart w:id="108" w:name="_Toc9829"/>
      <w:bookmarkStart w:id="109" w:name="_Toc31634"/>
      <w:bookmarkStart w:id="110" w:name="_Toc27853"/>
      <w:bookmarkStart w:id="111" w:name="_Toc279701242"/>
      <w:bookmarkStart w:id="112" w:name="_Toc259093671"/>
      <w:r>
        <w:rPr>
          <w:rFonts w:hint="eastAsia" w:ascii="宋体" w:hAnsi="宋体" w:cs="@仿宋_GB2312"/>
          <w:b/>
          <w:bCs/>
          <w:color w:val="000000"/>
          <w:sz w:val="24"/>
          <w:szCs w:val="24"/>
          <w:lang w:val="zh-CN"/>
        </w:rPr>
        <w:t>2.3 知识产权</w:t>
      </w:r>
      <w:bookmarkEnd w:id="107"/>
      <w:bookmarkEnd w:id="108"/>
      <w:bookmarkEnd w:id="109"/>
      <w:bookmarkEnd w:id="110"/>
      <w:bookmarkEnd w:id="111"/>
      <w:bookmarkEnd w:id="11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3" w:name="_Ref467379527"/>
      <w:bookmarkStart w:id="114" w:name="_Ref467379536"/>
      <w:bookmarkStart w:id="115" w:name="_Toc279701245"/>
      <w:bookmarkStart w:id="116" w:name="_Ref467379542"/>
      <w:bookmarkStart w:id="117" w:name="_Toc259093674"/>
      <w:bookmarkStart w:id="118" w:name="_Ref467378591"/>
      <w:bookmarkStart w:id="119" w:name="_Toc487900354"/>
      <w:bookmarkStart w:id="120" w:name="_Ref467378541"/>
      <w:bookmarkStart w:id="121" w:name="_Toc19074"/>
      <w:bookmarkStart w:id="122" w:name="_Toc26182"/>
      <w:bookmarkStart w:id="123" w:name="_Toc30272"/>
      <w:r>
        <w:rPr>
          <w:rFonts w:hint="eastAsia" w:ascii="宋体" w:hAnsi="宋体" w:cs="@仿宋_GB2312"/>
          <w:b/>
          <w:bCs/>
          <w:color w:val="000000"/>
          <w:sz w:val="24"/>
          <w:szCs w:val="24"/>
          <w:lang w:val="zh-CN"/>
        </w:rPr>
        <w:t>2.</w:t>
      </w:r>
      <w:bookmarkEnd w:id="113"/>
      <w:bookmarkEnd w:id="114"/>
      <w:bookmarkEnd w:id="115"/>
      <w:bookmarkEnd w:id="116"/>
      <w:bookmarkEnd w:id="117"/>
      <w:bookmarkEnd w:id="118"/>
      <w:bookmarkEnd w:id="119"/>
      <w:bookmarkEnd w:id="120"/>
      <w:r>
        <w:rPr>
          <w:rFonts w:hint="eastAsia" w:ascii="宋体" w:hAnsi="宋体" w:cs="@仿宋_GB2312"/>
          <w:b/>
          <w:bCs/>
          <w:color w:val="000000"/>
          <w:sz w:val="24"/>
          <w:szCs w:val="24"/>
          <w:lang w:val="zh-CN"/>
        </w:rPr>
        <w:t>4 履约检查和问题反馈</w:t>
      </w:r>
      <w:bookmarkEnd w:id="121"/>
      <w:bookmarkEnd w:id="122"/>
      <w:bookmarkEnd w:id="123"/>
    </w:p>
    <w:p>
      <w:pPr>
        <w:spacing w:line="360" w:lineRule="auto"/>
        <w:ind w:firstLine="435"/>
        <w:rPr>
          <w:rFonts w:ascii="宋体" w:hAnsi="宋体" w:cs="@仿宋_GB2312"/>
          <w:color w:val="000000"/>
          <w:sz w:val="24"/>
          <w:szCs w:val="24"/>
        </w:rPr>
      </w:pPr>
      <w:bookmarkStart w:id="124" w:name="_Toc186431854"/>
      <w:bookmarkStart w:id="125" w:name="_Ref467379793"/>
      <w:bookmarkStart w:id="126" w:name="_Ref467379807"/>
      <w:bookmarkStart w:id="127" w:name="_Toc487900357"/>
      <w:bookmarkStart w:id="128" w:name="_Toc259093676"/>
      <w:bookmarkStart w:id="129" w:name="_Toc279701247"/>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4"/>
      <w:bookmarkStart w:id="130" w:name="_Toc186431855"/>
      <w:r>
        <w:rPr>
          <w:rFonts w:hint="eastAsia" w:ascii="宋体" w:hAnsi="宋体" w:cs="@仿宋_GB2312"/>
          <w:color w:val="000000"/>
          <w:sz w:val="24"/>
          <w:szCs w:val="24"/>
        </w:rPr>
        <w:t>。</w:t>
      </w:r>
    </w:p>
    <w:bookmarkEnd w:id="130"/>
    <w:p>
      <w:pPr>
        <w:spacing w:line="360" w:lineRule="auto"/>
        <w:ind w:firstLine="437"/>
        <w:outlineLvl w:val="3"/>
        <w:rPr>
          <w:rFonts w:ascii="宋体" w:hAnsi="宋体" w:cs="@仿宋_GB2312"/>
          <w:b/>
          <w:bCs/>
          <w:color w:val="000000"/>
          <w:sz w:val="24"/>
          <w:szCs w:val="24"/>
          <w:lang w:val="zh-CN"/>
        </w:rPr>
      </w:pPr>
      <w:bookmarkStart w:id="131" w:name="_Toc28451"/>
      <w:bookmarkStart w:id="132" w:name="_Toc7836"/>
      <w:bookmarkStart w:id="133" w:name="_Toc19219"/>
      <w:r>
        <w:rPr>
          <w:rFonts w:hint="eastAsia" w:ascii="宋体" w:hAnsi="宋体" w:cs="@仿宋_GB2312"/>
          <w:b/>
          <w:bCs/>
          <w:color w:val="000000"/>
          <w:sz w:val="24"/>
          <w:szCs w:val="24"/>
          <w:lang w:val="zh-CN"/>
        </w:rPr>
        <w:t>2.5 结算方式和付款条件</w:t>
      </w:r>
      <w:bookmarkEnd w:id="125"/>
      <w:bookmarkEnd w:id="126"/>
      <w:bookmarkEnd w:id="127"/>
      <w:bookmarkEnd w:id="128"/>
      <w:bookmarkEnd w:id="129"/>
      <w:bookmarkEnd w:id="131"/>
      <w:bookmarkEnd w:id="132"/>
      <w:bookmarkEnd w:id="13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4" w:name="_Ref467379863"/>
      <w:bookmarkStart w:id="135" w:name="_Toc487900358"/>
      <w:bookmarkStart w:id="136" w:name="_Ref467379923"/>
      <w:bookmarkStart w:id="137" w:name="_Ref467379852"/>
      <w:bookmarkStart w:id="138" w:name="_Toc259093677"/>
      <w:bookmarkStart w:id="139" w:name="_Toc279701248"/>
      <w:bookmarkStart w:id="140" w:name="_Toc16110"/>
      <w:bookmarkStart w:id="141" w:name="_Toc774"/>
      <w:bookmarkStart w:id="142" w:name="_Toc3225"/>
      <w:r>
        <w:rPr>
          <w:rFonts w:hint="eastAsia" w:ascii="宋体" w:hAnsi="宋体" w:cs="@仿宋_GB2312"/>
          <w:b/>
          <w:bCs/>
          <w:color w:val="000000"/>
          <w:sz w:val="24"/>
          <w:szCs w:val="24"/>
          <w:lang w:val="zh-CN"/>
        </w:rPr>
        <w:t>2.6 技术资料</w:t>
      </w:r>
      <w:bookmarkEnd w:id="134"/>
      <w:bookmarkEnd w:id="135"/>
      <w:bookmarkEnd w:id="136"/>
      <w:bookmarkEnd w:id="137"/>
      <w:bookmarkEnd w:id="138"/>
      <w:bookmarkEnd w:id="139"/>
      <w:r>
        <w:rPr>
          <w:rFonts w:hint="eastAsia" w:ascii="宋体" w:hAnsi="宋体" w:cs="@仿宋_GB2312"/>
          <w:b/>
          <w:bCs/>
          <w:color w:val="000000"/>
          <w:sz w:val="24"/>
          <w:szCs w:val="24"/>
          <w:lang w:val="zh-CN"/>
        </w:rPr>
        <w:t>和保密义务</w:t>
      </w:r>
      <w:bookmarkEnd w:id="140"/>
      <w:bookmarkEnd w:id="141"/>
      <w:bookmarkEnd w:id="14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3" w:name="_Toc7860"/>
      <w:r>
        <w:rPr>
          <w:rFonts w:hint="eastAsia" w:ascii="宋体" w:hAnsi="宋体" w:cs="@仿宋_GB2312"/>
          <w:b/>
          <w:bCs/>
          <w:color w:val="000000"/>
          <w:sz w:val="24"/>
          <w:szCs w:val="24"/>
          <w:lang w:val="zh-CN"/>
        </w:rPr>
        <w:t>2.7 质量保证</w:t>
      </w:r>
      <w:bookmarkEnd w:id="14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4" w:name="_Toc22267"/>
      <w:r>
        <w:rPr>
          <w:rFonts w:hint="eastAsia" w:ascii="宋体" w:hAnsi="宋体" w:cs="@仿宋_GB2312"/>
          <w:b/>
          <w:color w:val="000000"/>
          <w:sz w:val="24"/>
          <w:szCs w:val="24"/>
        </w:rPr>
        <w:t>2.8 延迟履行</w:t>
      </w:r>
      <w:bookmarkEnd w:id="14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5" w:name="_Toc7502"/>
      <w:bookmarkStart w:id="146" w:name="_Toc279701254"/>
      <w:bookmarkStart w:id="147" w:name="_Toc259093683"/>
      <w:bookmarkStart w:id="148" w:name="_Ref467378121"/>
      <w:bookmarkStart w:id="149" w:name="_Toc487900364"/>
      <w:r>
        <w:rPr>
          <w:rFonts w:hint="eastAsia" w:ascii="宋体" w:hAnsi="宋体" w:cs="@仿宋_GB2312"/>
          <w:b/>
          <w:bCs/>
          <w:color w:val="000000"/>
          <w:sz w:val="24"/>
          <w:szCs w:val="24"/>
          <w:lang w:val="zh-CN"/>
        </w:rPr>
        <w:t>2.9 合同变更</w:t>
      </w:r>
      <w:bookmarkEnd w:id="14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0" w:name="_Toc279701259"/>
      <w:bookmarkStart w:id="151" w:name="_Toc487900369"/>
      <w:bookmarkStart w:id="152" w:name="_Toc259093688"/>
    </w:p>
    <w:p>
      <w:pPr>
        <w:spacing w:line="360" w:lineRule="auto"/>
        <w:ind w:firstLine="437"/>
        <w:outlineLvl w:val="3"/>
        <w:rPr>
          <w:rFonts w:ascii="宋体" w:hAnsi="宋体" w:cs="@仿宋_GB2312"/>
          <w:b/>
          <w:bCs/>
          <w:color w:val="000000"/>
          <w:sz w:val="24"/>
          <w:szCs w:val="24"/>
          <w:lang w:val="zh-CN"/>
        </w:rPr>
      </w:pPr>
      <w:bookmarkStart w:id="153" w:name="_Toc15237"/>
      <w:bookmarkStart w:id="154" w:name="_Toc10366"/>
      <w:bookmarkStart w:id="155" w:name="_Toc22955"/>
      <w:r>
        <w:rPr>
          <w:rFonts w:hint="eastAsia" w:ascii="宋体" w:hAnsi="宋体" w:cs="@仿宋_GB2312"/>
          <w:b/>
          <w:bCs/>
          <w:color w:val="000000"/>
          <w:sz w:val="24"/>
          <w:szCs w:val="24"/>
          <w:lang w:val="zh-CN"/>
        </w:rPr>
        <w:t>2.10 合同转让</w:t>
      </w:r>
      <w:bookmarkEnd w:id="150"/>
      <w:bookmarkEnd w:id="151"/>
      <w:bookmarkEnd w:id="152"/>
      <w:r>
        <w:rPr>
          <w:rFonts w:hint="eastAsia" w:ascii="宋体" w:hAnsi="宋体" w:cs="@仿宋_GB2312"/>
          <w:b/>
          <w:bCs/>
          <w:color w:val="000000"/>
          <w:sz w:val="24"/>
          <w:szCs w:val="24"/>
          <w:lang w:val="zh-CN"/>
        </w:rPr>
        <w:t>和分包</w:t>
      </w:r>
      <w:bookmarkEnd w:id="153"/>
      <w:bookmarkEnd w:id="154"/>
      <w:bookmarkEnd w:id="15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56" w:name="_Toc13566"/>
      <w:bookmarkStart w:id="157" w:name="_Toc16508"/>
      <w:bookmarkStart w:id="158" w:name="_Toc14066"/>
      <w:r>
        <w:rPr>
          <w:rFonts w:hint="eastAsia" w:ascii="宋体" w:hAnsi="宋体" w:cs="@仿宋_GB2312"/>
          <w:b/>
          <w:bCs/>
          <w:color w:val="000000"/>
          <w:sz w:val="24"/>
          <w:szCs w:val="24"/>
          <w:lang w:val="zh-CN"/>
        </w:rPr>
        <w:t>2.11 不可抗力</w:t>
      </w:r>
      <w:bookmarkEnd w:id="156"/>
      <w:bookmarkEnd w:id="157"/>
      <w:bookmarkEnd w:id="15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59" w:name="_Toc30676"/>
      <w:bookmarkStart w:id="160" w:name="_Toc487900365"/>
      <w:bookmarkStart w:id="161" w:name="_Toc259093684"/>
      <w:bookmarkStart w:id="162" w:name="_Toc689"/>
      <w:bookmarkStart w:id="163" w:name="_Toc279701255"/>
      <w:bookmarkStart w:id="164" w:name="_Toc6969"/>
      <w:r>
        <w:rPr>
          <w:rFonts w:hint="eastAsia" w:ascii="宋体" w:hAnsi="宋体" w:cs="@仿宋_GB2312"/>
          <w:b/>
          <w:bCs/>
          <w:color w:val="000000"/>
          <w:sz w:val="24"/>
          <w:szCs w:val="24"/>
          <w:lang w:val="zh-CN"/>
        </w:rPr>
        <w:t>2.12 税费</w:t>
      </w:r>
      <w:bookmarkEnd w:id="159"/>
      <w:bookmarkEnd w:id="160"/>
      <w:bookmarkEnd w:id="161"/>
      <w:bookmarkEnd w:id="162"/>
      <w:bookmarkEnd w:id="163"/>
      <w:bookmarkEnd w:id="16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5" w:name="_Toc16959"/>
      <w:bookmarkStart w:id="166" w:name="_Toc8298"/>
      <w:bookmarkStart w:id="167" w:name="_Toc259093687"/>
      <w:bookmarkStart w:id="168" w:name="_Toc487900368"/>
      <w:bookmarkStart w:id="169" w:name="_Toc279701258"/>
      <w:bookmarkStart w:id="170" w:name="_Toc7102"/>
      <w:r>
        <w:rPr>
          <w:rFonts w:hint="eastAsia" w:ascii="宋体" w:hAnsi="宋体" w:cs="@仿宋_GB2312"/>
          <w:b/>
          <w:bCs/>
          <w:color w:val="000000"/>
          <w:sz w:val="24"/>
          <w:szCs w:val="24"/>
          <w:lang w:val="zh-CN"/>
        </w:rPr>
        <w:t>2.13 乙方破产</w:t>
      </w:r>
      <w:bookmarkEnd w:id="165"/>
      <w:bookmarkEnd w:id="166"/>
      <w:bookmarkEnd w:id="167"/>
      <w:bookmarkEnd w:id="168"/>
      <w:bookmarkEnd w:id="169"/>
      <w:bookmarkEnd w:id="17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1" w:name="_Toc29333"/>
      <w:bookmarkStart w:id="172" w:name="_Toc6134"/>
      <w:bookmarkStart w:id="173" w:name="_Toc15387"/>
      <w:r>
        <w:rPr>
          <w:rFonts w:hint="eastAsia" w:ascii="宋体" w:hAnsi="宋体" w:cs="@仿宋_GB2312"/>
          <w:b/>
          <w:bCs/>
          <w:color w:val="000000"/>
          <w:sz w:val="24"/>
          <w:szCs w:val="24"/>
          <w:lang w:val="zh-CN"/>
        </w:rPr>
        <w:t>2.14 合同中止、终止</w:t>
      </w:r>
      <w:bookmarkEnd w:id="171"/>
      <w:bookmarkEnd w:id="172"/>
      <w:bookmarkEnd w:id="173"/>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4" w:name="_Toc14563"/>
      <w:bookmarkStart w:id="175" w:name="_Toc1125"/>
      <w:bookmarkStart w:id="176" w:name="_Toc6596"/>
      <w:r>
        <w:rPr>
          <w:rFonts w:hint="eastAsia" w:ascii="宋体" w:hAnsi="宋体" w:cs="@仿宋_GB2312"/>
          <w:b/>
          <w:bCs/>
          <w:color w:val="000000"/>
          <w:sz w:val="24"/>
          <w:szCs w:val="24"/>
          <w:lang w:val="zh-CN"/>
        </w:rPr>
        <w:t>2.15 检验和验收</w:t>
      </w:r>
      <w:bookmarkEnd w:id="174"/>
      <w:bookmarkEnd w:id="175"/>
      <w:bookmarkEnd w:id="17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46"/>
    <w:bookmarkEnd w:id="147"/>
    <w:bookmarkEnd w:id="148"/>
    <w:bookmarkEnd w:id="149"/>
    <w:p>
      <w:pPr>
        <w:spacing w:line="360" w:lineRule="auto"/>
        <w:ind w:firstLine="437"/>
        <w:outlineLvl w:val="3"/>
        <w:rPr>
          <w:rFonts w:ascii="宋体" w:hAnsi="宋体" w:cs="@仿宋_GB2312"/>
          <w:b/>
          <w:bCs/>
          <w:color w:val="000000"/>
          <w:sz w:val="24"/>
          <w:szCs w:val="24"/>
        </w:rPr>
      </w:pPr>
      <w:bookmarkStart w:id="177" w:name="_Toc10330"/>
      <w:bookmarkStart w:id="178" w:name="_Toc259093692"/>
      <w:bookmarkStart w:id="179" w:name="_Toc18567"/>
      <w:bookmarkStart w:id="180" w:name="_Toc279701263"/>
      <w:bookmarkStart w:id="181" w:name="_Toc12773"/>
      <w:bookmarkStart w:id="182" w:name="_Toc487900373"/>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77"/>
      <w:bookmarkEnd w:id="178"/>
      <w:bookmarkEnd w:id="179"/>
      <w:bookmarkEnd w:id="180"/>
      <w:bookmarkEnd w:id="181"/>
      <w:bookmarkEnd w:id="18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3" w:name="_Toc16673"/>
      <w:bookmarkStart w:id="184" w:name="_Toc279701264"/>
      <w:bookmarkStart w:id="185" w:name="_Toc3148"/>
      <w:bookmarkStart w:id="186" w:name="_Toc12004"/>
      <w:bookmarkStart w:id="187" w:name="_Toc259093693"/>
      <w:bookmarkStart w:id="188" w:name="_Toc487900374"/>
      <w:r>
        <w:rPr>
          <w:rFonts w:hint="eastAsia" w:ascii="宋体" w:hAnsi="宋体" w:cs="@仿宋_GB2312"/>
          <w:b/>
          <w:bCs/>
          <w:color w:val="000000"/>
          <w:sz w:val="24"/>
          <w:szCs w:val="24"/>
          <w:lang w:val="zh-CN"/>
        </w:rPr>
        <w:t>2.17 履约保证金</w:t>
      </w:r>
      <w:bookmarkEnd w:id="183"/>
      <w:bookmarkEnd w:id="184"/>
      <w:bookmarkEnd w:id="185"/>
      <w:bookmarkEnd w:id="186"/>
      <w:bookmarkEnd w:id="18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360" w:lineRule="auto"/>
        <w:ind w:firstLine="437"/>
        <w:outlineLvl w:val="3"/>
        <w:rPr>
          <w:rFonts w:ascii="宋体" w:hAnsi="宋体" w:cs="@仿宋_GB2312"/>
          <w:b/>
          <w:color w:val="000000"/>
          <w:sz w:val="24"/>
          <w:szCs w:val="24"/>
        </w:rPr>
      </w:pPr>
      <w:bookmarkStart w:id="189" w:name="_Toc14001"/>
      <w:bookmarkStart w:id="190" w:name="_Toc6885"/>
      <w:bookmarkStart w:id="191" w:name="_Toc19890"/>
      <w:r>
        <w:rPr>
          <w:rFonts w:hint="eastAsia" w:ascii="宋体" w:hAnsi="宋体" w:cs="@仿宋_GB2312"/>
          <w:b/>
          <w:bCs/>
          <w:color w:val="000000"/>
          <w:sz w:val="24"/>
          <w:szCs w:val="24"/>
          <w:lang w:val="zh-CN"/>
        </w:rPr>
        <w:t>2.18 合同份数</w:t>
      </w:r>
      <w:bookmarkEnd w:id="189"/>
      <w:bookmarkEnd w:id="190"/>
      <w:bookmarkEnd w:id="191"/>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jc w:val="center"/>
        <w:outlineLvl w:val="2"/>
        <w:rPr>
          <w:rFonts w:ascii="宋体" w:hAnsi="宋体" w:cs="@仿宋_GB2312"/>
          <w:b/>
          <w:color w:val="000000"/>
          <w:sz w:val="24"/>
          <w:szCs w:val="24"/>
        </w:rPr>
      </w:pPr>
      <w:bookmarkStart w:id="192" w:name="_Toc331685784"/>
      <w:r>
        <w:rPr>
          <w:rFonts w:hint="eastAsia" w:ascii="宋体" w:hAnsi="宋体" w:cs="@仿宋_GB2312"/>
          <w:b/>
          <w:color w:val="000000"/>
          <w:sz w:val="24"/>
          <w:szCs w:val="24"/>
        </w:rPr>
        <w:t>第三部分 合同专用条款</w:t>
      </w:r>
      <w:bookmarkEnd w:id="19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4"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bookmarkEnd w:id="53"/>
      <w:bookmarkEnd w:id="54"/>
    </w:tbl>
    <w:p>
      <w:pPr>
        <w:bidi w:val="0"/>
        <w:jc w:val="center"/>
        <w:rPr>
          <w:rFonts w:hint="eastAsia"/>
          <w:b/>
          <w:bCs/>
          <w:sz w:val="32"/>
          <w:szCs w:val="32"/>
          <w:lang w:val="en-US" w:eastAsia="zh-CN"/>
        </w:rPr>
      </w:pPr>
      <w:bookmarkStart w:id="193" w:name="_Toc527131324"/>
    </w:p>
    <w:p>
      <w:pPr>
        <w:bidi w:val="0"/>
        <w:jc w:val="center"/>
        <w:rPr>
          <w:rFonts w:hint="eastAsia"/>
          <w:b/>
          <w:bCs/>
          <w:sz w:val="32"/>
          <w:szCs w:val="32"/>
          <w:lang w:val="en-US" w:eastAsia="zh-CN"/>
        </w:rPr>
      </w:pPr>
      <w:r>
        <w:rPr>
          <w:rFonts w:hint="eastAsia"/>
          <w:b/>
          <w:bCs/>
          <w:sz w:val="32"/>
          <w:szCs w:val="32"/>
          <w:lang w:val="en-US" w:eastAsia="zh-CN"/>
        </w:rPr>
        <w:t>高刘污水处理厂委托检测</w:t>
      </w:r>
    </w:p>
    <w:p>
      <w:pPr>
        <w:spacing w:line="360" w:lineRule="auto"/>
        <w:rPr>
          <w:rFonts w:ascii="宋体"/>
          <w:b/>
          <w:bCs/>
          <w:sz w:val="24"/>
          <w:szCs w:val="24"/>
        </w:rPr>
      </w:pPr>
      <w:r>
        <w:rPr>
          <w:rFonts w:hint="eastAsia" w:ascii="宋体" w:hAnsi="宋体" w:cs="宋体"/>
          <w:b/>
          <w:bCs/>
          <w:sz w:val="28"/>
          <w:szCs w:val="28"/>
        </w:rPr>
        <w:t>一、项目概况：</w:t>
      </w:r>
    </w:p>
    <w:p>
      <w:pPr>
        <w:spacing w:line="360" w:lineRule="auto"/>
        <w:ind w:firstLine="438" w:firstLineChars="200"/>
        <w:rPr>
          <w:rFonts w:hint="eastAsia" w:ascii="宋体"/>
          <w:bCs/>
          <w:sz w:val="24"/>
          <w:szCs w:val="28"/>
        </w:rPr>
      </w:pPr>
      <w:r>
        <w:rPr>
          <w:rFonts w:hint="eastAsia" w:ascii="宋体"/>
          <w:bCs/>
          <w:sz w:val="24"/>
          <w:szCs w:val="28"/>
        </w:rPr>
        <w:t>高</w:t>
      </w:r>
      <w:r>
        <w:rPr>
          <w:rFonts w:hint="eastAsia"/>
          <w:bCs/>
          <w:sz w:val="24"/>
          <w:szCs w:val="28"/>
          <w:lang w:val="en-US" w:eastAsia="zh-CN"/>
        </w:rPr>
        <w:t>刘</w:t>
      </w:r>
      <w:r>
        <w:rPr>
          <w:rFonts w:hint="eastAsia" w:ascii="宋体"/>
          <w:bCs/>
          <w:sz w:val="24"/>
          <w:szCs w:val="28"/>
        </w:rPr>
        <w:t>污水处理厂项目位于合肥经开北区高刘街道，根据《排污单位自行监测技术指南 水处理)》(HJ 1083-2020),高刘污水处理厂排污许可自行监测规定等文件要求，为加强污染源监测的管理，确保出水稳定达标，拟对高刘污水处理厂自行</w:t>
      </w:r>
      <w:r>
        <w:rPr>
          <w:rFonts w:hint="eastAsia"/>
          <w:bCs/>
          <w:sz w:val="24"/>
          <w:szCs w:val="28"/>
          <w:lang w:val="en-US" w:eastAsia="zh-CN"/>
        </w:rPr>
        <w:t>监测</w:t>
      </w:r>
      <w:r>
        <w:rPr>
          <w:rFonts w:hint="eastAsia" w:ascii="宋体"/>
          <w:bCs/>
          <w:sz w:val="24"/>
          <w:szCs w:val="28"/>
        </w:rPr>
        <w:t>中手工</w:t>
      </w:r>
      <w:r>
        <w:rPr>
          <w:rFonts w:hint="eastAsia"/>
          <w:bCs/>
          <w:sz w:val="24"/>
          <w:szCs w:val="28"/>
          <w:lang w:val="en-US" w:eastAsia="zh-CN"/>
        </w:rPr>
        <w:t>检测</w:t>
      </w:r>
      <w:r>
        <w:rPr>
          <w:rFonts w:hint="eastAsia" w:ascii="宋体"/>
          <w:bCs/>
          <w:sz w:val="24"/>
          <w:szCs w:val="28"/>
        </w:rPr>
        <w:t>项目进行委托检测招标，经估算</w:t>
      </w:r>
      <w:r>
        <w:rPr>
          <w:rFonts w:hint="eastAsia"/>
          <w:bCs/>
          <w:sz w:val="24"/>
          <w:szCs w:val="28"/>
          <w:lang w:val="en-US" w:eastAsia="zh-CN"/>
        </w:rPr>
        <w:t>项目</w:t>
      </w:r>
      <w:r>
        <w:rPr>
          <w:rFonts w:hint="eastAsia" w:ascii="宋体"/>
          <w:bCs/>
          <w:sz w:val="24"/>
          <w:szCs w:val="28"/>
        </w:rPr>
        <w:t>费用</w:t>
      </w:r>
      <w:r>
        <w:rPr>
          <w:rFonts w:hint="eastAsia"/>
          <w:bCs/>
          <w:sz w:val="24"/>
          <w:szCs w:val="28"/>
          <w:lang w:val="en-US" w:eastAsia="zh-CN"/>
        </w:rPr>
        <w:t>9万</w:t>
      </w:r>
      <w:r>
        <w:rPr>
          <w:rFonts w:hint="eastAsia" w:ascii="宋体"/>
          <w:bCs/>
          <w:sz w:val="24"/>
          <w:szCs w:val="28"/>
        </w:rPr>
        <w:t>元，具体费用由实际发生为准。若标准有变动时，以国家颁布的最新版本为准。</w:t>
      </w:r>
    </w:p>
    <w:p>
      <w:pPr>
        <w:spacing w:line="360" w:lineRule="auto"/>
        <w:rPr>
          <w:rFonts w:hint="default" w:ascii="宋体" w:hAnsi="宋体" w:cs="宋体" w:eastAsiaTheme="minorEastAsia"/>
          <w:b/>
          <w:bCs/>
          <w:sz w:val="28"/>
          <w:szCs w:val="28"/>
          <w:lang w:val="en-US" w:eastAsia="zh-CN"/>
        </w:rPr>
      </w:pPr>
      <w:r>
        <w:rPr>
          <w:rFonts w:hint="eastAsia" w:ascii="宋体" w:hAnsi="宋体" w:cs="宋体"/>
          <w:b/>
          <w:bCs/>
          <w:sz w:val="28"/>
          <w:szCs w:val="28"/>
          <w:lang w:val="en-US" w:eastAsia="zh-CN"/>
        </w:rPr>
        <w:t>二</w:t>
      </w:r>
      <w:r>
        <w:rPr>
          <w:rFonts w:hint="eastAsia" w:ascii="宋体" w:hAnsi="宋体" w:cs="宋体"/>
          <w:b/>
          <w:bCs/>
          <w:sz w:val="28"/>
          <w:szCs w:val="28"/>
        </w:rPr>
        <w:t>、</w:t>
      </w:r>
      <w:r>
        <w:rPr>
          <w:rFonts w:hint="eastAsia" w:ascii="宋体" w:hAnsi="宋体" w:cs="宋体"/>
          <w:b/>
          <w:bCs/>
          <w:sz w:val="28"/>
          <w:szCs w:val="28"/>
          <w:lang w:val="en-US" w:eastAsia="zh-CN"/>
        </w:rPr>
        <w:t>委托内容</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就水质进行检测，在取样结束十天内，检测方按照相关标准及规范及时进行检测并出具盖章纸质版检测报告两份，电子版一份。</w:t>
      </w:r>
    </w:p>
    <w:p>
      <w:pPr>
        <w:numPr>
          <w:ilvl w:val="0"/>
          <w:numId w:val="2"/>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权利与义务</w:t>
      </w:r>
    </w:p>
    <w:p>
      <w:pPr>
        <w:spacing w:line="360" w:lineRule="auto"/>
        <w:ind w:firstLine="438" w:firstLineChars="200"/>
        <w:rPr>
          <w:rFonts w:hint="default" w:ascii="宋体" w:eastAsia="宋体"/>
          <w:b/>
          <w:bCs/>
          <w:sz w:val="24"/>
          <w:szCs w:val="28"/>
          <w:lang w:val="en-US" w:eastAsia="zh-CN"/>
        </w:rPr>
      </w:pPr>
      <w:r>
        <w:rPr>
          <w:rFonts w:hint="eastAsia" w:ascii="宋体"/>
          <w:b/>
          <w:bCs/>
          <w:sz w:val="24"/>
          <w:szCs w:val="28"/>
        </w:rPr>
        <w:t>（一）</w:t>
      </w:r>
      <w:r>
        <w:rPr>
          <w:rFonts w:hint="eastAsia" w:ascii="宋体"/>
          <w:b/>
          <w:bCs/>
          <w:sz w:val="24"/>
          <w:szCs w:val="28"/>
          <w:lang w:val="en-US" w:eastAsia="zh-CN"/>
        </w:rPr>
        <w:t>委托方权利与义务</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1、因委托方临时需要增加或删减检测项目，最终检测项目与上述不符时，则根据实际检测项自的增减计算最终检测费用；</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2、检测方进行现场采样或检测，委托方应提供主要污染物、排污状况等必要的资料，以及厂休日和停电日期等相关信息，并应为采样人员提供适宜的工作条件，如提供检测用电(220V)，并安排熟悉厂区情况的人员配合检测方进行现场采样，进行现场采样时，公司应保持正常工作状态；</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3、委托方不得因各种原因干涉检测方规范、公正的检测工作，并相应承担双方的保密义务。</w:t>
      </w:r>
    </w:p>
    <w:p>
      <w:pPr>
        <w:spacing w:line="360" w:lineRule="auto"/>
        <w:ind w:firstLine="438" w:firstLineChars="200"/>
        <w:rPr>
          <w:rFonts w:hint="eastAsia" w:ascii="宋体"/>
          <w:bCs/>
          <w:sz w:val="24"/>
          <w:szCs w:val="28"/>
          <w:lang w:val="en-US" w:eastAsia="zh-CN"/>
        </w:rPr>
      </w:pPr>
      <w:r>
        <w:rPr>
          <w:rFonts w:hint="eastAsia" w:ascii="宋体"/>
          <w:b/>
          <w:bCs/>
          <w:sz w:val="24"/>
          <w:szCs w:val="28"/>
          <w:lang w:val="en-US" w:eastAsia="zh-CN"/>
        </w:rPr>
        <w:t>（二）检测方权利和义务:</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1、检测方应严格按国家相关法律、技术规范、标准及实验室检测工作程序进行检测，保证检测结果的公正性、科学性和准确性；</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2、检测方应为委托方所提供的资料以及技术产品、生产工艺等承担保密义务，不得向第三方公布委托方的任何信息；</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3、检测方应协助委托方评估其检测项目是否符合相关要求(委托方提供要求标准)，对委托方提出的有关检测结果的疑问，检测方应及时进行解释、复核。协助委托方建立监测记录档案和配合接受行政执法现场检查；</w:t>
      </w:r>
    </w:p>
    <w:p>
      <w:pPr>
        <w:spacing w:line="360" w:lineRule="auto"/>
        <w:ind w:firstLine="438" w:firstLineChars="200"/>
        <w:rPr>
          <w:rFonts w:hint="eastAsia" w:ascii="宋体"/>
          <w:bCs/>
          <w:sz w:val="24"/>
          <w:szCs w:val="28"/>
          <w:lang w:val="en-US" w:eastAsia="zh-CN"/>
        </w:rPr>
      </w:pPr>
      <w:r>
        <w:rPr>
          <w:rFonts w:hint="eastAsia" w:ascii="宋体"/>
          <w:bCs/>
          <w:sz w:val="24"/>
          <w:szCs w:val="28"/>
          <w:lang w:val="en-US" w:eastAsia="zh-CN"/>
        </w:rPr>
        <w:t>4、依据国家规范及质量控制要求执行，同时按照相关检测标准使用检测方在大型科学仪器设备共享服务平台登记的设备。</w:t>
      </w:r>
    </w:p>
    <w:p>
      <w:pPr>
        <w:numPr>
          <w:ilvl w:val="0"/>
          <w:numId w:val="0"/>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四、报价</w:t>
      </w:r>
      <w:r>
        <w:rPr>
          <w:rFonts w:hint="eastAsia" w:hAnsi="宋体" w:cs="宋体"/>
          <w:b/>
          <w:bCs/>
          <w:sz w:val="28"/>
          <w:szCs w:val="28"/>
          <w:lang w:val="en-US" w:eastAsia="zh-CN"/>
        </w:rPr>
        <w:t>清单</w:t>
      </w:r>
    </w:p>
    <w:tbl>
      <w:tblPr>
        <w:tblStyle w:val="66"/>
        <w:tblW w:w="10134"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095"/>
        <w:gridCol w:w="6014"/>
        <w:gridCol w:w="1446"/>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gridSpan w:val="2"/>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检测项目</w:t>
            </w:r>
          </w:p>
        </w:tc>
        <w:tc>
          <w:tcPr>
            <w:tcW w:w="601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检测标准与方法</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控制单价(元)</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检测频次</w:t>
            </w:r>
          </w:p>
        </w:tc>
      </w:tr>
      <w:tr>
        <w:tblPrEx>
          <w:tblCellMar>
            <w:top w:w="0" w:type="dxa"/>
            <w:left w:w="108" w:type="dxa"/>
            <w:bottom w:w="0" w:type="dxa"/>
            <w:right w:w="108" w:type="dxa"/>
          </w:tblCellMar>
        </w:tblPrEx>
        <w:trPr>
          <w:trHeight w:val="251" w:hRule="atLeast"/>
        </w:trPr>
        <w:tc>
          <w:tcPr>
            <w:tcW w:w="355" w:type="dxa"/>
            <w:vMerge w:val="restart"/>
            <w:vAlign w:val="center"/>
          </w:tcPr>
          <w:p>
            <w:pPr>
              <w:numPr>
                <w:ilvl w:val="0"/>
                <w:numId w:val="0"/>
              </w:numPr>
              <w:spacing w:line="360" w:lineRule="auto"/>
              <w:jc w:val="both"/>
              <w:rPr>
                <w:rFonts w:hint="eastAsia"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进水</w:t>
            </w:r>
            <w:r>
              <w:rPr>
                <w:rFonts w:hint="eastAsia" w:ascii="宋体" w:hAnsi="宋体" w:cs="宋体"/>
                <w:b w:val="0"/>
                <w:bCs w:val="0"/>
                <w:sz w:val="21"/>
                <w:szCs w:val="21"/>
                <w:vertAlign w:val="baseline"/>
                <w:lang w:val="en-US" w:eastAsia="zh-CN"/>
              </w:rPr>
              <w:t>水质</w:t>
            </w:r>
          </w:p>
        </w:tc>
        <w:tc>
          <w:tcPr>
            <w:tcW w:w="1095" w:type="dxa"/>
            <w:vAlign w:val="center"/>
          </w:tcPr>
          <w:p>
            <w:pPr>
              <w:keepNext w:val="0"/>
              <w:keepLines w:val="0"/>
              <w:widowControl/>
              <w:suppressLineNumbers w:val="0"/>
              <w:jc w:val="center"/>
              <w:textAlignment w:val="center"/>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COD</w:t>
            </w:r>
            <w:r>
              <w:rPr>
                <w:rFonts w:hint="eastAsia" w:ascii="宋体" w:hAnsi="宋体" w:cs="宋体"/>
                <w:b w:val="0"/>
                <w:bCs w:val="0"/>
                <w:sz w:val="21"/>
                <w:szCs w:val="21"/>
                <w:highlight w:val="none"/>
                <w:vertAlign w:val="subscript"/>
                <w:lang w:val="en-US" w:eastAsia="zh-CN"/>
              </w:rPr>
              <w:t>cr</w:t>
            </w:r>
          </w:p>
        </w:tc>
        <w:tc>
          <w:tcPr>
            <w:tcW w:w="6014" w:type="dxa"/>
            <w:vAlign w:val="top"/>
          </w:tcPr>
          <w:p>
            <w:pPr>
              <w:numPr>
                <w:ilvl w:val="0"/>
                <w:numId w:val="0"/>
              </w:numPr>
              <w:spacing w:line="360" w:lineRule="auto"/>
              <w:ind w:left="0" w:leftChars="0" w:firstLine="0" w:firstLineChars="0"/>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化学需氧量的测定 重铬酸盐法 HJ 828-2017</w:t>
            </w:r>
          </w:p>
        </w:tc>
        <w:tc>
          <w:tcPr>
            <w:tcW w:w="1446" w:type="dxa"/>
            <w:vAlign w:val="center"/>
          </w:tcPr>
          <w:p>
            <w:pPr>
              <w:numPr>
                <w:ilvl w:val="0"/>
                <w:numId w:val="0"/>
              </w:numPr>
              <w:spacing w:line="360" w:lineRule="auto"/>
              <w:ind w:left="0" w:leftChars="0" w:firstLine="0" w:firstLineChars="0"/>
              <w:jc w:val="center"/>
              <w:rPr>
                <w:rFonts w:hint="eastAsia"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24" w:type="dxa"/>
            <w:vAlign w:val="center"/>
          </w:tcPr>
          <w:p>
            <w:pPr>
              <w:numPr>
                <w:ilvl w:val="0"/>
                <w:numId w:val="0"/>
              </w:numPr>
              <w:spacing w:line="360" w:lineRule="auto"/>
              <w:ind w:left="0" w:leftChars="0" w:firstLine="0" w:firstLineChars="0"/>
              <w:jc w:val="both"/>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BOD</w:t>
            </w:r>
            <w:r>
              <w:rPr>
                <w:rFonts w:hint="eastAsia" w:ascii="宋体" w:hAnsi="宋体" w:cs="宋体"/>
                <w:b w:val="0"/>
                <w:bCs w:val="0"/>
                <w:sz w:val="21"/>
                <w:szCs w:val="21"/>
                <w:highlight w:val="none"/>
                <w:vertAlign w:val="subscript"/>
                <w:lang w:val="en-US" w:eastAsia="zh-CN"/>
              </w:rPr>
              <w:t>5</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五日生化需氧量的测定 稀释与接种法 HJ 505-2009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145</w:t>
            </w:r>
          </w:p>
        </w:tc>
        <w:tc>
          <w:tcPr>
            <w:tcW w:w="1224"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CellMar>
            <w:top w:w="0" w:type="dxa"/>
            <w:left w:w="108" w:type="dxa"/>
            <w:bottom w:w="0" w:type="dxa"/>
            <w:right w:w="108" w:type="dxa"/>
          </w:tblCellMar>
        </w:tblPrEx>
        <w:trPr>
          <w:trHeight w:val="184"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氨氮</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氨氮的测定 纳氏试剂分光光度法 HJ 535-2009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24"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总氮</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总氮的测定 碱性过硫酸钾消解紫外分光光度法 HJ 636-2012</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105</w:t>
            </w:r>
          </w:p>
        </w:tc>
        <w:tc>
          <w:tcPr>
            <w:tcW w:w="1224"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总磷</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总磷的测定 钼氨酸分光光度法 GB/T 11893-1989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85</w:t>
            </w:r>
          </w:p>
        </w:tc>
        <w:tc>
          <w:tcPr>
            <w:tcW w:w="1224"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55" w:type="dxa"/>
            <w:vMerge w:val="restart"/>
            <w:vAlign w:val="center"/>
          </w:tcPr>
          <w:p>
            <w:pPr>
              <w:numPr>
                <w:ilvl w:val="0"/>
                <w:numId w:val="0"/>
              </w:numPr>
              <w:spacing w:line="360" w:lineRule="auto"/>
              <w:jc w:val="center"/>
              <w:rPr>
                <w:rFonts w:hint="eastAsia"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出水</w:t>
            </w:r>
            <w:r>
              <w:rPr>
                <w:rFonts w:hint="eastAsia" w:ascii="宋体" w:hAnsi="宋体" w:cs="宋体"/>
                <w:b w:val="0"/>
                <w:bCs w:val="0"/>
                <w:sz w:val="21"/>
                <w:szCs w:val="21"/>
                <w:vertAlign w:val="baseline"/>
                <w:lang w:val="en-US" w:eastAsia="zh-CN"/>
              </w:rPr>
              <w:t>水质</w:t>
            </w:r>
          </w:p>
        </w:tc>
        <w:tc>
          <w:tcPr>
            <w:tcW w:w="1095" w:type="dxa"/>
            <w:vAlign w:val="top"/>
          </w:tcPr>
          <w:p>
            <w:pPr>
              <w:numPr>
                <w:ilvl w:val="0"/>
                <w:numId w:val="0"/>
              </w:numPr>
              <w:spacing w:line="360" w:lineRule="auto"/>
              <w:ind w:left="0" w:leftChars="0" w:firstLine="0" w:firstLineChars="0"/>
              <w:jc w:val="center"/>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PH值</w:t>
            </w:r>
          </w:p>
        </w:tc>
        <w:tc>
          <w:tcPr>
            <w:tcW w:w="6014" w:type="dxa"/>
            <w:vAlign w:val="top"/>
          </w:tcPr>
          <w:p>
            <w:pPr>
              <w:numPr>
                <w:ilvl w:val="0"/>
                <w:numId w:val="0"/>
              </w:numPr>
              <w:spacing w:line="360" w:lineRule="auto"/>
              <w:ind w:left="0" w:leftChars="0" w:firstLine="0" w:firstLineChars="0"/>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PH的测定 玻璃电极法 GB/T 6920-1986</w:t>
            </w:r>
          </w:p>
        </w:tc>
        <w:tc>
          <w:tcPr>
            <w:tcW w:w="1446" w:type="dxa"/>
            <w:vAlign w:val="center"/>
          </w:tcPr>
          <w:p>
            <w:pPr>
              <w:numPr>
                <w:ilvl w:val="0"/>
                <w:numId w:val="0"/>
              </w:numPr>
              <w:spacing w:line="360" w:lineRule="auto"/>
              <w:ind w:left="0" w:leftChars="0" w:firstLine="0" w:firstLineChars="0"/>
              <w:jc w:val="center"/>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w:t>
            </w:r>
          </w:p>
        </w:tc>
        <w:tc>
          <w:tcPr>
            <w:tcW w:w="1224" w:type="dxa"/>
            <w:vAlign w:val="center"/>
          </w:tcPr>
          <w:p>
            <w:pPr>
              <w:numPr>
                <w:ilvl w:val="0"/>
                <w:numId w:val="0"/>
              </w:numPr>
              <w:spacing w:line="360" w:lineRule="auto"/>
              <w:ind w:left="0" w:leftChars="0" w:firstLine="0" w:firstLineChars="0"/>
              <w:jc w:val="center"/>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COD</w:t>
            </w:r>
            <w:r>
              <w:rPr>
                <w:rFonts w:hint="eastAsia" w:ascii="宋体" w:hAnsi="宋体" w:cs="宋体"/>
                <w:b w:val="0"/>
                <w:bCs w:val="0"/>
                <w:sz w:val="21"/>
                <w:szCs w:val="21"/>
                <w:highlight w:val="none"/>
                <w:vertAlign w:val="subscript"/>
                <w:lang w:val="en-US" w:eastAsia="zh-CN"/>
              </w:rPr>
              <w:t>cr</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化学需氧量的测定 重铬酸盐法 HJ 828-2017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氨氮</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氨氮的测定 纳氏试剂分光光度法 HJ 535-2009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SS</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悬浮物的测定 重量法 GB/T 11901-1989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58</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BOD</w:t>
            </w:r>
            <w:r>
              <w:rPr>
                <w:rFonts w:hint="eastAsia" w:ascii="宋体" w:hAnsi="宋体" w:cs="宋体"/>
                <w:b w:val="0"/>
                <w:bCs w:val="0"/>
                <w:sz w:val="21"/>
                <w:szCs w:val="21"/>
                <w:highlight w:val="none"/>
                <w:vertAlign w:val="subscript"/>
                <w:lang w:val="en-US" w:eastAsia="zh-CN"/>
              </w:rPr>
              <w:t>5</w:t>
            </w:r>
          </w:p>
        </w:tc>
        <w:tc>
          <w:tcPr>
            <w:tcW w:w="6014" w:type="dxa"/>
            <w:vAlign w:val="top"/>
          </w:tcPr>
          <w:p>
            <w:pPr>
              <w:numPr>
                <w:ilvl w:val="0"/>
                <w:numId w:val="0"/>
              </w:numPr>
              <w:spacing w:line="360" w:lineRule="auto"/>
              <w:ind w:left="0" w:leftChars="0" w:firstLine="0" w:firstLineChars="0"/>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五日生化需氧量的测定 稀释与接种法 HJ 505-2009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总氮</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总氮的测定 碱性过硫酸钾消解紫外分光光度法 HJ 636-2012</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总磷</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总磷的测定 钼氨酸分光光度法 GB/T 11893-1989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石油类</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石油类和动植物油的测定 红外分光光度法 HJ 637-2012</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122</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动植物油</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石油类和动植物油的测定 红外分光光度法 HJ 637-2012</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122</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LAS</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阴离子表面活性的测定 亚甲蓝分光光度法 GB/T 7494-1987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107</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铜</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锌</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铅</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镉</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镍</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镍的测定 原子吸收分光光度法 GB/T 11912-1989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色度</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色度的测定 铂钴比色法和稀释倍数法 GB/T 11903-1989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砷</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汞、砷、硒、铋、锑的测定 原子荧光法 HJ 694-2014</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汞</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汞、砷、硒、铋、锑的测定 原子荧光法 HJ 694-2014</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烷基汞</w:t>
            </w:r>
          </w:p>
        </w:tc>
        <w:tc>
          <w:tcPr>
            <w:tcW w:w="6014"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水质 烷基汞的测定 </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220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总铬</w:t>
            </w:r>
          </w:p>
        </w:tc>
        <w:tc>
          <w:tcPr>
            <w:tcW w:w="6014"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水质 总铬的测定 </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六价铬</w:t>
            </w:r>
          </w:p>
        </w:tc>
        <w:tc>
          <w:tcPr>
            <w:tcW w:w="6014"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水质 六价铬的测定</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细菌总数</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多管发酵法 《水和废水监测分析方法》（第四版）国家环境保护局（2002）</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大肠杆菌</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多管发酵法 《水和废水监测分析方法》（第四版）国家环境保护局（2002）</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5" w:type="dxa"/>
            <w:vMerge w:val="restart"/>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雨水排口</w:t>
            </w:r>
          </w:p>
        </w:tc>
        <w:tc>
          <w:tcPr>
            <w:tcW w:w="1095" w:type="dxa"/>
            <w:vAlign w:val="center"/>
          </w:tcPr>
          <w:p>
            <w:pPr>
              <w:keepNext w:val="0"/>
              <w:keepLines w:val="0"/>
              <w:widowControl/>
              <w:suppressLineNumbers w:val="0"/>
              <w:jc w:val="center"/>
              <w:textAlignment w:val="center"/>
              <w:rPr>
                <w:rFonts w:hint="eastAsia" w:ascii="宋体" w:hAnsi="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pH值</w:t>
            </w:r>
          </w:p>
        </w:tc>
        <w:tc>
          <w:tcPr>
            <w:tcW w:w="6014"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PH的测定 玻璃电极法 GB/T 6920-1986</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SS</w:t>
            </w:r>
          </w:p>
        </w:tc>
        <w:tc>
          <w:tcPr>
            <w:tcW w:w="6014"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悬浮物的测定 重量法 GB/T 11901-1989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58</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highlight w:val="none"/>
                <w:vertAlign w:val="baseline"/>
                <w:lang w:val="en-US" w:eastAsia="zh-CN"/>
              </w:rPr>
              <w:t>COD</w:t>
            </w:r>
            <w:r>
              <w:rPr>
                <w:rFonts w:hint="eastAsia" w:ascii="宋体" w:hAnsi="宋体" w:cs="宋体"/>
                <w:b w:val="0"/>
                <w:bCs w:val="0"/>
                <w:sz w:val="21"/>
                <w:szCs w:val="21"/>
                <w:highlight w:val="none"/>
                <w:vertAlign w:val="subscript"/>
                <w:lang w:val="en-US" w:eastAsia="zh-CN"/>
              </w:rPr>
              <w:t>cr</w:t>
            </w:r>
          </w:p>
        </w:tc>
        <w:tc>
          <w:tcPr>
            <w:tcW w:w="6014"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化学需氧量的测定 重铬酸盐法 HJ 828-2017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eastAsia" w:ascii="宋体" w:hAnsi="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氨氮</w:t>
            </w:r>
          </w:p>
        </w:tc>
        <w:tc>
          <w:tcPr>
            <w:tcW w:w="6014"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氨氮的测定 纳氏试剂分光光度法 HJ 535-2009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噪声</w:t>
            </w: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厂界昼夜噪声</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工业企业厂界噪声测量方法 GB/T 12348-2008</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废气</w:t>
            </w: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臭气浓度</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空气质量 恶臭的测定 三点比较法式臭袋法 GB/T 14675-93</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350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氨气</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氨的测定 纳氏试剂分光光度法 HJ 533-2009</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硫化氢</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硫化氢 亚甲蓝分光光度法 GB/T 7494-1987</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105</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甲烷</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甲烷的测定</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污泥</w:t>
            </w: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总镉</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总汞</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总铅</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总铬</w:t>
            </w:r>
          </w:p>
        </w:tc>
        <w:tc>
          <w:tcPr>
            <w:tcW w:w="6014"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总砷</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总镍</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总锌</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总铜</w:t>
            </w:r>
          </w:p>
        </w:tc>
        <w:tc>
          <w:tcPr>
            <w:tcW w:w="6014"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446" w:type="dxa"/>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464" w:type="dxa"/>
            <w:gridSpan w:val="3"/>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取样费</w:t>
            </w:r>
          </w:p>
        </w:tc>
        <w:tc>
          <w:tcPr>
            <w:tcW w:w="1446"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300元/次</w:t>
            </w:r>
          </w:p>
        </w:tc>
        <w:tc>
          <w:tcPr>
            <w:tcW w:w="1224"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1次</w:t>
            </w:r>
            <w:r>
              <w:rPr>
                <w:rFonts w:hint="eastAsia" w:ascii="宋体" w:hAnsi="宋体" w:cs="宋体"/>
                <w:b w:val="0"/>
                <w:bCs w:val="0"/>
                <w:sz w:val="21"/>
                <w:szCs w:val="21"/>
                <w:vertAlign w:val="baseline"/>
                <w:lang w:val="en-US" w:eastAsia="zh-CN"/>
              </w:rPr>
              <w:t>/</w:t>
            </w:r>
            <w:r>
              <w:rPr>
                <w:rFonts w:hint="eastAsia" w:hAnsi="宋体" w:cs="宋体"/>
                <w:b w:val="0"/>
                <w:bCs w:val="0"/>
                <w:sz w:val="21"/>
                <w:szCs w:val="21"/>
                <w:vertAlign w:val="baseli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7464" w:type="dxa"/>
            <w:gridSpan w:val="3"/>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应急检测费（按检测项目*中标费率据实结算）</w:t>
            </w:r>
          </w:p>
        </w:tc>
        <w:tc>
          <w:tcPr>
            <w:tcW w:w="2670" w:type="dxa"/>
            <w:gridSpan w:val="2"/>
            <w:vAlign w:val="center"/>
          </w:tcPr>
          <w:p>
            <w:pPr>
              <w:numPr>
                <w:ilvl w:val="0"/>
                <w:numId w:val="0"/>
              </w:numPr>
              <w:spacing w:line="360" w:lineRule="auto"/>
              <w:jc w:val="center"/>
              <w:rPr>
                <w:rFonts w:hint="default"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总预算不超过15000元/年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4" w:type="dxa"/>
            <w:gridSpan w:val="5"/>
            <w:vAlign w:val="center"/>
          </w:tcPr>
          <w:p>
            <w:pPr>
              <w:numPr>
                <w:ilvl w:val="0"/>
                <w:numId w:val="0"/>
              </w:numPr>
              <w:spacing w:line="360" w:lineRule="auto"/>
              <w:jc w:val="both"/>
              <w:rPr>
                <w:rFonts w:hint="default" w:hAnsi="宋体" w:cs="宋体"/>
                <w:b w:val="0"/>
                <w:bCs w:val="0"/>
                <w:sz w:val="21"/>
                <w:szCs w:val="21"/>
                <w:vertAlign w:val="baseline"/>
                <w:lang w:val="en-US" w:eastAsia="zh-CN"/>
              </w:rPr>
            </w:pPr>
            <w:r>
              <w:rPr>
                <w:rFonts w:hint="default" w:hAnsi="宋体" w:cs="宋体"/>
                <w:b w:val="0"/>
                <w:bCs w:val="0"/>
                <w:sz w:val="21"/>
                <w:szCs w:val="21"/>
                <w:vertAlign w:val="baseline"/>
                <w:lang w:val="en-US" w:eastAsia="zh-CN"/>
              </w:rPr>
              <w:t>（以一年52周为周期的计算,雨水排口频次按每周1次计算）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4" w:type="dxa"/>
            <w:gridSpan w:val="5"/>
          </w:tcPr>
          <w:p>
            <w:pPr>
              <w:numPr>
                <w:ilvl w:val="0"/>
                <w:numId w:val="0"/>
              </w:numPr>
              <w:spacing w:line="360" w:lineRule="auto"/>
              <w:rPr>
                <w:rFonts w:hint="eastAsia" w:ascii="宋体"/>
                <w:b w:val="0"/>
                <w:bCs w:val="0"/>
                <w:sz w:val="21"/>
                <w:szCs w:val="21"/>
                <w:vertAlign w:val="baseline"/>
                <w:lang w:val="en-US" w:eastAsia="zh-CN"/>
              </w:rPr>
            </w:pPr>
            <w:r>
              <w:rPr>
                <w:rFonts w:hint="eastAsia" w:ascii="宋体"/>
                <w:b w:val="0"/>
                <w:bCs w:val="0"/>
                <w:sz w:val="21"/>
                <w:szCs w:val="21"/>
                <w:vertAlign w:val="baseline"/>
                <w:lang w:val="en-US" w:eastAsia="zh-CN"/>
              </w:rPr>
              <w:t>备注：①报价为含税金额，须提供增值税全额发票（按合同具体要求）；②包括所有消耗品、易损件和配件；③人员工资、保险等；④车辆保险、保养、折旧、油费等。</w:t>
            </w:r>
          </w:p>
        </w:tc>
      </w:tr>
    </w:tbl>
    <w:p/>
    <w:p>
      <w:pPr>
        <w:pStyle w:val="2"/>
        <w:spacing w:before="480" w:after="260" w:line="500" w:lineRule="exact"/>
        <w:rPr>
          <w:rFonts w:hint="eastAsia" w:hAnsi="宋体"/>
          <w:color w:val="000000"/>
          <w:highlight w:val="none"/>
          <w:lang w:val="en-US" w:eastAsia="zh-CN"/>
        </w:rPr>
      </w:pPr>
    </w:p>
    <w:p>
      <w:pPr>
        <w:pStyle w:val="2"/>
        <w:spacing w:before="480" w:after="260" w:line="500" w:lineRule="exact"/>
        <w:rPr>
          <w:rFonts w:hAnsi="宋体"/>
          <w:b w:val="0"/>
          <w:bCs w:val="0"/>
          <w:color w:val="000000"/>
          <w:highlight w:val="none"/>
        </w:rPr>
      </w:pPr>
      <w:r>
        <w:rPr>
          <w:rFonts w:hint="eastAsia" w:hAnsi="宋体"/>
          <w:color w:val="000000"/>
          <w:highlight w:val="none"/>
          <w:lang w:val="en-US" w:eastAsia="zh-CN"/>
        </w:rPr>
        <w:t>六</w:t>
      </w:r>
      <w:r>
        <w:rPr>
          <w:rFonts w:hint="eastAsia" w:hAnsi="宋体"/>
          <w:color w:val="000000"/>
          <w:highlight w:val="none"/>
        </w:rPr>
        <w:t>、响应文件格式</w:t>
      </w:r>
      <w:bookmarkEnd w:id="193"/>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4"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195" w:name="_Toc461053086"/>
      <w:bookmarkStart w:id="196" w:name="_Toc2774249"/>
      <w:bookmarkStart w:id="197" w:name="_Toc461056631"/>
      <w:r>
        <w:rPr>
          <w:rFonts w:hint="eastAsia" w:ascii="宋体" w:hAnsi="宋体" w:eastAsia="宋体"/>
          <w:bCs w:val="0"/>
          <w:color w:val="000000"/>
          <w:sz w:val="24"/>
          <w:szCs w:val="24"/>
          <w:highlight w:val="none"/>
        </w:rPr>
        <w:t>附件一</w:t>
      </w:r>
      <w:bookmarkEnd w:id="195"/>
      <w:bookmarkEnd w:id="196"/>
      <w:bookmarkEnd w:id="197"/>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438" w:firstLineChars="200"/>
              <w:rPr>
                <w:rFonts w:hint="eastAsia" w:hAnsi="宋体" w:eastAsia="宋体"/>
                <w:bCs/>
                <w:color w:val="000000"/>
                <w:highlight w:val="none"/>
                <w:u w:val="single"/>
                <w:lang w:val="en-US" w:eastAsia="zh-CN"/>
              </w:rPr>
            </w:pPr>
            <w:r>
              <w:rPr>
                <w:rFonts w:hint="eastAsia" w:hAnsi="宋体"/>
                <w:bCs/>
                <w:color w:val="000000"/>
                <w:highlight w:val="none"/>
                <w:lang w:val="en-US" w:eastAsia="zh-CN"/>
              </w:rPr>
              <w:t>费率</w:t>
            </w:r>
            <w:r>
              <w:rPr>
                <w:rFonts w:hint="eastAsia" w:hAnsi="宋体"/>
                <w:bCs/>
                <w:color w:val="000000"/>
                <w:highlight w:val="none"/>
              </w:rPr>
              <w:t>：</w:t>
            </w:r>
            <w:r>
              <w:rPr>
                <w:rFonts w:hint="eastAsia" w:hAnsi="宋体"/>
                <w:bCs/>
                <w:color w:val="000000"/>
                <w:highlight w:val="none"/>
                <w:u w:val="single"/>
              </w:rPr>
              <w:t xml:space="preserve"> </w:t>
            </w:r>
            <w:r>
              <w:rPr>
                <w:rFonts w:hint="eastAsia" w:hAnsi="宋体"/>
                <w:bCs/>
                <w:color w:val="000000"/>
                <w:highlight w:val="none"/>
                <w:u w:val="single"/>
                <w:lang w:val="en-US" w:eastAsia="zh-CN"/>
              </w:rPr>
              <w:t xml:space="preserve">         %</w:t>
            </w:r>
          </w:p>
          <w:p>
            <w:pPr>
              <w:snapToGrid w:val="0"/>
              <w:spacing w:line="360" w:lineRule="auto"/>
              <w:ind w:firstLine="1971" w:firstLineChars="900"/>
              <w:rPr>
                <w:rFonts w:hAnsi="宋体"/>
                <w:b/>
                <w:color w:val="000000"/>
                <w:highlight w:val="none"/>
              </w:rPr>
            </w:pPr>
            <w:r>
              <w:rPr>
                <w:rFonts w:hAnsi="宋体"/>
                <w:bCs/>
                <w:color w:val="000000"/>
                <w:highlight w:val="none"/>
              </w:rPr>
              <w:t xml:space="preserve">         </w:t>
            </w:r>
            <w:r>
              <w:rPr>
                <w:rFonts w:hint="eastAsia" w:hAnsi="宋体"/>
                <w:bCs/>
                <w:color w:val="00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int="default" w:hAnsi="宋体" w:eastAsia="宋体"/>
                <w:b/>
                <w:color w:val="000000"/>
                <w:highlight w:val="none"/>
                <w:lang w:val="en-US" w:eastAsia="zh-CN"/>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bookmarkEnd w:id="194"/>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jc w:val="center"/>
        <w:rPr>
          <w:rFonts w:hint="eastAsia"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198" w:name="_Toc438648620"/>
      <w:r>
        <w:rPr>
          <w:rFonts w:hint="eastAsia" w:hAnsi="宋体" w:cs="宋体"/>
          <w:b/>
          <w:color w:val="000000"/>
          <w:szCs w:val="24"/>
          <w:highlight w:val="none"/>
        </w:rPr>
        <w:br w:type="page"/>
      </w:r>
      <w:bookmarkEnd w:id="198"/>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27"/>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199"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5"/>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5"/>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highlight w:val="none"/>
        </w:rPr>
      </w:pPr>
    </w:p>
    <w:p>
      <w:pPr>
        <w:pStyle w:val="35"/>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5"/>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5"/>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199"/>
      <w:bookmarkStart w:id="200" w:name="_Toc433835936"/>
      <w:bookmarkStart w:id="201" w:name="_Toc438648630"/>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200"/>
    <w:bookmarkEnd w:id="201"/>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Ansi="宋体" w:cs="宋体"/>
          <w:b/>
          <w:color w:val="000000"/>
          <w:szCs w:val="24"/>
          <w:highlight w:val="none"/>
        </w:rPr>
      </w:pPr>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jc w:val="center"/>
        <w:rPr>
          <w:rFonts w:hAnsi="宋体" w:cs="宋体"/>
          <w:b/>
          <w:color w:val="000000"/>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0"/>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合肥金晶水务有限公司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1B793"/>
    <w:multiLevelType w:val="singleLevel"/>
    <w:tmpl w:val="2931B793"/>
    <w:lvl w:ilvl="0" w:tentative="0">
      <w:start w:val="3"/>
      <w:numFmt w:val="chineseCounting"/>
      <w:suff w:val="nothing"/>
      <w:lvlText w:val="%1、"/>
      <w:lvlJc w:val="left"/>
      <w:rPr>
        <w:rFonts w:hint="eastAsia"/>
      </w:rPr>
    </w:lvl>
  </w:abstractNum>
  <w:abstractNum w:abstractNumId="1">
    <w:nsid w:val="4B13CB8D"/>
    <w:multiLevelType w:val="singleLevel"/>
    <w:tmpl w:val="4B13CB8D"/>
    <w:lvl w:ilvl="0" w:tentative="0">
      <w:start w:val="1"/>
      <w:numFmt w:val="decimal"/>
      <w:pStyle w:val="13"/>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jhjNmE2YmUyNzZmZDRkMmFiYmExNzEyZjM4NWY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51588"/>
    <w:rsid w:val="02486FA3"/>
    <w:rsid w:val="03BF5149"/>
    <w:rsid w:val="041E18D4"/>
    <w:rsid w:val="04E01777"/>
    <w:rsid w:val="055167AC"/>
    <w:rsid w:val="05665D07"/>
    <w:rsid w:val="05905DF7"/>
    <w:rsid w:val="05A63A8C"/>
    <w:rsid w:val="073308E6"/>
    <w:rsid w:val="08B86E03"/>
    <w:rsid w:val="08C80B30"/>
    <w:rsid w:val="092034C7"/>
    <w:rsid w:val="092C5938"/>
    <w:rsid w:val="09767F5F"/>
    <w:rsid w:val="09CD607B"/>
    <w:rsid w:val="09E04844"/>
    <w:rsid w:val="09EE7B05"/>
    <w:rsid w:val="0A196B4D"/>
    <w:rsid w:val="0A2D197E"/>
    <w:rsid w:val="0A8E4B44"/>
    <w:rsid w:val="0AB25BCB"/>
    <w:rsid w:val="0B2145C6"/>
    <w:rsid w:val="0B91068C"/>
    <w:rsid w:val="0C466F00"/>
    <w:rsid w:val="0CC6293D"/>
    <w:rsid w:val="0CD049A0"/>
    <w:rsid w:val="0D0906C9"/>
    <w:rsid w:val="0D126C7E"/>
    <w:rsid w:val="0E1C20A0"/>
    <w:rsid w:val="10912EC3"/>
    <w:rsid w:val="11467B6E"/>
    <w:rsid w:val="11E85BC4"/>
    <w:rsid w:val="128727B8"/>
    <w:rsid w:val="13571F9E"/>
    <w:rsid w:val="13B0220C"/>
    <w:rsid w:val="13BD10E1"/>
    <w:rsid w:val="14420D88"/>
    <w:rsid w:val="15B12C0B"/>
    <w:rsid w:val="15CC6AEE"/>
    <w:rsid w:val="167A7DAC"/>
    <w:rsid w:val="17726828"/>
    <w:rsid w:val="184247A3"/>
    <w:rsid w:val="18465535"/>
    <w:rsid w:val="198B5630"/>
    <w:rsid w:val="19EC6CCB"/>
    <w:rsid w:val="1AEC4059"/>
    <w:rsid w:val="1B023953"/>
    <w:rsid w:val="1CCE4908"/>
    <w:rsid w:val="1E212D2C"/>
    <w:rsid w:val="1FAF6052"/>
    <w:rsid w:val="20C36435"/>
    <w:rsid w:val="2150290B"/>
    <w:rsid w:val="220F56F1"/>
    <w:rsid w:val="247C01A4"/>
    <w:rsid w:val="24F075EF"/>
    <w:rsid w:val="25235D17"/>
    <w:rsid w:val="257D4325"/>
    <w:rsid w:val="25863B04"/>
    <w:rsid w:val="25AC2F56"/>
    <w:rsid w:val="267F7783"/>
    <w:rsid w:val="26D0546D"/>
    <w:rsid w:val="26E95C38"/>
    <w:rsid w:val="26F8146C"/>
    <w:rsid w:val="286363C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1DA308D"/>
    <w:rsid w:val="32AC4DF2"/>
    <w:rsid w:val="32CC4C19"/>
    <w:rsid w:val="32DF6E6C"/>
    <w:rsid w:val="32EA53D2"/>
    <w:rsid w:val="333D17B4"/>
    <w:rsid w:val="33610BC3"/>
    <w:rsid w:val="33D07626"/>
    <w:rsid w:val="3426478E"/>
    <w:rsid w:val="34FB0156"/>
    <w:rsid w:val="350A2D03"/>
    <w:rsid w:val="3740068C"/>
    <w:rsid w:val="37A46854"/>
    <w:rsid w:val="37BA6B14"/>
    <w:rsid w:val="381F7139"/>
    <w:rsid w:val="3A064448"/>
    <w:rsid w:val="3ADB63A2"/>
    <w:rsid w:val="3B461731"/>
    <w:rsid w:val="3B607653"/>
    <w:rsid w:val="3B856732"/>
    <w:rsid w:val="3BA537DF"/>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3E77D66"/>
    <w:rsid w:val="441377A8"/>
    <w:rsid w:val="45D13C93"/>
    <w:rsid w:val="45F5412F"/>
    <w:rsid w:val="465042E3"/>
    <w:rsid w:val="473138EC"/>
    <w:rsid w:val="4755784C"/>
    <w:rsid w:val="47771AC7"/>
    <w:rsid w:val="48AF480F"/>
    <w:rsid w:val="49100CD7"/>
    <w:rsid w:val="4A9B6FBB"/>
    <w:rsid w:val="4B7904A6"/>
    <w:rsid w:val="4BBB11F2"/>
    <w:rsid w:val="4CFD02CC"/>
    <w:rsid w:val="4E5A0389"/>
    <w:rsid w:val="4E867B2E"/>
    <w:rsid w:val="4F9E443B"/>
    <w:rsid w:val="4FAA4B6A"/>
    <w:rsid w:val="503D1CD1"/>
    <w:rsid w:val="50595446"/>
    <w:rsid w:val="50EB7180"/>
    <w:rsid w:val="51075C5A"/>
    <w:rsid w:val="51076E80"/>
    <w:rsid w:val="525F1ECA"/>
    <w:rsid w:val="52F12FDC"/>
    <w:rsid w:val="52F77142"/>
    <w:rsid w:val="53112AB6"/>
    <w:rsid w:val="537D5B1F"/>
    <w:rsid w:val="53885680"/>
    <w:rsid w:val="56172308"/>
    <w:rsid w:val="57A82F18"/>
    <w:rsid w:val="59503A2E"/>
    <w:rsid w:val="59771907"/>
    <w:rsid w:val="599F2EC1"/>
    <w:rsid w:val="59E5547D"/>
    <w:rsid w:val="5A246F8E"/>
    <w:rsid w:val="5B4D74F0"/>
    <w:rsid w:val="5BBD391F"/>
    <w:rsid w:val="5E661FE6"/>
    <w:rsid w:val="5EA96802"/>
    <w:rsid w:val="5ED72AC2"/>
    <w:rsid w:val="5EDA1941"/>
    <w:rsid w:val="5F9C06A7"/>
    <w:rsid w:val="612A4F36"/>
    <w:rsid w:val="62A819D0"/>
    <w:rsid w:val="62C124BF"/>
    <w:rsid w:val="62EC7940"/>
    <w:rsid w:val="638C1840"/>
    <w:rsid w:val="643F2933"/>
    <w:rsid w:val="648C501F"/>
    <w:rsid w:val="64D65719"/>
    <w:rsid w:val="64E6300A"/>
    <w:rsid w:val="65D71B2D"/>
    <w:rsid w:val="677102A6"/>
    <w:rsid w:val="6A462692"/>
    <w:rsid w:val="6A6E367C"/>
    <w:rsid w:val="6C0C505C"/>
    <w:rsid w:val="6CAB69A8"/>
    <w:rsid w:val="6CBE1293"/>
    <w:rsid w:val="6D0464DC"/>
    <w:rsid w:val="6D102A04"/>
    <w:rsid w:val="6E146DCC"/>
    <w:rsid w:val="6E252855"/>
    <w:rsid w:val="6E2D073C"/>
    <w:rsid w:val="6F45735D"/>
    <w:rsid w:val="72A6388B"/>
    <w:rsid w:val="7525795F"/>
    <w:rsid w:val="76783F89"/>
    <w:rsid w:val="77737045"/>
    <w:rsid w:val="7AC4542B"/>
    <w:rsid w:val="7AD249BD"/>
    <w:rsid w:val="7B155F4D"/>
    <w:rsid w:val="7B4C46EE"/>
    <w:rsid w:val="7BC52524"/>
    <w:rsid w:val="7C1D3BDA"/>
    <w:rsid w:val="7C4476A9"/>
    <w:rsid w:val="7CAC498B"/>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8"/>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3"/>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2"/>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0"/>
    <w:autoRedefine/>
    <w:qFormat/>
    <w:uiPriority w:val="0"/>
    <w:pPr>
      <w:keepNext/>
      <w:outlineLvl w:val="4"/>
    </w:pPr>
    <w:rPr>
      <w:rFonts w:hAnsi="Arial"/>
      <w:bCs/>
      <w:kern w:val="2"/>
      <w:sz w:val="28"/>
    </w:rPr>
  </w:style>
  <w:style w:type="paragraph" w:styleId="7">
    <w:name w:val="heading 6"/>
    <w:basedOn w:val="1"/>
    <w:next w:val="1"/>
    <w:link w:val="125"/>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List Number 2"/>
    <w:basedOn w:val="1"/>
    <w:autoRedefine/>
    <w:semiHidden/>
    <w:unhideWhenUsed/>
    <w:qFormat/>
    <w:uiPriority w:val="99"/>
    <w:pPr>
      <w:numPr>
        <w:ilvl w:val="0"/>
        <w:numId w:val="1"/>
      </w:numPr>
    </w:p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0"/>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1"/>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29"/>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3"/>
    <w:autoRedefine/>
    <w:qFormat/>
    <w:uiPriority w:val="0"/>
    <w:rPr>
      <w:rFonts w:ascii="仿宋_GB2312" w:eastAsia="仿宋_GB2312"/>
      <w:sz w:val="28"/>
    </w:rPr>
  </w:style>
  <w:style w:type="paragraph" w:styleId="24">
    <w:name w:val="Body Text 3"/>
    <w:basedOn w:val="1"/>
    <w:link w:val="128"/>
    <w:autoRedefine/>
    <w:qFormat/>
    <w:uiPriority w:val="0"/>
    <w:rPr>
      <w:rFonts w:ascii="黑体" w:hAnsi="Arial" w:eastAsia="黑体"/>
      <w:b/>
      <w:sz w:val="28"/>
    </w:rPr>
  </w:style>
  <w:style w:type="paragraph" w:styleId="25">
    <w:name w:val="Body Text"/>
    <w:basedOn w:val="1"/>
    <w:next w:val="26"/>
    <w:link w:val="173"/>
    <w:autoRedefine/>
    <w:qFormat/>
    <w:uiPriority w:val="0"/>
    <w:rPr>
      <w:rFonts w:hAnsi="Arial"/>
      <w:kern w:val="2"/>
      <w:sz w:val="28"/>
    </w:rPr>
  </w:style>
  <w:style w:type="paragraph" w:styleId="26">
    <w:name w:val="Date"/>
    <w:basedOn w:val="1"/>
    <w:next w:val="1"/>
    <w:link w:val="92"/>
    <w:autoRedefine/>
    <w:qFormat/>
    <w:uiPriority w:val="0"/>
    <w:rPr>
      <w:rFonts w:ascii="Times New Roman"/>
      <w:b/>
      <w:kern w:val="2"/>
      <w:sz w:val="28"/>
    </w:rPr>
  </w:style>
  <w:style w:type="paragraph" w:styleId="27">
    <w:name w:val="Body Text Indent"/>
    <w:basedOn w:val="1"/>
    <w:next w:val="28"/>
    <w:link w:val="74"/>
    <w:autoRedefine/>
    <w:qFormat/>
    <w:uiPriority w:val="0"/>
    <w:pPr>
      <w:ind w:firstLine="645"/>
    </w:pPr>
    <w:rPr>
      <w:rFonts w:ascii="楷体_GB2312" w:eastAsia="楷体_GB2312"/>
      <w:kern w:val="2"/>
      <w:sz w:val="32"/>
    </w:rPr>
  </w:style>
  <w:style w:type="paragraph" w:styleId="28">
    <w:name w:val="envelope return"/>
    <w:basedOn w:val="1"/>
    <w:autoRedefine/>
    <w:qFormat/>
    <w:uiPriority w:val="0"/>
    <w:pPr>
      <w:snapToGrid w:val="0"/>
    </w:pPr>
    <w:rPr>
      <w:rFonts w:ascii="Arial" w:hAnsi="Arial" w:cs="Arial"/>
      <w:szCs w:val="24"/>
    </w:rPr>
  </w:style>
  <w:style w:type="paragraph" w:styleId="29">
    <w:name w:val="List 2"/>
    <w:basedOn w:val="1"/>
    <w:autoRedefine/>
    <w:qFormat/>
    <w:uiPriority w:val="0"/>
    <w:pPr>
      <w:ind w:left="100" w:leftChars="200" w:hanging="200" w:hangingChars="200"/>
    </w:pPr>
    <w:rPr>
      <w:szCs w:val="24"/>
    </w:rPr>
  </w:style>
  <w:style w:type="paragraph" w:styleId="30">
    <w:name w:val="List Continue"/>
    <w:basedOn w:val="1"/>
    <w:autoRedefine/>
    <w:qFormat/>
    <w:uiPriority w:val="0"/>
    <w:pPr>
      <w:spacing w:after="120"/>
      <w:ind w:left="420" w:leftChars="200"/>
    </w:pPr>
    <w:rPr>
      <w:szCs w:val="24"/>
    </w:rPr>
  </w:style>
  <w:style w:type="paragraph" w:styleId="31">
    <w:name w:val="Block Text"/>
    <w:basedOn w:val="1"/>
    <w:autoRedefine/>
    <w:qFormat/>
    <w:uiPriority w:val="0"/>
    <w:pPr>
      <w:spacing w:after="120"/>
      <w:ind w:left="1440" w:leftChars="700" w:right="1440" w:rightChars="700"/>
    </w:pPr>
    <w:rPr>
      <w:szCs w:val="24"/>
    </w:rPr>
  </w:style>
  <w:style w:type="paragraph" w:styleId="32">
    <w:name w:val="index 4"/>
    <w:basedOn w:val="1"/>
    <w:next w:val="1"/>
    <w:autoRedefine/>
    <w:qFormat/>
    <w:uiPriority w:val="0"/>
    <w:pPr>
      <w:ind w:left="600" w:leftChars="600"/>
    </w:pPr>
  </w:style>
  <w:style w:type="paragraph" w:styleId="33">
    <w:name w:val="toc 5"/>
    <w:basedOn w:val="1"/>
    <w:next w:val="1"/>
    <w:autoRedefine/>
    <w:qFormat/>
    <w:uiPriority w:val="39"/>
    <w:pPr>
      <w:ind w:left="840"/>
      <w:jc w:val="left"/>
    </w:pPr>
    <w:rPr>
      <w:szCs w:val="21"/>
    </w:rPr>
  </w:style>
  <w:style w:type="paragraph" w:styleId="34">
    <w:name w:val="toc 3"/>
    <w:basedOn w:val="1"/>
    <w:next w:val="1"/>
    <w:autoRedefine/>
    <w:qFormat/>
    <w:uiPriority w:val="39"/>
    <w:pPr>
      <w:ind w:left="420"/>
      <w:jc w:val="left"/>
    </w:pPr>
    <w:rPr>
      <w:i/>
      <w:iCs/>
      <w:szCs w:val="24"/>
    </w:rPr>
  </w:style>
  <w:style w:type="paragraph" w:styleId="35">
    <w:name w:val="Plain Text"/>
    <w:basedOn w:val="1"/>
    <w:link w:val="160"/>
    <w:autoRedefine/>
    <w:qFormat/>
    <w:uiPriority w:val="0"/>
    <w:rPr>
      <w:rFonts w:hAnsi="Courier New"/>
      <w:kern w:val="2"/>
      <w:sz w:val="21"/>
    </w:rPr>
  </w:style>
  <w:style w:type="paragraph" w:styleId="36">
    <w:name w:val="toc 8"/>
    <w:basedOn w:val="1"/>
    <w:next w:val="1"/>
    <w:autoRedefine/>
    <w:qFormat/>
    <w:uiPriority w:val="39"/>
    <w:pPr>
      <w:ind w:left="1470"/>
      <w:jc w:val="left"/>
    </w:pPr>
    <w:rPr>
      <w:szCs w:val="21"/>
    </w:rPr>
  </w:style>
  <w:style w:type="paragraph" w:styleId="37">
    <w:name w:val="index 3"/>
    <w:basedOn w:val="1"/>
    <w:next w:val="1"/>
    <w:autoRedefine/>
    <w:qFormat/>
    <w:uiPriority w:val="0"/>
    <w:pPr>
      <w:ind w:left="400" w:leftChars="400"/>
    </w:pPr>
  </w:style>
  <w:style w:type="paragraph" w:styleId="38">
    <w:name w:val="Body Text Indent 2"/>
    <w:basedOn w:val="1"/>
    <w:link w:val="176"/>
    <w:autoRedefine/>
    <w:qFormat/>
    <w:uiPriority w:val="0"/>
    <w:pPr>
      <w:ind w:left="630" w:firstLine="645"/>
    </w:pPr>
    <w:rPr>
      <w:rFonts w:ascii="Arial" w:hAnsi="Arial" w:eastAsia="仿宋_GB2312"/>
      <w:sz w:val="32"/>
    </w:rPr>
  </w:style>
  <w:style w:type="paragraph" w:styleId="39">
    <w:name w:val="Balloon Text"/>
    <w:basedOn w:val="1"/>
    <w:link w:val="85"/>
    <w:autoRedefine/>
    <w:qFormat/>
    <w:uiPriority w:val="99"/>
    <w:rPr>
      <w:sz w:val="18"/>
      <w:szCs w:val="18"/>
    </w:rPr>
  </w:style>
  <w:style w:type="paragraph" w:styleId="40">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6"/>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8"/>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1"/>
    <w:next w:val="21"/>
    <w:link w:val="180"/>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7"/>
    <w:next w:val="1"/>
    <w:autoRedefine/>
    <w:qFormat/>
    <w:uiPriority w:val="0"/>
    <w:pPr>
      <w:ind w:left="420" w:leftChars="200" w:firstLine="420" w:firstLineChars="200"/>
    </w:pPr>
  </w:style>
  <w:style w:type="table" w:styleId="66">
    <w:name w:val="Table Grid"/>
    <w:basedOn w:val="6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27"/>
    <w:autoRedefine/>
    <w:qFormat/>
    <w:uiPriority w:val="0"/>
    <w:rPr>
      <w:rFonts w:ascii="楷体_GB2312" w:eastAsia="楷体_GB2312"/>
      <w:kern w:val="2"/>
      <w:sz w:val="32"/>
    </w:rPr>
  </w:style>
  <w:style w:type="character" w:customStyle="1" w:styleId="75">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39"/>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4"/>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26"/>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3"/>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9"/>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3"/>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7"/>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9"/>
    <w:autoRedefine/>
    <w:qFormat/>
    <w:uiPriority w:val="0"/>
    <w:rPr>
      <w:rFonts w:ascii="Arial" w:hAnsi="Arial" w:eastAsia="黑体"/>
      <w:sz w:val="24"/>
      <w:szCs w:val="24"/>
      <w:lang w:val="en-US" w:eastAsia="zh-CN" w:bidi="ar-SA"/>
    </w:rPr>
  </w:style>
  <w:style w:type="character" w:customStyle="1" w:styleId="128">
    <w:name w:val="正文文本 3 字符"/>
    <w:link w:val="24"/>
    <w:autoRedefine/>
    <w:qFormat/>
    <w:uiPriority w:val="0"/>
    <w:rPr>
      <w:rFonts w:ascii="黑体" w:hAnsi="Arial" w:eastAsia="黑体"/>
      <w:b/>
      <w:sz w:val="28"/>
    </w:rPr>
  </w:style>
  <w:style w:type="character" w:customStyle="1" w:styleId="129">
    <w:name w:val="批注文字 字符"/>
    <w:link w:val="21"/>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autoRedefine/>
    <w:qFormat/>
    <w:uiPriority w:val="0"/>
    <w:rPr>
      <w:rFonts w:hint="eastAsia" w:ascii="宋体" w:hAnsi="宋体" w:eastAsia="宋体" w:cs="宋体"/>
      <w:color w:val="FF0000"/>
      <w:sz w:val="24"/>
      <w:szCs w:val="24"/>
      <w:u w:val="none"/>
    </w:rPr>
  </w:style>
  <w:style w:type="character" w:customStyle="1" w:styleId="143">
    <w:name w:val="标题 3 字符"/>
    <w:link w:val="4"/>
    <w:autoRedefine/>
    <w:qFormat/>
    <w:uiPriority w:val="0"/>
    <w:rPr>
      <w:rFonts w:ascii="宋体" w:eastAsia="宋体"/>
      <w:b/>
      <w:bCs/>
      <w:kern w:val="2"/>
      <w:sz w:val="32"/>
      <w:szCs w:val="32"/>
      <w:lang w:val="en-US" w:eastAsia="zh-CN" w:bidi="ar-SA"/>
    </w:rPr>
  </w:style>
  <w:style w:type="character" w:customStyle="1" w:styleId="144">
    <w:name w:val="标题 9 字符"/>
    <w:link w:val="10"/>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5"/>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1"/>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3"/>
    <w:next w:val="32"/>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5"/>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1"/>
    <w:autoRedefine/>
    <w:qFormat/>
    <w:uiPriority w:val="0"/>
    <w:rPr>
      <w:rFonts w:ascii="Cambria" w:hAnsi="Cambria"/>
      <w:b/>
      <w:bCs/>
      <w:kern w:val="2"/>
      <w:sz w:val="32"/>
      <w:szCs w:val="32"/>
      <w:lang w:bidi="ar-SA"/>
    </w:rPr>
  </w:style>
  <w:style w:type="character" w:customStyle="1" w:styleId="167">
    <w:name w:val="脚注文本 字符"/>
    <w:link w:val="49"/>
    <w:autoRedefine/>
    <w:qFormat/>
    <w:uiPriority w:val="0"/>
    <w:rPr>
      <w:rFonts w:ascii="Calibri" w:hAnsi="Calibri"/>
      <w:bCs/>
      <w:sz w:val="18"/>
    </w:rPr>
  </w:style>
  <w:style w:type="character" w:customStyle="1" w:styleId="168">
    <w:name w:val="标题 1 字符"/>
    <w:link w:val="2"/>
    <w:autoRedefine/>
    <w:qFormat/>
    <w:uiPriority w:val="0"/>
    <w:rPr>
      <w:rFonts w:eastAsia="宋体"/>
      <w:b/>
      <w:bCs/>
      <w:kern w:val="44"/>
      <w:sz w:val="30"/>
      <w:szCs w:val="44"/>
      <w:lang w:val="en-US" w:eastAsia="zh-CN" w:bidi="ar-SA"/>
    </w:rPr>
  </w:style>
  <w:style w:type="character" w:customStyle="1" w:styleId="169">
    <w:name w:val="font11"/>
    <w:autoRedefine/>
    <w:qFormat/>
    <w:uiPriority w:val="0"/>
    <w:rPr>
      <w:rFonts w:hint="eastAsia" w:ascii="宋体" w:hAnsi="宋体" w:eastAsia="宋体" w:cs="宋体"/>
      <w:color w:val="000000"/>
      <w:sz w:val="24"/>
      <w:szCs w:val="24"/>
      <w:u w:val="none"/>
    </w:rPr>
  </w:style>
  <w:style w:type="character" w:customStyle="1" w:styleId="170">
    <w:name w:val="标题 5 字符"/>
    <w:link w:val="6"/>
    <w:autoRedefine/>
    <w:qFormat/>
    <w:uiPriority w:val="0"/>
    <w:rPr>
      <w:rFonts w:ascii="宋体" w:hAnsi="Arial" w:eastAsia="宋体"/>
      <w:bCs/>
      <w:kern w:val="2"/>
      <w:sz w:val="28"/>
      <w:lang w:val="en-US" w:eastAsia="zh-CN" w:bidi="ar-SA"/>
    </w:rPr>
  </w:style>
  <w:style w:type="character" w:customStyle="1" w:styleId="171">
    <w:name w:val="font21"/>
    <w:autoRedefine/>
    <w:qFormat/>
    <w:uiPriority w:val="0"/>
    <w:rPr>
      <w:rFonts w:hint="eastAsia" w:ascii="仿宋" w:hAnsi="仿宋" w:eastAsia="仿宋" w:cs="仿宋"/>
      <w:color w:val="000000"/>
      <w:sz w:val="24"/>
      <w:szCs w:val="24"/>
      <w:u w:val="none"/>
    </w:rPr>
  </w:style>
  <w:style w:type="character" w:customStyle="1" w:styleId="172">
    <w:name w:val="标题 7 字符"/>
    <w:link w:val="8"/>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5"/>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8"/>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2"/>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40"/>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5"/>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autoRedefine/>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20817</Words>
  <Characters>22356</Characters>
  <Lines>144</Lines>
  <Paragraphs>40</Paragraphs>
  <TotalTime>40</TotalTime>
  <ScaleCrop>false</ScaleCrop>
  <LinksUpToDate>false</LinksUpToDate>
  <CharactersWithSpaces>24014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张静</cp:lastModifiedBy>
  <cp:lastPrinted>2023-08-22T02:52:00Z</cp:lastPrinted>
  <dcterms:modified xsi:type="dcterms:W3CDTF">2024-08-02T00:52:36Z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E82811BAC73B460492FA5805AC713E34</vt:lpwstr>
  </property>
</Properties>
</file>