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left="1695" w:hanging="1695" w:hangingChars="50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2024公用公司停车场软件系统和设施设备维保及电子发票功能运行维护</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编号：</w:t>
      </w:r>
      <w:r>
        <w:rPr>
          <w:rFonts w:hint="eastAsia" w:hAnsi="DotumChe" w:cs="宋体"/>
          <w:b/>
          <w:color w:val="000000"/>
          <w:spacing w:val="20"/>
          <w:sz w:val="32"/>
          <w:szCs w:val="32"/>
          <w:highlight w:val="none"/>
          <w:lang w:eastAsia="zh-CN"/>
        </w:rPr>
        <w:t>GYGSZB-2024026</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10</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4"/>
          <w:color w:val="000000"/>
          <w:sz w:val="28"/>
          <w:szCs w:val="28"/>
          <w:highlight w:val="none"/>
          <w:u w:val="none"/>
        </w:rPr>
      </w:pPr>
      <w:bookmarkStart w:id="0" w:name="_Hlt526418134"/>
      <w:bookmarkEnd w:id="0"/>
      <w:bookmarkStart w:id="1" w:name="_Hlt533241375"/>
      <w:bookmarkEnd w:id="1"/>
      <w:bookmarkStart w:id="2" w:name="_Hlt519045295"/>
      <w:bookmarkEnd w:id="2"/>
      <w:r>
        <w:rPr>
          <w:rStyle w:val="74"/>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4"/>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4"/>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4"/>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4"/>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4"/>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4"/>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4"/>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4"/>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4"/>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4"/>
          <w:rFonts w:hint="eastAsia" w:hAnsi="宋体"/>
          <w:color w:val="000000"/>
          <w:sz w:val="28"/>
          <w:szCs w:val="28"/>
          <w:highlight w:val="none"/>
        </w:rPr>
        <w:t>四</w:t>
      </w:r>
      <w:r>
        <w:rPr>
          <w:rStyle w:val="74"/>
          <w:rFonts w:hAnsi="宋体"/>
          <w:color w:val="000000"/>
          <w:sz w:val="28"/>
          <w:szCs w:val="28"/>
          <w:highlight w:val="none"/>
        </w:rPr>
        <w:t>、</w:t>
      </w:r>
      <w:r>
        <w:rPr>
          <w:rStyle w:val="74"/>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4"/>
          <w:rFonts w:hint="eastAsia" w:hAnsi="宋体"/>
          <w:color w:val="000000"/>
          <w:sz w:val="28"/>
          <w:szCs w:val="28"/>
          <w:highlight w:val="none"/>
        </w:rPr>
        <w:t>五、采购</w:t>
      </w:r>
      <w:bookmarkStart w:id="3" w:name="_Hlt527617982"/>
      <w:bookmarkStart w:id="4" w:name="_Hlt527617983"/>
      <w:r>
        <w:rPr>
          <w:rStyle w:val="74"/>
          <w:rFonts w:hint="eastAsia" w:hAnsi="宋体"/>
          <w:color w:val="000000"/>
          <w:sz w:val="28"/>
          <w:szCs w:val="28"/>
          <w:highlight w:val="none"/>
        </w:rPr>
        <w:t>需</w:t>
      </w:r>
      <w:bookmarkEnd w:id="3"/>
      <w:bookmarkEnd w:id="4"/>
      <w:r>
        <w:rPr>
          <w:rStyle w:val="74"/>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4"/>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2024公用公司停车场软件系统和设施设备维保及电子发票功能运行维护</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GYGSZB-2024026</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2024公用公司停车场软件系统和设施设备维保及电子发票功能运行维护</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olor w:val="000000"/>
          <w:szCs w:val="18"/>
          <w:highlight w:val="none"/>
        </w:rPr>
        <w:t>5、项目概况：</w:t>
      </w:r>
      <w:r>
        <w:rPr>
          <w:rFonts w:hint="eastAsia" w:hAnsi="宋体" w:cs="宋体"/>
          <w:b w:val="0"/>
          <w:bCs w:val="0"/>
          <w:color w:val="000000"/>
          <w:sz w:val="24"/>
          <w:szCs w:val="24"/>
          <w:highlight w:val="none"/>
          <w:lang w:val="en-US" w:eastAsia="zh-CN"/>
        </w:rPr>
        <w:t>公用公司管理范围内</w:t>
      </w:r>
      <w:r>
        <w:rPr>
          <w:rFonts w:hint="eastAsia" w:ascii="宋体" w:hAnsi="宋体" w:eastAsia="宋体" w:cs="宋体"/>
          <w:b w:val="0"/>
          <w:bCs w:val="0"/>
          <w:color w:val="000000"/>
          <w:sz w:val="24"/>
          <w:szCs w:val="24"/>
          <w:highlight w:val="none"/>
          <w:lang w:val="en-US" w:eastAsia="zh-CN"/>
        </w:rPr>
        <w:t>停车场的停车系统软件、设施设备需进行维护保养，同时对停车场电子发票进行运行维护。</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val="en-US" w:eastAsia="zh-CN"/>
        </w:rPr>
        <w:t>、资金来源：自筹</w:t>
      </w:r>
    </w:p>
    <w:p>
      <w:pPr>
        <w:autoSpaceDE w:val="0"/>
        <w:autoSpaceDN w:val="0"/>
        <w:adjustRightInd w:val="0"/>
        <w:spacing w:line="360" w:lineRule="auto"/>
        <w:ind w:firstLine="438" w:firstLineChars="200"/>
        <w:jc w:val="left"/>
        <w:rPr>
          <w:rFonts w:hint="eastAsia"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lang w:val="en-US" w:eastAsia="zh-CN"/>
        </w:rPr>
        <w:t>、项目预算：</w:t>
      </w:r>
      <w:r>
        <w:rPr>
          <w:rFonts w:hint="eastAsia" w:hAnsi="宋体" w:cs="宋体"/>
          <w:b w:val="0"/>
          <w:bCs w:val="0"/>
          <w:color w:val="000000"/>
          <w:sz w:val="24"/>
          <w:szCs w:val="24"/>
          <w:highlight w:val="none"/>
          <w:lang w:val="en-US" w:eastAsia="zh-CN"/>
        </w:rPr>
        <w:t>64000</w:t>
      </w:r>
      <w:r>
        <w:rPr>
          <w:rFonts w:hint="eastAsia" w:ascii="宋体" w:hAnsi="宋体" w:eastAsia="宋体" w:cs="宋体"/>
          <w:b w:val="0"/>
          <w:bCs w:val="0"/>
          <w:color w:val="000000"/>
          <w:sz w:val="24"/>
          <w:szCs w:val="24"/>
          <w:highlight w:val="none"/>
          <w:lang w:val="en-US" w:eastAsia="zh-CN"/>
        </w:rPr>
        <w:t>元/年</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en-US" w:eastAsia="zh-CN"/>
        </w:rPr>
        <w:t>、项目类别：服务类</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widowControl/>
        <w:spacing w:line="360" w:lineRule="auto"/>
        <w:ind w:firstLine="438" w:firstLineChars="200"/>
        <w:rPr>
          <w:rFonts w:hint="eastAsia" w:ascii="宋体" w:hAnsi="Times New Roman" w:eastAsia="宋体" w:cs="Times New Roman"/>
          <w:b w:val="0"/>
          <w:bCs w:val="0"/>
          <w:color w:val="000000"/>
          <w:sz w:val="24"/>
          <w:szCs w:val="18"/>
          <w:highlight w:val="none"/>
          <w:lang w:val="en-US" w:eastAsia="zh-CN" w:bidi="ar-SA"/>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p>
      <w:pPr>
        <w:numPr>
          <w:ilvl w:val="0"/>
          <w:numId w:val="0"/>
        </w:num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 xml:space="preserve"> 10</w:t>
      </w:r>
      <w:r>
        <w:rPr>
          <w:rFonts w:hint="eastAsia" w:hAnsi="宋体"/>
          <w:color w:val="auto"/>
          <w:szCs w:val="18"/>
          <w:highlight w:val="none"/>
        </w:rPr>
        <w:t>月</w:t>
      </w:r>
      <w:r>
        <w:rPr>
          <w:rFonts w:hint="eastAsia" w:hAnsi="宋体"/>
          <w:color w:val="auto"/>
          <w:szCs w:val="18"/>
          <w:highlight w:val="none"/>
          <w:lang w:val="en-US" w:eastAsia="zh-CN"/>
        </w:rPr>
        <w:t xml:space="preserve"> 15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bookmarkStart w:id="203" w:name="_GoBack"/>
      <w:bookmarkEnd w:id="203"/>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spacing w:line="360" w:lineRule="auto"/>
        <w:ind w:firstLine="435"/>
        <w:rPr>
          <w:rFonts w:ascii="宋体" w:hAnsi="宋体" w:eastAsia="宋体"/>
          <w:sz w:val="24"/>
          <w:szCs w:val="18"/>
        </w:rPr>
      </w:pPr>
      <w:r>
        <w:rPr>
          <w:rFonts w:hint="eastAsia" w:hAnsi="宋体" w:cs="宋体"/>
          <w:highlight w:val="none"/>
        </w:rPr>
        <w:t>项目采购联系人：</w:t>
      </w:r>
      <w:r>
        <w:rPr>
          <w:rFonts w:hint="eastAsia" w:ascii="宋体" w:hAnsi="宋体" w:eastAsia="宋体"/>
          <w:sz w:val="24"/>
          <w:szCs w:val="18"/>
          <w:lang w:val="en-US" w:eastAsia="zh-CN"/>
        </w:rPr>
        <w:t>张</w:t>
      </w:r>
      <w:r>
        <w:rPr>
          <w:rFonts w:hint="eastAsia" w:ascii="宋体" w:hAnsi="宋体" w:eastAsia="宋体"/>
          <w:sz w:val="24"/>
          <w:szCs w:val="18"/>
        </w:rPr>
        <w:t>工</w:t>
      </w:r>
    </w:p>
    <w:p>
      <w:pPr>
        <w:spacing w:line="360" w:lineRule="auto"/>
        <w:ind w:firstLine="435"/>
        <w:rPr>
          <w:rFonts w:hint="default" w:hAnsi="宋体" w:eastAsia="宋体" w:cs="宋体"/>
          <w:highlight w:val="none"/>
          <w:lang w:val="en-US" w:eastAsia="zh-CN"/>
        </w:rPr>
      </w:pPr>
      <w:r>
        <w:rPr>
          <w:rFonts w:hint="eastAsia" w:ascii="宋体" w:hAnsi="宋体" w:eastAsia="宋体"/>
          <w:sz w:val="24"/>
          <w:szCs w:val="18"/>
        </w:rPr>
        <w:t>电 话：</w:t>
      </w:r>
      <w:r>
        <w:rPr>
          <w:rFonts w:ascii="宋体" w:hAnsi="宋体" w:eastAsia="宋体"/>
          <w:sz w:val="24"/>
          <w:szCs w:val="18"/>
        </w:rPr>
        <w:t>0551-638110</w:t>
      </w:r>
      <w:r>
        <w:rPr>
          <w:rFonts w:hint="eastAsia" w:ascii="宋体" w:hAnsi="宋体" w:eastAsia="宋体"/>
          <w:sz w:val="24"/>
          <w:szCs w:val="18"/>
        </w:rPr>
        <w:t>71</w:t>
      </w:r>
      <w:r>
        <w:rPr>
          <w:rFonts w:hint="eastAsia" w:ascii="宋体" w:hAnsi="宋体" w:eastAsia="宋体"/>
          <w:sz w:val="24"/>
          <w:szCs w:val="18"/>
          <w:lang w:val="en-US" w:eastAsia="zh-CN"/>
        </w:rPr>
        <w:t xml:space="preserve">  0551-63811083</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int="eastAsia" w:hAnsi="宋体" w:cs="宋体"/>
          <w:highlight w:val="none"/>
        </w:rPr>
      </w:pPr>
      <w:r>
        <w:rPr>
          <w:rFonts w:hint="eastAsia" w:hAnsi="宋体" w:cs="宋体"/>
          <w:highlight w:val="none"/>
        </w:rPr>
        <w:t>2、报名中有任何疑问或问题，请在工作时间（周一至周五，上午9:00-12:00，下午2:00-5:30，节假日休息）与项目联系人联系。</w:t>
      </w:r>
      <w:bookmarkStart w:id="7" w:name="_Toc527131313"/>
    </w:p>
    <w:p>
      <w:pPr>
        <w:autoSpaceDE w:val="0"/>
        <w:autoSpaceDN w:val="0"/>
        <w:adjustRightInd w:val="0"/>
        <w:spacing w:line="360" w:lineRule="auto"/>
        <w:ind w:firstLine="438" w:firstLineChars="200"/>
        <w:jc w:val="left"/>
        <w:rPr>
          <w:rFonts w:hAnsi="宋体"/>
          <w:b/>
          <w:color w:val="000000"/>
          <w:highlight w:val="none"/>
        </w:rPr>
      </w:pPr>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85"/>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785" w:type="dxa"/>
            <w:vAlign w:val="center"/>
          </w:tcPr>
          <w:p>
            <w:pPr>
              <w:jc w:val="center"/>
              <w:rPr>
                <w:rFonts w:hAnsi="宋体"/>
                <w:b/>
                <w:color w:val="000000"/>
                <w:highlight w:val="none"/>
              </w:rPr>
            </w:pPr>
            <w:r>
              <w:rPr>
                <w:rFonts w:hint="eastAsia" w:hAnsi="宋体"/>
                <w:b/>
                <w:color w:val="000000"/>
                <w:highlight w:val="none"/>
              </w:rPr>
              <w:t>内容</w:t>
            </w:r>
          </w:p>
        </w:tc>
        <w:tc>
          <w:tcPr>
            <w:tcW w:w="7025" w:type="dxa"/>
            <w:vAlign w:val="center"/>
          </w:tcPr>
          <w:p>
            <w:pPr>
              <w:pStyle w:val="238"/>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1</w:t>
            </w:r>
          </w:p>
        </w:tc>
        <w:tc>
          <w:tcPr>
            <w:tcW w:w="1785" w:type="dxa"/>
            <w:vAlign w:val="center"/>
          </w:tcPr>
          <w:p>
            <w:pPr>
              <w:jc w:val="center"/>
              <w:rPr>
                <w:rFonts w:hAnsi="宋体"/>
                <w:bCs/>
                <w:color w:val="000000"/>
                <w:highlight w:val="none"/>
              </w:rPr>
            </w:pPr>
            <w:r>
              <w:rPr>
                <w:rFonts w:hint="eastAsia" w:hAnsi="宋体"/>
                <w:bCs/>
                <w:color w:val="000000"/>
                <w:highlight w:val="none"/>
              </w:rPr>
              <w:t>委托人</w:t>
            </w:r>
          </w:p>
        </w:tc>
        <w:tc>
          <w:tcPr>
            <w:tcW w:w="7025" w:type="dxa"/>
            <w:vAlign w:val="center"/>
          </w:tcPr>
          <w:p>
            <w:pPr>
              <w:pStyle w:val="238"/>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2</w:t>
            </w:r>
          </w:p>
        </w:tc>
        <w:tc>
          <w:tcPr>
            <w:tcW w:w="1785"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025" w:type="dxa"/>
            <w:vAlign w:val="center"/>
          </w:tcPr>
          <w:p>
            <w:pPr>
              <w:autoSpaceDE w:val="0"/>
              <w:autoSpaceDN w:val="0"/>
              <w:adjustRightInd w:val="0"/>
              <w:spacing w:line="360" w:lineRule="auto"/>
              <w:ind w:firstLine="438" w:firstLineChars="200"/>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2024公用公司停车场软件系统和设施设备维保及电子发票功能运行维护</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3</w:t>
            </w:r>
          </w:p>
        </w:tc>
        <w:tc>
          <w:tcPr>
            <w:tcW w:w="1785" w:type="dxa"/>
            <w:vAlign w:val="center"/>
          </w:tcPr>
          <w:p>
            <w:pPr>
              <w:jc w:val="center"/>
              <w:rPr>
                <w:rFonts w:hAnsi="宋体"/>
                <w:color w:val="000000"/>
                <w:highlight w:val="none"/>
              </w:rPr>
            </w:pPr>
            <w:r>
              <w:rPr>
                <w:rFonts w:hint="eastAsia" w:hAnsi="宋体"/>
                <w:color w:val="000000"/>
                <w:highlight w:val="none"/>
              </w:rPr>
              <w:t>供应商资格</w:t>
            </w:r>
          </w:p>
        </w:tc>
        <w:tc>
          <w:tcPr>
            <w:tcW w:w="7025" w:type="dxa"/>
            <w:vAlign w:val="center"/>
          </w:tcPr>
          <w:p>
            <w:pPr>
              <w:widowControl/>
              <w:spacing w:line="360" w:lineRule="auto"/>
              <w:rPr>
                <w:highlight w:val="none"/>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4</w:t>
            </w:r>
          </w:p>
        </w:tc>
        <w:tc>
          <w:tcPr>
            <w:tcW w:w="1785" w:type="dxa"/>
            <w:vAlign w:val="center"/>
          </w:tcPr>
          <w:p>
            <w:pPr>
              <w:jc w:val="center"/>
              <w:rPr>
                <w:rFonts w:hAnsi="宋体"/>
                <w:color w:val="000000"/>
                <w:highlight w:val="none"/>
              </w:rPr>
            </w:pPr>
            <w:r>
              <w:rPr>
                <w:rFonts w:hint="eastAsia" w:hAnsi="宋体"/>
                <w:color w:val="000000"/>
                <w:highlight w:val="none"/>
              </w:rPr>
              <w:t>项目性质</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服务</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5</w:t>
            </w:r>
          </w:p>
        </w:tc>
        <w:tc>
          <w:tcPr>
            <w:tcW w:w="1785" w:type="dxa"/>
            <w:vAlign w:val="center"/>
          </w:tcPr>
          <w:p>
            <w:pPr>
              <w:pStyle w:val="238"/>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785"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025"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025" w:type="dxa"/>
          </w:tcPr>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jc w:val="center"/>
              </w:trPr>
              <w:tc>
                <w:tcPr>
                  <w:tcW w:w="7157" w:type="dxa"/>
                </w:tcPr>
                <w:p>
                  <w:pPr>
                    <w:pStyle w:val="226"/>
                    <w:spacing w:line="500" w:lineRule="exact"/>
                    <w:rPr>
                      <w:rFonts w:hAnsi="宋体" w:cs="宋体"/>
                      <w:color w:val="000000"/>
                      <w:szCs w:val="21"/>
                      <w:highlight w:val="none"/>
                    </w:rPr>
                  </w:pPr>
                  <w:r>
                    <w:rPr>
                      <w:rFonts w:hint="eastAsia" w:hAnsi="宋体" w:cs="宋体"/>
                      <w:sz w:val="24"/>
                      <w:szCs w:val="24"/>
                      <w:highlight w:val="none"/>
                    </w:rPr>
                    <w:t>中标人</w:t>
                  </w:r>
                  <w:r>
                    <w:rPr>
                      <w:rFonts w:hAnsi="宋体" w:cs="宋体"/>
                      <w:sz w:val="24"/>
                      <w:szCs w:val="24"/>
                      <w:highlight w:val="none"/>
                    </w:rPr>
                    <w:t>必须先提供与结算金额等额、</w:t>
                  </w:r>
                  <w:r>
                    <w:rPr>
                      <w:rFonts w:hint="eastAsia" w:hAnsi="宋体" w:cs="宋体"/>
                      <w:sz w:val="24"/>
                      <w:szCs w:val="24"/>
                      <w:highlight w:val="none"/>
                    </w:rPr>
                    <w:t>内容一致、</w:t>
                  </w:r>
                  <w:r>
                    <w:rPr>
                      <w:rFonts w:hAnsi="宋体" w:cs="宋体"/>
                      <w:sz w:val="24"/>
                      <w:szCs w:val="24"/>
                      <w:highlight w:val="none"/>
                    </w:rPr>
                    <w:t>合法有效的增值税</w:t>
                  </w:r>
                  <w:r>
                    <w:rPr>
                      <w:rFonts w:hint="eastAsia" w:hAnsi="宋体" w:cs="宋体"/>
                      <w:sz w:val="24"/>
                      <w:szCs w:val="24"/>
                      <w:highlight w:val="none"/>
                    </w:rPr>
                    <w:t>专用</w:t>
                  </w:r>
                  <w:r>
                    <w:rPr>
                      <w:rFonts w:hAnsi="宋体" w:cs="宋体"/>
                      <w:sz w:val="24"/>
                      <w:szCs w:val="24"/>
                      <w:highlight w:val="none"/>
                    </w:rPr>
                    <w:t>发票后</w:t>
                  </w:r>
                  <w:r>
                    <w:rPr>
                      <w:rFonts w:hint="eastAsia" w:hAnsi="宋体" w:cs="宋体"/>
                      <w:sz w:val="24"/>
                      <w:szCs w:val="24"/>
                      <w:highlight w:val="none"/>
                      <w:lang w:eastAsia="zh-CN"/>
                    </w:rPr>
                    <w:t>，</w:t>
                  </w:r>
                  <w:r>
                    <w:rPr>
                      <w:rFonts w:hint="eastAsia" w:hAnsi="宋体" w:cs="宋体"/>
                      <w:sz w:val="24"/>
                      <w:szCs w:val="24"/>
                      <w:highlight w:val="none"/>
                      <w:lang w:val="en-US" w:eastAsia="zh-CN"/>
                    </w:rPr>
                    <w:t>招标人</w:t>
                  </w:r>
                  <w:r>
                    <w:rPr>
                      <w:rFonts w:hint="eastAsia" w:hAnsi="宋体" w:cs="宋体"/>
                      <w:sz w:val="24"/>
                      <w:szCs w:val="24"/>
                      <w:highlight w:val="none"/>
                    </w:rPr>
                    <w:t>方可</w:t>
                  </w:r>
                  <w:r>
                    <w:rPr>
                      <w:rFonts w:hint="eastAsia" w:hAnsi="宋体" w:cs="宋体"/>
                      <w:sz w:val="24"/>
                      <w:szCs w:val="24"/>
                      <w:highlight w:val="none"/>
                      <w:lang w:val="en-US" w:eastAsia="zh-CN"/>
                    </w:rPr>
                    <w:t>进行</w:t>
                  </w:r>
                  <w:r>
                    <w:rPr>
                      <w:rFonts w:hAnsi="宋体" w:cs="宋体"/>
                      <w:sz w:val="24"/>
                      <w:szCs w:val="24"/>
                      <w:highlight w:val="none"/>
                    </w:rPr>
                    <w:t>付款，否则招标人将拒绝支付</w:t>
                  </w:r>
                  <w:r>
                    <w:rPr>
                      <w:rFonts w:hint="eastAsia" w:hAnsi="宋体" w:cs="宋体"/>
                      <w:sz w:val="24"/>
                      <w:szCs w:val="24"/>
                      <w:highlight w:val="none"/>
                      <w:lang w:eastAsia="zh-CN"/>
                    </w:rPr>
                    <w:t>，</w:t>
                  </w:r>
                  <w:r>
                    <w:rPr>
                      <w:rFonts w:hint="eastAsia" w:hAnsi="宋体" w:cs="宋体"/>
                      <w:sz w:val="24"/>
                      <w:szCs w:val="24"/>
                      <w:highlight w:val="none"/>
                      <w:lang w:val="en-US" w:eastAsia="zh-CN"/>
                    </w:rPr>
                    <w:t>且</w:t>
                  </w:r>
                  <w:r>
                    <w:rPr>
                      <w:rFonts w:hAnsi="宋体" w:cs="宋体"/>
                      <w:sz w:val="24"/>
                      <w:szCs w:val="24"/>
                      <w:highlight w:val="none"/>
                    </w:rPr>
                    <w:t>一切税费由中标</w:t>
                  </w:r>
                  <w:r>
                    <w:rPr>
                      <w:rFonts w:hint="eastAsia" w:hAnsi="宋体" w:cs="宋体"/>
                      <w:sz w:val="24"/>
                      <w:szCs w:val="24"/>
                      <w:highlight w:val="none"/>
                    </w:rPr>
                    <w:t>人</w:t>
                  </w:r>
                  <w:r>
                    <w:rPr>
                      <w:rFonts w:hAnsi="宋体" w:cs="宋体"/>
                      <w:sz w:val="24"/>
                      <w:szCs w:val="24"/>
                      <w:highlight w:val="none"/>
                    </w:rPr>
                    <w:t>自行承担。</w:t>
                  </w:r>
                </w:p>
              </w:tc>
            </w:tr>
          </w:tbl>
          <w:p>
            <w:pPr>
              <w:numPr>
                <w:ilvl w:val="0"/>
                <w:numId w:val="1"/>
              </w:numPr>
              <w:spacing w:line="520" w:lineRule="exact"/>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025"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785" w:type="dxa"/>
          </w:tcPr>
          <w:p>
            <w:pPr>
              <w:spacing w:line="500" w:lineRule="exact"/>
              <w:ind w:firstLine="219" w:firstLineChars="100"/>
              <w:rPr>
                <w:rFonts w:hAnsi="宋体"/>
                <w:color w:val="000000"/>
                <w:highlight w:val="none"/>
              </w:rPr>
            </w:pPr>
            <w:r>
              <w:rPr>
                <w:rFonts w:hint="eastAsia" w:hAnsi="宋体"/>
                <w:color w:val="000000"/>
                <w:highlight w:val="none"/>
              </w:rPr>
              <w:t>服务地点</w:t>
            </w:r>
          </w:p>
        </w:tc>
        <w:tc>
          <w:tcPr>
            <w:tcW w:w="7025"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785"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025" w:type="dxa"/>
            <w:vAlign w:val="center"/>
          </w:tcPr>
          <w:p>
            <w:pPr>
              <w:spacing w:line="360" w:lineRule="auto"/>
              <w:ind w:firstLine="438" w:firstLineChars="200"/>
              <w:rPr>
                <w:rFonts w:hint="eastAsia" w:ascii="宋体" w:hAnsi="宋体" w:eastAsia="宋体" w:cs="Times New Roman"/>
                <w:sz w:val="24"/>
                <w:szCs w:val="24"/>
                <w:highlight w:val="none"/>
                <w:lang w:val="en-US" w:eastAsia="zh-CN"/>
              </w:rPr>
            </w:pPr>
            <w:r>
              <w:rPr>
                <w:rFonts w:hint="eastAsia" w:ascii="宋体" w:hAnsi="宋体" w:eastAsia="宋体" w:cs="宋体"/>
                <w:sz w:val="24"/>
                <w:szCs w:val="24"/>
                <w:highlight w:val="none"/>
                <w:u w:val="none"/>
                <w:lang w:val="en-US" w:eastAsia="zh-CN"/>
              </w:rPr>
              <w:t>本项目合同期限为1年，合同期满后，根据履约情况，经合同双方协商一致，可续签下一年度合同，合同续签次数不超过2次，合同一年一签，合同续签服务内容保持不变。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785"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025"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785" w:type="dxa"/>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025"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025"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 xml:space="preserve"> 10  </w:t>
            </w:r>
            <w:r>
              <w:rPr>
                <w:rFonts w:hint="eastAsia" w:hAnsi="宋体"/>
                <w:b/>
                <w:bCs/>
                <w:color w:val="000000"/>
                <w:highlight w:val="none"/>
              </w:rPr>
              <w:t>月</w:t>
            </w:r>
            <w:r>
              <w:rPr>
                <w:rFonts w:hint="eastAsia" w:hAnsi="宋体"/>
                <w:b/>
                <w:bCs/>
                <w:color w:val="000000"/>
                <w:highlight w:val="none"/>
                <w:lang w:val="en-US" w:eastAsia="zh-CN"/>
              </w:rPr>
              <w:t xml:space="preserve"> 12</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025"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785"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025"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025"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025" w:type="dxa"/>
            <w:vAlign w:val="center"/>
          </w:tcPr>
          <w:p>
            <w:pPr>
              <w:spacing w:line="500" w:lineRule="exact"/>
              <w:rPr>
                <w:rFonts w:hAnsi="宋体"/>
                <w:color w:val="000000"/>
                <w:highlight w:val="none"/>
              </w:rPr>
            </w:pPr>
            <w:r>
              <w:rPr>
                <w:rFonts w:hint="eastAsia" w:ascii="宋体" w:hAnsi="宋体" w:eastAsia="宋体" w:cs="Times New Roman"/>
                <w:sz w:val="24"/>
                <w:szCs w:val="24"/>
                <w:highlight w:val="none"/>
              </w:rPr>
              <w:t xml:space="preserve">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785"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025" w:type="dxa"/>
            <w:vAlign w:val="center"/>
          </w:tcPr>
          <w:p>
            <w:pPr>
              <w:pStyle w:val="226"/>
              <w:spacing w:line="500" w:lineRule="exact"/>
              <w:rPr>
                <w:rFonts w:hint="default" w:hAnsi="宋体" w:eastAsia="宋体"/>
                <w:color w:val="000000"/>
                <w:szCs w:val="24"/>
                <w:highlight w:val="none"/>
                <w:lang w:val="en-US" w:eastAsia="zh-CN"/>
              </w:rPr>
            </w:pPr>
            <w:r>
              <w:rPr>
                <w:rFonts w:hint="eastAsia" w:ascii="宋体" w:hAnsi="宋体"/>
                <w:bCs/>
                <w:color w:val="000000"/>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785"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025"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025"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dxa"/>
            <w:vAlign w:val="center"/>
          </w:tcPr>
          <w:p>
            <w:pPr>
              <w:spacing w:line="500" w:lineRule="exact"/>
              <w:rPr>
                <w:rFonts w:hAnsi="宋体"/>
                <w:highlight w:val="none"/>
              </w:rPr>
            </w:pPr>
            <w:r>
              <w:rPr>
                <w:rFonts w:hint="eastAsia" w:hAnsi="宋体"/>
                <w:highlight w:val="none"/>
              </w:rPr>
              <w:t>21</w:t>
            </w:r>
          </w:p>
        </w:tc>
        <w:tc>
          <w:tcPr>
            <w:tcW w:w="1785" w:type="dxa"/>
            <w:vAlign w:val="center"/>
          </w:tcPr>
          <w:p>
            <w:pPr>
              <w:ind w:firstLine="219" w:firstLineChars="100"/>
              <w:rPr>
                <w:highlight w:val="none"/>
              </w:rPr>
            </w:pPr>
            <w:r>
              <w:rPr>
                <w:rFonts w:hint="eastAsia"/>
                <w:highlight w:val="none"/>
              </w:rPr>
              <w:t>业绩</w:t>
            </w:r>
          </w:p>
        </w:tc>
        <w:tc>
          <w:tcPr>
            <w:tcW w:w="7025"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rPr>
                <w:rFonts w:hAnsi="宋体"/>
                <w:color w:val="000000"/>
                <w:highlight w:val="none"/>
              </w:rPr>
            </w:pPr>
            <w:r>
              <w:rPr>
                <w:rFonts w:hint="eastAsia" w:hAnsi="宋体"/>
                <w:color w:val="000000"/>
                <w:highlight w:val="none"/>
              </w:rPr>
              <w:t>22</w:t>
            </w:r>
          </w:p>
        </w:tc>
        <w:tc>
          <w:tcPr>
            <w:tcW w:w="1785" w:type="dxa"/>
            <w:vAlign w:val="center"/>
          </w:tcPr>
          <w:p>
            <w:pPr>
              <w:ind w:firstLine="219" w:firstLineChars="100"/>
              <w:rPr>
                <w:color w:val="000000"/>
                <w:highlight w:val="none"/>
              </w:rPr>
            </w:pPr>
            <w:r>
              <w:rPr>
                <w:rFonts w:hint="eastAsia"/>
                <w:color w:val="000000"/>
                <w:highlight w:val="none"/>
              </w:rPr>
              <w:t>其他</w:t>
            </w:r>
          </w:p>
        </w:tc>
        <w:tc>
          <w:tcPr>
            <w:tcW w:w="7025" w:type="dxa"/>
            <w:vAlign w:val="center"/>
          </w:tcPr>
          <w:p>
            <w:pPr>
              <w:pStyle w:val="58"/>
              <w:keepNext w:val="0"/>
              <w:keepLines w:val="0"/>
              <w:widowControl/>
              <w:suppressLineNumbers w:val="0"/>
              <w:ind w:left="0"/>
              <w:jc w:val="left"/>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785" w:type="dxa"/>
            <w:vAlign w:val="center"/>
          </w:tcPr>
          <w:p>
            <w:pPr>
              <w:jc w:val="center"/>
              <w:rPr>
                <w:rFonts w:hAnsi="宋体"/>
                <w:color w:val="000000"/>
                <w:highlight w:val="none"/>
              </w:rPr>
            </w:pPr>
            <w:r>
              <w:rPr>
                <w:rFonts w:hint="eastAsia" w:hAnsi="宋体"/>
                <w:color w:val="000000"/>
                <w:highlight w:val="none"/>
              </w:rPr>
              <w:t>备注二</w:t>
            </w:r>
          </w:p>
        </w:tc>
        <w:tc>
          <w:tcPr>
            <w:tcW w:w="7025"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785" w:type="dxa"/>
            <w:vAlign w:val="center"/>
          </w:tcPr>
          <w:p>
            <w:pPr>
              <w:jc w:val="center"/>
              <w:rPr>
                <w:rFonts w:hAnsi="宋体"/>
                <w:color w:val="000000"/>
                <w:highlight w:val="none"/>
              </w:rPr>
            </w:pPr>
            <w:r>
              <w:rPr>
                <w:rFonts w:hint="eastAsia" w:hAnsi="宋体"/>
                <w:color w:val="000000"/>
                <w:highlight w:val="none"/>
              </w:rPr>
              <w:t>违约金</w:t>
            </w:r>
          </w:p>
        </w:tc>
        <w:tc>
          <w:tcPr>
            <w:tcW w:w="7025"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09650955"/>
      <w:bookmarkEnd w:id="11"/>
      <w:bookmarkStart w:id="12" w:name="_Hlt509649998"/>
      <w:bookmarkEnd w:id="12"/>
      <w:bookmarkStart w:id="13" w:name="_Hlt509650686"/>
      <w:bookmarkEnd w:id="13"/>
      <w:bookmarkStart w:id="14" w:name="_Hlt526418143"/>
      <w:bookmarkEnd w:id="14"/>
      <w:bookmarkStart w:id="15" w:name="_Hlt509649722"/>
      <w:bookmarkEnd w:id="15"/>
      <w:bookmarkStart w:id="16" w:name="_Hlt50965012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26418153"/>
      <w:bookmarkEnd w:id="18"/>
      <w:bookmarkStart w:id="19" w:name="_Hlt509649330"/>
      <w:bookmarkEnd w:id="19"/>
      <w:bookmarkStart w:id="20" w:name="_Hlt509649645"/>
      <w:bookmarkEnd w:id="20"/>
      <w:bookmarkStart w:id="21" w:name="_Hlt509650929"/>
      <w:bookmarkEnd w:id="21"/>
      <w:bookmarkStart w:id="22" w:name="_Hlt509649669"/>
      <w:bookmarkEnd w:id="22"/>
      <w:bookmarkStart w:id="23" w:name="_Hlt509650932"/>
      <w:bookmarkEnd w:id="23"/>
      <w:bookmarkStart w:id="24" w:name="_Hlt509650103"/>
      <w:bookmarkEnd w:id="24"/>
      <w:bookmarkStart w:id="25" w:name="_Hlt509649795"/>
      <w:bookmarkEnd w:id="25"/>
      <w:bookmarkStart w:id="26" w:name="_Hlt509650936"/>
      <w:bookmarkEnd w:id="26"/>
      <w:bookmarkStart w:id="27" w:name="_Hlt509649678"/>
      <w:bookmarkEnd w:id="27"/>
      <w:bookmarkStart w:id="28" w:name="_Hlt509650116"/>
      <w:bookmarkEnd w:id="28"/>
      <w:bookmarkStart w:id="29" w:name="_Hlt509650961"/>
      <w:bookmarkEnd w:id="29"/>
      <w:bookmarkStart w:id="30" w:name="_Hlt509650333"/>
      <w:bookmarkEnd w:id="30"/>
      <w:bookmarkStart w:id="31" w:name="_Hlt509650690"/>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1"/>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5"/>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10</w:t>
      </w:r>
      <w:r>
        <w:rPr>
          <w:rFonts w:hint="eastAsia" w:hAnsi="宋体"/>
          <w:color w:val="000000"/>
          <w:highlight w:val="none"/>
          <w:u w:val="single"/>
        </w:rPr>
        <w:t>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2"/>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10342861"/>
      <w:bookmarkEnd w:id="50"/>
      <w:bookmarkStart w:id="51" w:name="_Hlt509650697"/>
      <w:bookmarkEnd w:id="51"/>
      <w:bookmarkStart w:id="52" w:name="_Hlt509649724"/>
      <w:bookmarkEnd w:id="52"/>
      <w:bookmarkStart w:id="53" w:name="_Toc427106476"/>
      <w:bookmarkStart w:id="54" w:name="_Toc427016287"/>
      <w:bookmarkStart w:id="55" w:name="_Toc463041898"/>
      <w:bookmarkStart w:id="56" w:name="_Toc527131321"/>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rPr>
      </w:pPr>
      <w:bookmarkStart w:id="57" w:name="_Toc433835936"/>
      <w:bookmarkStart w:id="58" w:name="_Toc438648630"/>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ascii="宋体" w:hAnsi="宋体" w:cs="@仿宋_GB2312"/>
          <w:color w:val="000000"/>
          <w:sz w:val="24"/>
          <w:szCs w:val="24"/>
          <w:u w:val="single"/>
          <w:lang w:val="en-US" w:eastAsia="zh-CN"/>
        </w:rPr>
        <w:t xml:space="preserve">                                 </w:t>
      </w: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ascii="宋体" w:hAnsi="宋体" w:cs="@仿宋_GB2312"/>
          <w:color w:val="000000"/>
          <w:sz w:val="24"/>
          <w:szCs w:val="24"/>
          <w:lang w:val="en-US" w:eastAsia="zh-CN"/>
        </w:rPr>
        <w:t xml:space="preserve">  </w:t>
      </w:r>
      <w:r>
        <w:rPr>
          <w:rFonts w:hint="eastAsia" w:ascii="宋体"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9" w:name="_Toc2232"/>
      <w:bookmarkStart w:id="60" w:name="_Toc24059"/>
      <w:bookmarkStart w:id="61" w:name="_Toc3029"/>
      <w:r>
        <w:rPr>
          <w:rFonts w:hint="eastAsia" w:ascii="宋体" w:hAnsi="宋体" w:cs="@仿宋_GB2312"/>
          <w:b/>
          <w:bCs/>
          <w:color w:val="000000"/>
          <w:sz w:val="24"/>
          <w:szCs w:val="24"/>
          <w:lang w:val="zh-CN"/>
        </w:rPr>
        <w:t>1.1 合同组成部分</w:t>
      </w:r>
      <w:bookmarkEnd w:id="59"/>
      <w:bookmarkEnd w:id="60"/>
      <w:bookmarkEnd w:id="61"/>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2" w:name="_Toc22185"/>
      <w:bookmarkStart w:id="63" w:name="_Toc2918"/>
      <w:bookmarkStart w:id="64" w:name="_Toc6773"/>
      <w:bookmarkStart w:id="65" w:name="_Toc6311"/>
      <w:bookmarkStart w:id="66" w:name="_Toc18585"/>
      <w:r>
        <w:rPr>
          <w:rFonts w:hint="eastAsia" w:ascii="宋体" w:hAnsi="宋体" w:cs="@仿宋_GB2312"/>
          <w:b/>
          <w:bCs/>
          <w:color w:val="000000"/>
          <w:sz w:val="24"/>
          <w:szCs w:val="24"/>
          <w:lang w:val="zh-CN"/>
        </w:rPr>
        <w:t xml:space="preserve">1.2 </w:t>
      </w:r>
      <w:bookmarkEnd w:id="62"/>
      <w:bookmarkEnd w:id="63"/>
      <w:bookmarkEnd w:id="64"/>
      <w:bookmarkEnd w:id="65"/>
      <w:bookmarkEnd w:id="66"/>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7" w:name="_Toc23292"/>
      <w:bookmarkStart w:id="68" w:name="_Toc21631"/>
      <w:bookmarkStart w:id="69" w:name="_Toc21551"/>
      <w:r>
        <w:rPr>
          <w:rFonts w:hint="eastAsia" w:ascii="宋体" w:hAnsi="宋体" w:cs="@仿宋_GB2312"/>
          <w:b/>
          <w:bCs/>
          <w:color w:val="000000"/>
          <w:sz w:val="24"/>
          <w:szCs w:val="24"/>
          <w:lang w:val="zh-CN"/>
        </w:rPr>
        <w:t>1.3 价款</w:t>
      </w:r>
      <w:bookmarkEnd w:id="67"/>
      <w:bookmarkEnd w:id="68"/>
      <w:bookmarkEnd w:id="6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70" w:name="_Toc10340"/>
      <w:bookmarkStart w:id="71" w:name="_Toc22618"/>
      <w:bookmarkStart w:id="72" w:name="_Toc1814"/>
      <w:r>
        <w:rPr>
          <w:rFonts w:hint="eastAsia" w:ascii="宋体" w:hAnsi="宋体" w:cs="@仿宋_GB2312"/>
          <w:b/>
          <w:bCs/>
          <w:color w:val="000000"/>
          <w:sz w:val="24"/>
          <w:szCs w:val="24"/>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3" w:name="_Toc2846"/>
      <w:bookmarkStart w:id="74" w:name="_Toc19304"/>
      <w:bookmarkStart w:id="75" w:name="_Toc32071"/>
      <w:r>
        <w:rPr>
          <w:rFonts w:hint="eastAsia" w:ascii="宋体" w:hAnsi="宋体" w:cs="@仿宋_GB2312"/>
          <w:b/>
          <w:bCs/>
          <w:color w:val="000000"/>
          <w:sz w:val="24"/>
          <w:szCs w:val="24"/>
          <w:lang w:val="zh-CN"/>
        </w:rPr>
        <w:t>1.5 服务期限、地点和方式</w:t>
      </w:r>
      <w:bookmarkEnd w:id="73"/>
      <w:bookmarkEnd w:id="74"/>
      <w:bookmarkEnd w:id="75"/>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6" w:name="_Toc21423"/>
      <w:bookmarkStart w:id="77" w:name="_Toc19554"/>
      <w:bookmarkStart w:id="78" w:name="_Toc27250"/>
      <w:r>
        <w:rPr>
          <w:rFonts w:hint="eastAsia" w:ascii="宋体" w:hAnsi="宋体" w:cs="@仿宋_GB2312"/>
          <w:b/>
          <w:bCs/>
          <w:color w:val="000000"/>
          <w:sz w:val="24"/>
          <w:szCs w:val="24"/>
          <w:lang w:val="zh-CN"/>
        </w:rPr>
        <w:t>1.6 违约责任</w:t>
      </w:r>
      <w:bookmarkEnd w:id="76"/>
      <w:bookmarkEnd w:id="77"/>
      <w:bookmarkEnd w:id="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9" w:name="_Toc15583"/>
      <w:bookmarkStart w:id="80" w:name="_Toc16021"/>
      <w:bookmarkStart w:id="81" w:name="_Toc28375"/>
      <w:r>
        <w:rPr>
          <w:rFonts w:hint="eastAsia" w:ascii="宋体" w:hAnsi="宋体" w:cs="@仿宋_GB2312"/>
          <w:b/>
          <w:bCs/>
          <w:color w:val="000000"/>
          <w:sz w:val="24"/>
          <w:szCs w:val="24"/>
          <w:lang w:val="zh-CN"/>
        </w:rPr>
        <w:t>1.7 合同争议的解决</w:t>
      </w:r>
      <w:bookmarkEnd w:id="79"/>
      <w:bookmarkEnd w:id="80"/>
      <w:bookmarkEnd w:id="8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2" w:name="_Toc15322"/>
      <w:bookmarkStart w:id="83" w:name="_Toc11173"/>
      <w:bookmarkStart w:id="84" w:name="_Toc7245"/>
      <w:r>
        <w:rPr>
          <w:rFonts w:hint="eastAsia" w:ascii="宋体" w:hAnsi="宋体" w:cs="@仿宋_GB2312"/>
          <w:b/>
          <w:bCs/>
          <w:color w:val="000000"/>
          <w:sz w:val="24"/>
          <w:szCs w:val="24"/>
          <w:lang w:val="zh-CN"/>
        </w:rPr>
        <w:t>1.8 合同生效</w:t>
      </w:r>
      <w:bookmarkEnd w:id="82"/>
      <w:bookmarkEnd w:id="83"/>
      <w:bookmarkEnd w:id="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5"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5"/>
    </w:p>
    <w:p>
      <w:pPr>
        <w:spacing w:line="360" w:lineRule="auto"/>
        <w:ind w:firstLine="437"/>
        <w:outlineLvl w:val="3"/>
        <w:rPr>
          <w:rFonts w:ascii="宋体" w:hAnsi="宋体" w:cs="@仿宋_GB2312"/>
          <w:b/>
          <w:bCs/>
          <w:color w:val="000000"/>
          <w:sz w:val="24"/>
          <w:szCs w:val="24"/>
          <w:lang w:val="zh-CN"/>
        </w:rPr>
      </w:pPr>
      <w:bookmarkStart w:id="86" w:name="_Ref467378404"/>
      <w:bookmarkStart w:id="87" w:name="_Ref467379094"/>
      <w:bookmarkStart w:id="88" w:name="_Ref467379225"/>
      <w:bookmarkStart w:id="89" w:name="_Ref467379195"/>
      <w:bookmarkStart w:id="90" w:name="_Ref467378463"/>
      <w:bookmarkStart w:id="91" w:name="_Toc28763"/>
      <w:bookmarkStart w:id="92" w:name="_Toc16917"/>
      <w:bookmarkStart w:id="93" w:name="_Toc19614"/>
      <w:bookmarkStart w:id="94" w:name="_Ref467379109"/>
      <w:bookmarkStart w:id="95" w:name="_Ref467379214"/>
      <w:bookmarkStart w:id="96" w:name="_Toc279701240"/>
      <w:bookmarkStart w:id="97" w:name="_Ref467379101"/>
      <w:bookmarkStart w:id="98" w:name="_Ref467379205"/>
      <w:bookmarkStart w:id="99" w:name="_Ref467378499"/>
      <w:bookmarkStart w:id="100" w:name="_Toc259093669"/>
      <w:bookmarkStart w:id="101" w:name="_Toc487900349"/>
      <w:r>
        <w:rPr>
          <w:rFonts w:hint="eastAsia" w:ascii="宋体" w:hAnsi="宋体" w:cs="@仿宋_GB2312"/>
          <w:b/>
          <w:bCs/>
          <w:color w:val="000000"/>
          <w:sz w:val="24"/>
          <w:szCs w:val="24"/>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2" w:name="_Ref467378840"/>
      <w:r>
        <w:rPr>
          <w:rFonts w:hint="eastAsia" w:ascii="宋体" w:hAnsi="宋体" w:cs="@仿宋_GB2312"/>
          <w:color w:val="000000"/>
          <w:sz w:val="24"/>
          <w:szCs w:val="24"/>
        </w:rPr>
        <w:t>2.1.4“甲方”系指与中标人签署合同的招标人</w:t>
      </w:r>
      <w:bookmarkEnd w:id="102"/>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3" w:name="_Ref467379400"/>
      <w:r>
        <w:rPr>
          <w:rFonts w:hint="eastAsia" w:ascii="宋体" w:hAnsi="宋体" w:cs="@仿宋_GB2312"/>
          <w:color w:val="000000"/>
          <w:sz w:val="24"/>
          <w:szCs w:val="24"/>
        </w:rPr>
        <w:t>2.1.5“乙方”系指根据合同约定提供服务的中标人</w:t>
      </w:r>
      <w:bookmarkEnd w:id="103"/>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4" w:name="_Ref467379436"/>
      <w:r>
        <w:rPr>
          <w:rFonts w:hint="eastAsia" w:ascii="宋体" w:hAnsi="宋体" w:cs="@仿宋_GB2312"/>
          <w:color w:val="000000"/>
          <w:sz w:val="24"/>
          <w:szCs w:val="24"/>
        </w:rPr>
        <w:t>2.1.6“现场”系指合同约定提供服务的地点。</w:t>
      </w:r>
      <w:bookmarkEnd w:id="104"/>
    </w:p>
    <w:p>
      <w:pPr>
        <w:spacing w:line="360" w:lineRule="auto"/>
        <w:ind w:firstLine="437"/>
        <w:outlineLvl w:val="3"/>
        <w:rPr>
          <w:rFonts w:ascii="宋体" w:hAnsi="宋体" w:cs="@仿宋_GB2312"/>
          <w:b/>
          <w:bCs/>
          <w:color w:val="000000"/>
          <w:sz w:val="24"/>
          <w:szCs w:val="24"/>
          <w:lang w:val="zh-CN"/>
        </w:rPr>
      </w:pPr>
      <w:bookmarkStart w:id="105" w:name="_Toc27635"/>
      <w:bookmarkStart w:id="106" w:name="_Toc13336"/>
      <w:bookmarkStart w:id="107" w:name="_Toc32504"/>
      <w:bookmarkStart w:id="108" w:name="_Toc259093670"/>
      <w:bookmarkStart w:id="109" w:name="_Toc279701241"/>
      <w:bookmarkStart w:id="110" w:name="_Toc487900350"/>
      <w:r>
        <w:rPr>
          <w:rFonts w:hint="eastAsia" w:ascii="宋体" w:hAnsi="宋体" w:cs="@仿宋_GB2312"/>
          <w:b/>
          <w:bCs/>
          <w:color w:val="000000"/>
          <w:sz w:val="24"/>
          <w:szCs w:val="24"/>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11" w:name="_Toc9829"/>
      <w:bookmarkStart w:id="112" w:name="_Toc487900351"/>
      <w:bookmarkStart w:id="113" w:name="_Toc31634"/>
      <w:bookmarkStart w:id="114" w:name="_Toc27853"/>
      <w:bookmarkStart w:id="115" w:name="_Toc259093671"/>
      <w:bookmarkStart w:id="116" w:name="_Toc279701242"/>
      <w:r>
        <w:rPr>
          <w:rFonts w:hint="eastAsia" w:ascii="宋体" w:hAnsi="宋体" w:cs="@仿宋_GB2312"/>
          <w:b/>
          <w:bCs/>
          <w:color w:val="000000"/>
          <w:sz w:val="24"/>
          <w:szCs w:val="24"/>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7" w:name="_Ref467378591"/>
      <w:bookmarkStart w:id="118" w:name="_Ref467379527"/>
      <w:bookmarkStart w:id="119" w:name="_Ref467379536"/>
      <w:bookmarkStart w:id="120" w:name="_Toc259093674"/>
      <w:bookmarkStart w:id="121" w:name="_Toc487900354"/>
      <w:bookmarkStart w:id="122" w:name="_Toc279701245"/>
      <w:bookmarkStart w:id="123" w:name="_Ref467378541"/>
      <w:bookmarkStart w:id="124" w:name="_Ref467379542"/>
      <w:bookmarkStart w:id="125" w:name="_Toc26182"/>
      <w:bookmarkStart w:id="126" w:name="_Toc19074"/>
      <w:bookmarkStart w:id="127" w:name="_Toc30272"/>
      <w:r>
        <w:rPr>
          <w:rFonts w:hint="eastAsia" w:ascii="宋体" w:hAnsi="宋体" w:cs="@仿宋_GB2312"/>
          <w:b/>
          <w:bCs/>
          <w:color w:val="000000"/>
          <w:sz w:val="24"/>
          <w:szCs w:val="24"/>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lang w:val="zh-CN"/>
        </w:rPr>
        <w:t>4 履约检查和问题反馈</w:t>
      </w:r>
      <w:bookmarkEnd w:id="125"/>
      <w:bookmarkEnd w:id="126"/>
      <w:bookmarkEnd w:id="127"/>
    </w:p>
    <w:p>
      <w:pPr>
        <w:spacing w:line="360" w:lineRule="auto"/>
        <w:ind w:firstLine="435"/>
        <w:rPr>
          <w:rFonts w:ascii="宋体" w:hAnsi="宋体" w:cs="@仿宋_GB2312"/>
          <w:color w:val="000000"/>
          <w:sz w:val="24"/>
          <w:szCs w:val="24"/>
        </w:rPr>
      </w:pPr>
      <w:bookmarkStart w:id="128" w:name="_Toc186431854"/>
      <w:bookmarkStart w:id="129" w:name="_Toc487900357"/>
      <w:bookmarkStart w:id="130" w:name="_Toc279701247"/>
      <w:bookmarkStart w:id="131" w:name="_Ref467379793"/>
      <w:bookmarkStart w:id="132" w:name="_Ref467379807"/>
      <w:bookmarkStart w:id="133" w:name="_Toc259093676"/>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rPr>
        <w:t>。</w:t>
      </w:r>
    </w:p>
    <w:bookmarkEnd w:id="134"/>
    <w:p>
      <w:pPr>
        <w:spacing w:line="360" w:lineRule="auto"/>
        <w:ind w:firstLine="437"/>
        <w:outlineLvl w:val="3"/>
        <w:rPr>
          <w:rFonts w:ascii="宋体" w:hAnsi="宋体" w:cs="@仿宋_GB2312"/>
          <w:b/>
          <w:bCs/>
          <w:color w:val="000000"/>
          <w:sz w:val="24"/>
          <w:szCs w:val="24"/>
          <w:lang w:val="zh-CN"/>
        </w:rPr>
      </w:pPr>
      <w:bookmarkStart w:id="135" w:name="_Toc19219"/>
      <w:bookmarkStart w:id="136" w:name="_Toc7836"/>
      <w:bookmarkStart w:id="137" w:name="_Toc28451"/>
      <w:r>
        <w:rPr>
          <w:rFonts w:hint="eastAsia" w:ascii="宋体" w:hAnsi="宋体" w:cs="@仿宋_GB2312"/>
          <w:b/>
          <w:bCs/>
          <w:color w:val="000000"/>
          <w:sz w:val="24"/>
          <w:szCs w:val="24"/>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8" w:name="_Ref467379852"/>
      <w:bookmarkStart w:id="139" w:name="_Ref467379923"/>
      <w:bookmarkStart w:id="140" w:name="_Toc279701248"/>
      <w:bookmarkStart w:id="141" w:name="_Ref467379863"/>
      <w:bookmarkStart w:id="142" w:name="_Toc487900358"/>
      <w:bookmarkStart w:id="143" w:name="_Toc259093677"/>
      <w:bookmarkStart w:id="144" w:name="_Toc774"/>
      <w:bookmarkStart w:id="145" w:name="_Toc16110"/>
      <w:bookmarkStart w:id="146" w:name="_Toc3225"/>
      <w:r>
        <w:rPr>
          <w:rFonts w:hint="eastAsia" w:ascii="宋体" w:hAnsi="宋体" w:cs="@仿宋_GB2312"/>
          <w:b/>
          <w:bCs/>
          <w:color w:val="000000"/>
          <w:sz w:val="24"/>
          <w:szCs w:val="24"/>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lang w:val="zh-CN"/>
        </w:rPr>
        <w:t>和保密义务</w:t>
      </w:r>
      <w:bookmarkEnd w:id="144"/>
      <w:bookmarkEnd w:id="145"/>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7" w:name="_Toc7860"/>
      <w:r>
        <w:rPr>
          <w:rFonts w:hint="eastAsia" w:ascii="宋体" w:hAnsi="宋体" w:cs="@仿宋_GB2312"/>
          <w:b/>
          <w:bCs/>
          <w:color w:val="000000"/>
          <w:sz w:val="24"/>
          <w:szCs w:val="24"/>
          <w:lang w:val="zh-CN"/>
        </w:rPr>
        <w:t>2.7 质量保证</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8" w:name="_Toc22267"/>
      <w:r>
        <w:rPr>
          <w:rFonts w:hint="eastAsia" w:ascii="宋体" w:hAnsi="宋体" w:cs="@仿宋_GB2312"/>
          <w:b/>
          <w:color w:val="000000"/>
          <w:sz w:val="24"/>
          <w:szCs w:val="24"/>
        </w:rPr>
        <w:t>2.8 延迟履行</w:t>
      </w:r>
      <w:bookmarkEnd w:id="14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9" w:name="_Toc7502"/>
      <w:bookmarkStart w:id="150" w:name="_Toc487900364"/>
      <w:bookmarkStart w:id="151" w:name="_Ref467378121"/>
      <w:bookmarkStart w:id="152" w:name="_Toc259093683"/>
      <w:bookmarkStart w:id="153" w:name="_Toc279701254"/>
      <w:r>
        <w:rPr>
          <w:rFonts w:hint="eastAsia" w:ascii="宋体" w:hAnsi="宋体" w:cs="@仿宋_GB2312"/>
          <w:b/>
          <w:bCs/>
          <w:color w:val="000000"/>
          <w:sz w:val="24"/>
          <w:szCs w:val="24"/>
          <w:lang w:val="zh-CN"/>
        </w:rPr>
        <w:t>2.9 合同变更</w:t>
      </w:r>
      <w:bookmarkEnd w:id="14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4" w:name="_Toc279701259"/>
      <w:bookmarkStart w:id="155" w:name="_Toc487900369"/>
      <w:bookmarkStart w:id="156" w:name="_Toc259093688"/>
    </w:p>
    <w:p>
      <w:pPr>
        <w:spacing w:line="360" w:lineRule="auto"/>
        <w:ind w:firstLine="437"/>
        <w:outlineLvl w:val="3"/>
        <w:rPr>
          <w:rFonts w:ascii="宋体" w:hAnsi="宋体" w:cs="@仿宋_GB2312"/>
          <w:b/>
          <w:bCs/>
          <w:color w:val="000000"/>
          <w:sz w:val="24"/>
          <w:szCs w:val="24"/>
          <w:lang w:val="zh-CN"/>
        </w:rPr>
      </w:pPr>
      <w:bookmarkStart w:id="157" w:name="_Toc10366"/>
      <w:bookmarkStart w:id="158" w:name="_Toc15237"/>
      <w:bookmarkStart w:id="159" w:name="_Toc22955"/>
      <w:r>
        <w:rPr>
          <w:rFonts w:hint="eastAsia" w:ascii="宋体" w:hAnsi="宋体" w:cs="@仿宋_GB2312"/>
          <w:b/>
          <w:bCs/>
          <w:color w:val="000000"/>
          <w:sz w:val="24"/>
          <w:szCs w:val="24"/>
          <w:lang w:val="zh-CN"/>
        </w:rPr>
        <w:t>2.10 合同转让</w:t>
      </w:r>
      <w:bookmarkEnd w:id="154"/>
      <w:bookmarkEnd w:id="155"/>
      <w:bookmarkEnd w:id="156"/>
      <w:r>
        <w:rPr>
          <w:rFonts w:hint="eastAsia" w:ascii="宋体" w:hAnsi="宋体" w:cs="@仿宋_GB2312"/>
          <w:b/>
          <w:bCs/>
          <w:color w:val="000000"/>
          <w:sz w:val="24"/>
          <w:szCs w:val="24"/>
          <w:lang w:val="zh-CN"/>
        </w:rPr>
        <w:t>和分包</w:t>
      </w:r>
      <w:bookmarkEnd w:id="157"/>
      <w:bookmarkEnd w:id="158"/>
      <w:bookmarkEnd w:id="15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60" w:name="_Toc13566"/>
      <w:bookmarkStart w:id="161" w:name="_Toc16508"/>
      <w:bookmarkStart w:id="162" w:name="_Toc14066"/>
      <w:r>
        <w:rPr>
          <w:rFonts w:hint="eastAsia" w:ascii="宋体" w:hAnsi="宋体" w:cs="@仿宋_GB2312"/>
          <w:b/>
          <w:bCs/>
          <w:color w:val="000000"/>
          <w:sz w:val="24"/>
          <w:szCs w:val="24"/>
          <w:lang w:val="zh-CN"/>
        </w:rPr>
        <w:t>2.11 不可抗力</w:t>
      </w:r>
      <w:bookmarkEnd w:id="160"/>
      <w:bookmarkEnd w:id="161"/>
      <w:bookmarkEnd w:id="16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3" w:name="_Toc6969"/>
      <w:bookmarkStart w:id="164" w:name="_Toc279701255"/>
      <w:bookmarkStart w:id="165" w:name="_Toc259093684"/>
      <w:bookmarkStart w:id="166" w:name="_Toc30676"/>
      <w:bookmarkStart w:id="167" w:name="_Toc487900365"/>
      <w:bookmarkStart w:id="168" w:name="_Toc689"/>
      <w:r>
        <w:rPr>
          <w:rFonts w:hint="eastAsia" w:ascii="宋体" w:hAnsi="宋体" w:cs="@仿宋_GB2312"/>
          <w:b/>
          <w:bCs/>
          <w:color w:val="000000"/>
          <w:sz w:val="24"/>
          <w:szCs w:val="24"/>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9" w:name="_Toc279701258"/>
      <w:bookmarkStart w:id="170" w:name="_Toc8298"/>
      <w:bookmarkStart w:id="171" w:name="_Toc7102"/>
      <w:bookmarkStart w:id="172" w:name="_Toc16959"/>
      <w:bookmarkStart w:id="173" w:name="_Toc259093687"/>
      <w:bookmarkStart w:id="174" w:name="_Toc487900368"/>
      <w:r>
        <w:rPr>
          <w:rFonts w:hint="eastAsia" w:ascii="宋体" w:hAnsi="宋体" w:cs="@仿宋_GB2312"/>
          <w:b/>
          <w:bCs/>
          <w:color w:val="000000"/>
          <w:sz w:val="24"/>
          <w:szCs w:val="24"/>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5" w:name="_Toc15387"/>
      <w:bookmarkStart w:id="176" w:name="_Toc29333"/>
      <w:bookmarkStart w:id="177" w:name="_Toc6134"/>
      <w:r>
        <w:rPr>
          <w:rFonts w:hint="eastAsia" w:ascii="宋体" w:hAnsi="宋体" w:cs="@仿宋_GB2312"/>
          <w:b/>
          <w:bCs/>
          <w:color w:val="000000"/>
          <w:sz w:val="24"/>
          <w:szCs w:val="24"/>
          <w:lang w:val="zh-CN"/>
        </w:rPr>
        <w:t>2.14 合同中止、终止</w:t>
      </w:r>
      <w:bookmarkEnd w:id="175"/>
      <w:bookmarkEnd w:id="176"/>
      <w:bookmarkEnd w:id="17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8" w:name="_Toc14563"/>
      <w:bookmarkStart w:id="179" w:name="_Toc6596"/>
      <w:bookmarkStart w:id="180" w:name="_Toc1125"/>
      <w:r>
        <w:rPr>
          <w:rFonts w:hint="eastAsia" w:ascii="宋体" w:hAnsi="宋体" w:cs="@仿宋_GB2312"/>
          <w:b/>
          <w:bCs/>
          <w:color w:val="000000"/>
          <w:sz w:val="24"/>
          <w:szCs w:val="24"/>
          <w:lang w:val="zh-CN"/>
        </w:rPr>
        <w:t>2.15 检验和验收</w:t>
      </w:r>
      <w:bookmarkEnd w:id="178"/>
      <w:bookmarkEnd w:id="179"/>
      <w:bookmarkEnd w:id="18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rPr>
      </w:pPr>
      <w:bookmarkStart w:id="181" w:name="_Toc279701263"/>
      <w:bookmarkStart w:id="182" w:name="_Toc12773"/>
      <w:bookmarkStart w:id="183" w:name="_Toc18567"/>
      <w:bookmarkStart w:id="184" w:name="_Toc487900373"/>
      <w:bookmarkStart w:id="185" w:name="_Toc259093692"/>
      <w:bookmarkStart w:id="186" w:name="_Toc10330"/>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7" w:name="_Toc3148"/>
      <w:bookmarkStart w:id="188" w:name="_Toc279701264"/>
      <w:bookmarkStart w:id="189" w:name="_Toc12004"/>
      <w:bookmarkStart w:id="190" w:name="_Toc16673"/>
      <w:bookmarkStart w:id="191" w:name="_Toc259093693"/>
      <w:bookmarkStart w:id="192" w:name="_Toc487900374"/>
      <w:r>
        <w:rPr>
          <w:rFonts w:hint="eastAsia" w:ascii="宋体" w:hAnsi="宋体" w:cs="@仿宋_GB2312"/>
          <w:b/>
          <w:bCs/>
          <w:color w:val="000000"/>
          <w:sz w:val="24"/>
          <w:szCs w:val="24"/>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rPr>
      </w:pPr>
      <w:bookmarkStart w:id="193" w:name="_Toc19890"/>
      <w:bookmarkStart w:id="194" w:name="_Toc6885"/>
      <w:bookmarkStart w:id="195" w:name="_Toc14001"/>
      <w:r>
        <w:rPr>
          <w:rFonts w:hint="eastAsia" w:ascii="宋体" w:hAnsi="宋体" w:cs="@仿宋_GB2312"/>
          <w:b/>
          <w:bCs/>
          <w:color w:val="000000"/>
          <w:sz w:val="24"/>
          <w:szCs w:val="24"/>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ascii="宋体" w:hAnsi="宋体" w:cs="@仿宋_GB2312"/>
          <w:color w:val="000000"/>
          <w:sz w:val="24"/>
          <w:szCs w:val="24"/>
        </w:rPr>
      </w:pPr>
    </w:p>
    <w:p>
      <w:pPr>
        <w:spacing w:line="360" w:lineRule="auto"/>
        <w:jc w:val="center"/>
        <w:outlineLvl w:val="2"/>
        <w:rPr>
          <w:rFonts w:ascii="宋体" w:hAnsi="宋体" w:cs="@仿宋_GB2312"/>
          <w:b/>
          <w:color w:val="000000"/>
          <w:sz w:val="24"/>
          <w:szCs w:val="24"/>
        </w:rPr>
      </w:pPr>
      <w:bookmarkStart w:id="196" w:name="_Toc331685784"/>
      <w:r>
        <w:rPr>
          <w:rFonts w:hint="eastAsia" w:ascii="宋体" w:hAnsi="宋体" w:cs="@仿宋_GB2312"/>
          <w:b/>
          <w:color w:val="000000"/>
          <w:sz w:val="24"/>
          <w:szCs w:val="24"/>
        </w:rPr>
        <w:t>第三部分 合同专用条款</w:t>
      </w:r>
      <w:bookmarkEnd w:id="19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86"/>
        <w:spacing w:before="0" w:after="0" w:line="420" w:lineRule="exact"/>
        <w:ind w:left="0" w:right="-710"/>
        <w:rPr>
          <w:rFonts w:hint="eastAsia" w:ascii="宋体" w:hAnsi="宋体"/>
          <w:color w:val="000000"/>
          <w:kern w:val="2"/>
          <w:szCs w:val="24"/>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jc w:val="left"/>
        <w:rPr>
          <w:rFonts w:ascii="宋体" w:hAnsi="宋体"/>
          <w:b/>
          <w:color w:val="000000"/>
          <w:sz w:val="24"/>
          <w:szCs w:val="24"/>
        </w:rPr>
      </w:pPr>
      <w:r>
        <w:rPr>
          <w:rFonts w:hint="eastAsia" w:ascii="宋体" w:hAnsi="宋体"/>
          <w:b/>
          <w:color w:val="000000"/>
          <w:sz w:val="24"/>
          <w:szCs w:val="24"/>
        </w:rPr>
        <w:t>合同附件：</w:t>
      </w:r>
    </w:p>
    <w:p>
      <w:pPr>
        <w:jc w:val="center"/>
        <w:rPr>
          <w:rFonts w:ascii="宋体" w:hAnsi="宋体"/>
          <w:b/>
          <w:bCs/>
          <w:color w:val="000000"/>
          <w:sz w:val="24"/>
        </w:rPr>
      </w:pPr>
      <w:r>
        <w:rPr>
          <w:rFonts w:hint="eastAsia" w:ascii="宋体" w:hAnsi="宋体"/>
          <w:b/>
          <w:bCs/>
          <w:color w:val="000000"/>
          <w:sz w:val="24"/>
        </w:rPr>
        <w:t>承  诺  书</w:t>
      </w:r>
    </w:p>
    <w:p>
      <w:pPr>
        <w:spacing w:line="360" w:lineRule="auto"/>
        <w:rPr>
          <w:rFonts w:ascii="宋体" w:hAnsi="宋体"/>
          <w:color w:val="000000"/>
          <w:sz w:val="24"/>
          <w:szCs w:val="24"/>
        </w:rPr>
      </w:pP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为维护招投标工作的严肃性，甲乙双方郑重声明并承诺如下：</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（三）本项目招标公告和谈判文件关于</w:t>
      </w:r>
      <w:r>
        <w:rPr>
          <w:rFonts w:ascii="宋体" w:hAnsi="宋体"/>
          <w:color w:val="000000"/>
          <w:sz w:val="24"/>
          <w:szCs w:val="24"/>
        </w:rPr>
        <w:t>签订</w:t>
      </w:r>
      <w:r>
        <w:rPr>
          <w:rFonts w:hint="eastAsia" w:ascii="宋体" w:hAnsi="宋体"/>
          <w:color w:val="000000"/>
          <w:sz w:val="24"/>
          <w:szCs w:val="24"/>
        </w:rPr>
        <w:t>书面</w:t>
      </w:r>
      <w:r>
        <w:rPr>
          <w:rFonts w:ascii="宋体" w:hAnsi="宋体"/>
          <w:color w:val="000000"/>
          <w:sz w:val="24"/>
          <w:szCs w:val="24"/>
        </w:rPr>
        <w:t>合同的相关</w:t>
      </w:r>
      <w:r>
        <w:rPr>
          <w:rFonts w:hint="eastAsia" w:ascii="宋体" w:hAnsi="宋体"/>
          <w:color w:val="000000"/>
          <w:sz w:val="24"/>
          <w:szCs w:val="24"/>
        </w:rPr>
        <w:t>约定（</w:t>
      </w:r>
      <w:r>
        <w:rPr>
          <w:rFonts w:ascii="宋体" w:hAnsi="宋体"/>
          <w:color w:val="000000"/>
          <w:sz w:val="24"/>
          <w:szCs w:val="24"/>
        </w:rPr>
        <w:t>详见</w:t>
      </w:r>
      <w:r>
        <w:rPr>
          <w:rFonts w:hint="eastAsia" w:ascii="宋体" w:hAnsi="宋体"/>
          <w:color w:val="000000"/>
          <w:sz w:val="24"/>
          <w:szCs w:val="24"/>
        </w:rPr>
        <w:t>本项目招标公告和谈判文件）。</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二、双方承诺严格按照上述规定签订</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的书面合同。如有违反，自行承担一切法律责任和后果。</w:t>
      </w: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甲方：  (公章)                         乙方：  (公章)</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pPr>
        <w:spacing w:line="360" w:lineRule="auto"/>
        <w:rPr>
          <w:rFonts w:ascii="宋体" w:hAnsi="宋体"/>
          <w:color w:val="000000"/>
          <w:sz w:val="24"/>
          <w:szCs w:val="24"/>
        </w:rPr>
      </w:pPr>
      <w:r>
        <w:rPr>
          <w:rFonts w:hint="eastAsia" w:ascii="宋体" w:hAnsi="宋体"/>
          <w:color w:val="000000"/>
          <w:sz w:val="24"/>
          <w:szCs w:val="24"/>
        </w:rPr>
        <w:t>（签字）                                （签字）</w:t>
      </w:r>
    </w:p>
    <w:p>
      <w:pPr>
        <w:rPr>
          <w:color w:val="000000"/>
        </w:rPr>
      </w:pPr>
    </w:p>
    <w:p>
      <w:pPr>
        <w:spacing w:before="120" w:beforeLines="50" w:after="72" w:afterLines="30"/>
        <w:rPr>
          <w:rFonts w:ascii="宋体" w:hAnsi="宋体"/>
          <w:color w:val="000000"/>
          <w:sz w:val="24"/>
          <w:szCs w:val="24"/>
        </w:rPr>
      </w:pPr>
      <w:r>
        <w:rPr>
          <w:rFonts w:hint="eastAsia" w:ascii="宋体" w:hAnsi="宋体"/>
          <w:color w:val="000000"/>
          <w:sz w:val="24"/>
          <w:szCs w:val="24"/>
        </w:rPr>
        <w:t xml:space="preserve">时间：   年   月                      时间：   年   月     </w:t>
      </w:r>
    </w:p>
    <w:p>
      <w:pPr>
        <w:spacing w:line="360" w:lineRule="auto"/>
        <w:rPr>
          <w:rFonts w:hAnsi="宋体"/>
          <w:b/>
          <w:color w:val="000000"/>
          <w:sz w:val="30"/>
          <w:szCs w:val="30"/>
        </w:rPr>
      </w:pPr>
    </w:p>
    <w:p>
      <w:pPr>
        <w:jc w:val="both"/>
        <w:rPr>
          <w:rFonts w:hint="eastAsia"/>
          <w:b/>
          <w:bCs/>
          <w:sz w:val="30"/>
          <w:szCs w:val="30"/>
          <w:highlight w:val="none"/>
          <w:lang w:val="en-US" w:eastAsia="zh-CN"/>
        </w:rPr>
      </w:pPr>
    </w:p>
    <w:p>
      <w:pPr>
        <w:jc w:val="both"/>
        <w:rPr>
          <w:rFonts w:hint="eastAsia"/>
          <w:b/>
          <w:bCs/>
          <w:sz w:val="30"/>
          <w:szCs w:val="30"/>
          <w:highlight w:val="none"/>
          <w:lang w:val="en-US" w:eastAsia="zh-CN"/>
        </w:rPr>
      </w:pPr>
    </w:p>
    <w:p>
      <w:pPr>
        <w:jc w:val="both"/>
        <w:rPr>
          <w:rFonts w:hint="default"/>
          <w:b/>
          <w:bCs/>
          <w:sz w:val="30"/>
          <w:szCs w:val="30"/>
          <w:highlight w:val="none"/>
          <w:lang w:val="en-US" w:eastAsia="zh-CN"/>
        </w:rPr>
      </w:pPr>
      <w:r>
        <w:rPr>
          <w:rFonts w:hint="eastAsia"/>
          <w:b/>
          <w:bCs/>
          <w:sz w:val="30"/>
          <w:szCs w:val="30"/>
          <w:highlight w:val="none"/>
          <w:lang w:val="en-US" w:eastAsia="zh-CN"/>
        </w:rPr>
        <w:t>五：采购需求</w:t>
      </w:r>
    </w:p>
    <w:tbl>
      <w:tblPr>
        <w:tblStyle w:val="65"/>
        <w:tblW w:w="10169" w:type="dxa"/>
        <w:jc w:val="center"/>
        <w:tblLayout w:type="fixed"/>
        <w:tblCellMar>
          <w:top w:w="0" w:type="dxa"/>
          <w:left w:w="108" w:type="dxa"/>
          <w:bottom w:w="0" w:type="dxa"/>
          <w:right w:w="108" w:type="dxa"/>
        </w:tblCellMar>
      </w:tblPr>
      <w:tblGrid>
        <w:gridCol w:w="653"/>
        <w:gridCol w:w="1950"/>
        <w:gridCol w:w="3951"/>
        <w:gridCol w:w="1440"/>
        <w:gridCol w:w="870"/>
        <w:gridCol w:w="1305"/>
      </w:tblGrid>
      <w:tr>
        <w:tblPrEx>
          <w:tblCellMar>
            <w:top w:w="0" w:type="dxa"/>
            <w:left w:w="108" w:type="dxa"/>
            <w:bottom w:w="0" w:type="dxa"/>
            <w:right w:w="108" w:type="dxa"/>
          </w:tblCellMar>
        </w:tblPrEx>
        <w:trPr>
          <w:trHeight w:val="600" w:hRule="atLeast"/>
          <w:jc w:val="center"/>
        </w:trPr>
        <w:tc>
          <w:tcPr>
            <w:tcW w:w="1016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aseline"/>
              <w:rPr>
                <w:rFonts w:cs="宋体"/>
                <w:b/>
                <w:bCs/>
                <w:kern w:val="0"/>
                <w:sz w:val="24"/>
                <w:szCs w:val="24"/>
              </w:rPr>
            </w:pPr>
            <w:r>
              <w:rPr>
                <w:rFonts w:hint="eastAsia" w:cs="宋体"/>
                <w:b/>
                <w:bCs/>
                <w:kern w:val="0"/>
                <w:sz w:val="24"/>
                <w:szCs w:val="24"/>
                <w:lang w:val="en-US" w:eastAsia="zh-CN"/>
              </w:rPr>
              <w:t>停车场信息一览表</w:t>
            </w:r>
          </w:p>
        </w:tc>
      </w:tr>
      <w:tr>
        <w:tblPrEx>
          <w:tblCellMar>
            <w:top w:w="0" w:type="dxa"/>
            <w:left w:w="108" w:type="dxa"/>
            <w:bottom w:w="0" w:type="dxa"/>
            <w:right w:w="108" w:type="dxa"/>
          </w:tblCellMar>
        </w:tblPrEx>
        <w:trPr>
          <w:trHeight w:val="814" w:hRule="atLeast"/>
          <w:jc w:val="center"/>
        </w:trPr>
        <w:tc>
          <w:tcPr>
            <w:tcW w:w="653"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95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停车场名称</w:t>
            </w:r>
          </w:p>
        </w:tc>
        <w:tc>
          <w:tcPr>
            <w:tcW w:w="3951"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color w:val="111111"/>
                <w:kern w:val="0"/>
                <w:sz w:val="24"/>
                <w:szCs w:val="24"/>
                <w:shd w:val="clear" w:color="auto" w:fill="FFFFFF"/>
                <w:lang w:val="en-US" w:eastAsia="zh-CN"/>
              </w:rPr>
              <w:t>停车场地址</w:t>
            </w:r>
          </w:p>
        </w:tc>
        <w:tc>
          <w:tcPr>
            <w:tcW w:w="144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车位数量</w:t>
            </w:r>
          </w:p>
        </w:tc>
        <w:tc>
          <w:tcPr>
            <w:tcW w:w="870"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进口数量</w:t>
            </w:r>
          </w:p>
        </w:tc>
        <w:tc>
          <w:tcPr>
            <w:tcW w:w="1305" w:type="dxa"/>
            <w:tcBorders>
              <w:top w:val="nil"/>
              <w:left w:val="nil"/>
              <w:bottom w:val="single" w:color="auto" w:sz="4" w:space="0"/>
              <w:right w:val="single" w:color="auto" w:sz="4" w:space="0"/>
            </w:tcBorders>
            <w:shd w:val="clear" w:color="auto" w:fill="auto"/>
            <w:vAlign w:val="center"/>
          </w:tcPr>
          <w:p>
            <w:pPr>
              <w:widowControl/>
              <w:jc w:val="center"/>
              <w:textAlignment w:val="baseline"/>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出口数量</w:t>
            </w:r>
          </w:p>
        </w:tc>
      </w:tr>
      <w:tr>
        <w:tblPrEx>
          <w:tblCellMar>
            <w:top w:w="0" w:type="dxa"/>
            <w:left w:w="108" w:type="dxa"/>
            <w:bottom w:w="0" w:type="dxa"/>
            <w:right w:w="108" w:type="dxa"/>
          </w:tblCellMar>
        </w:tblPrEx>
        <w:trPr>
          <w:trHeight w:val="691"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1</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sz w:val="24"/>
                <w:szCs w:val="24"/>
                <w:lang w:val="en-US"/>
              </w:rPr>
              <w:t>创业园路停车场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eastAsia="zh-CN"/>
              </w:rPr>
              <w:t>经开区</w:t>
            </w:r>
            <w:r>
              <w:rPr>
                <w:rFonts w:hint="eastAsia" w:ascii="仿宋" w:hAnsi="仿宋" w:eastAsia="仿宋" w:cs="仿宋"/>
                <w:b/>
                <w:bCs/>
                <w:sz w:val="24"/>
                <w:szCs w:val="24"/>
                <w:lang w:val="en-US"/>
              </w:rPr>
              <w:t>创业园路与金寨路交叉口向西100米</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88</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653"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金寨路停车场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经开区金寨路与芙蓉路向北100米靠西辅桥下</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37</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595"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3</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国通停车场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sz w:val="24"/>
                <w:szCs w:val="24"/>
                <w:lang w:val="en-US" w:eastAsia="zh-CN"/>
              </w:rPr>
              <w:t>经开区</w:t>
            </w:r>
            <w:r>
              <w:rPr>
                <w:rFonts w:hint="eastAsia" w:ascii="仿宋" w:hAnsi="仿宋" w:eastAsia="仿宋" w:cs="仿宋"/>
                <w:b/>
                <w:bCs/>
                <w:sz w:val="24"/>
                <w:szCs w:val="24"/>
                <w:lang w:val="en-US"/>
              </w:rPr>
              <w:t>佛掌路与石门路交口</w:t>
            </w:r>
          </w:p>
        </w:tc>
        <w:tc>
          <w:tcPr>
            <w:tcW w:w="144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rPr>
              <w:t>180</w:t>
            </w:r>
          </w:p>
        </w:tc>
        <w:tc>
          <w:tcPr>
            <w:tcW w:w="87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610"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4</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方兴大道停车场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sz w:val="24"/>
                <w:szCs w:val="24"/>
                <w:lang w:val="en-US"/>
              </w:rPr>
              <w:t>经开区方兴大道与宿松路交口西北</w:t>
            </w:r>
          </w:p>
        </w:tc>
        <w:tc>
          <w:tcPr>
            <w:tcW w:w="144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rPr>
              <w:t>280</w:t>
            </w:r>
          </w:p>
        </w:tc>
        <w:tc>
          <w:tcPr>
            <w:tcW w:w="870"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c>
          <w:tcPr>
            <w:tcW w:w="1305" w:type="dxa"/>
            <w:tcBorders>
              <w:top w:val="nil"/>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rPr>
              <w:t>1</w:t>
            </w:r>
          </w:p>
        </w:tc>
      </w:tr>
      <w:tr>
        <w:tblPrEx>
          <w:tblCellMar>
            <w:top w:w="0" w:type="dxa"/>
            <w:left w:w="108" w:type="dxa"/>
            <w:bottom w:w="0" w:type="dxa"/>
            <w:right w:w="108" w:type="dxa"/>
          </w:tblCellMar>
        </w:tblPrEx>
        <w:trPr>
          <w:trHeight w:val="568" w:hRule="atLeast"/>
          <w:jc w:val="center"/>
        </w:trPr>
        <w:tc>
          <w:tcPr>
            <w:tcW w:w="653"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5</w:t>
            </w:r>
          </w:p>
        </w:tc>
        <w:tc>
          <w:tcPr>
            <w:tcW w:w="1950" w:type="dxa"/>
            <w:tcBorders>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锦绣大道东停车场</w:t>
            </w:r>
          </w:p>
        </w:tc>
        <w:tc>
          <w:tcPr>
            <w:tcW w:w="3951"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rPr>
              <w:t>经开区锦绣大道与天都路交口东北</w:t>
            </w:r>
          </w:p>
        </w:tc>
        <w:tc>
          <w:tcPr>
            <w:tcW w:w="144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140</w:t>
            </w:r>
          </w:p>
        </w:tc>
        <w:tc>
          <w:tcPr>
            <w:tcW w:w="870"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w:t>
            </w:r>
          </w:p>
        </w:tc>
        <w:tc>
          <w:tcPr>
            <w:tcW w:w="1305" w:type="dxa"/>
            <w:tcBorders>
              <w:top w:val="nil"/>
              <w:left w:val="nil"/>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w:t>
            </w:r>
          </w:p>
        </w:tc>
      </w:tr>
      <w:tr>
        <w:tblPrEx>
          <w:tblCellMar>
            <w:top w:w="0" w:type="dxa"/>
            <w:left w:w="108" w:type="dxa"/>
            <w:bottom w:w="0" w:type="dxa"/>
            <w:right w:w="108" w:type="dxa"/>
          </w:tblCellMar>
        </w:tblPrEx>
        <w:trPr>
          <w:trHeight w:val="63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锦绣大道西停车场</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rPr>
            </w:pPr>
            <w:r>
              <w:rPr>
                <w:rFonts w:hint="eastAsia" w:ascii="仿宋" w:hAnsi="仿宋" w:eastAsia="仿宋" w:cs="仿宋"/>
                <w:b/>
                <w:bCs/>
                <w:sz w:val="24"/>
                <w:szCs w:val="24"/>
                <w:lang w:val="en-US"/>
              </w:rPr>
              <w:t>经开区锦绣大道与天都路交口</w:t>
            </w:r>
            <w:r>
              <w:rPr>
                <w:rFonts w:hint="eastAsia" w:ascii="仿宋" w:hAnsi="仿宋" w:eastAsia="仿宋" w:cs="仿宋"/>
                <w:b/>
                <w:bCs/>
                <w:sz w:val="24"/>
                <w:szCs w:val="24"/>
                <w:lang w:val="en-US" w:eastAsia="zh-CN"/>
              </w:rPr>
              <w:t>西</w:t>
            </w:r>
            <w:r>
              <w:rPr>
                <w:rFonts w:hint="eastAsia" w:ascii="仿宋" w:hAnsi="仿宋" w:eastAsia="仿宋" w:cs="仿宋"/>
                <w:b/>
                <w:bCs/>
                <w:sz w:val="24"/>
                <w:szCs w:val="24"/>
                <w:lang w:val="en-US"/>
              </w:rPr>
              <w:t>北</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260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val="en-US" w:eastAsia="zh-CN"/>
              </w:rPr>
              <w:t>2</w:t>
            </w:r>
          </w:p>
        </w:tc>
      </w:tr>
      <w:tr>
        <w:tblPrEx>
          <w:tblCellMar>
            <w:top w:w="0" w:type="dxa"/>
            <w:left w:w="108" w:type="dxa"/>
            <w:bottom w:w="0" w:type="dxa"/>
            <w:right w:w="108" w:type="dxa"/>
          </w:tblCellMar>
        </w:tblPrEx>
        <w:trPr>
          <w:trHeight w:val="638" w:hRule="atLeast"/>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10个暂定停车场</w:t>
            </w:r>
          </w:p>
        </w:tc>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合经区范围内</w:t>
            </w:r>
          </w:p>
        </w:tc>
        <w:tc>
          <w:tcPr>
            <w:tcW w:w="36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baseline"/>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未确定</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1.中标单位须免费提供停车收费运营管理平台以及对平台的运行维护和版本更新，收费运营管理平台须包含月卡管理表、定期对账表的输出，日常异常通行情况的查询处理；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2.停车场电子发票平台（数电）的对接服务，包括电子发票的版式文件的生成、打印、查询和交付等基础服务，大额发票的人工处理以及电子发票服务在线后可存储的全部电子发票票据，不限制数量；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3.停车场网络环境的维护，包括路由器、交换机、光纤收发器等弱电附属设备的维护检修；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4.停车场硬件设备（道闸、识别机等）的维护，包括不限次数的上门维修，工时费免费，材料费另行采购；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5.本项目单个停车场控制价为4000元；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113" w:rightChars="0" w:firstLine="438" w:firstLineChars="200"/>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6.本项目后期约有10个停车场陆续投入使用，具体费用据实结算，费用计算方式为（单个停车场控制价/12个月*报价费率）。</w:t>
      </w:r>
    </w:p>
    <w:p>
      <w:pPr>
        <w:keepNext w:val="0"/>
        <w:keepLines w:val="0"/>
        <w:pageBreakBefore w:val="0"/>
        <w:widowControl w:val="0"/>
        <w:kinsoku/>
        <w:wordWrap/>
        <w:overflowPunct/>
        <w:topLinePunct w:val="0"/>
        <w:autoSpaceDE/>
        <w:autoSpaceDN/>
        <w:bidi w:val="0"/>
        <w:adjustRightInd/>
        <w:snapToGrid/>
        <w:spacing w:line="360" w:lineRule="auto"/>
        <w:ind w:left="0" w:leftChars="0" w:right="113" w:rightChars="0" w:firstLine="438" w:firstLineChars="200"/>
        <w:textAlignment w:val="baseline"/>
        <w:rPr>
          <w:rFonts w:hint="eastAsia" w:hAnsi="宋体"/>
          <w:color w:val="000000"/>
          <w:highlight w:val="none"/>
        </w:rPr>
      </w:pPr>
      <w:r>
        <w:rPr>
          <w:rFonts w:hint="eastAsia" w:ascii="仿宋" w:hAnsi="仿宋" w:eastAsia="仿宋"/>
          <w:b/>
          <w:color w:val="000000"/>
          <w:sz w:val="24"/>
          <w:szCs w:val="24"/>
        </w:rPr>
        <w:t>备注：</w:t>
      </w:r>
      <w:r>
        <w:rPr>
          <w:rFonts w:hint="eastAsia" w:ascii="仿宋" w:hAnsi="仿宋" w:eastAsia="仿宋"/>
          <w:b/>
          <w:color w:val="000000"/>
          <w:sz w:val="24"/>
          <w:szCs w:val="24"/>
          <w:lang w:val="en-US" w:eastAsia="zh-CN"/>
        </w:rPr>
        <w:t>本项目现有的六个停车场有小型停车场、货运停车场，要求维保单位具备软件系统的维护能力，可根据甲方管理要求改变或增加相应功能，精通各品牌设施设备的故障排查及修复，目前使用的道闸识别机的品牌有：诚益、蓝卡及其他品牌。硬件维护要求24小时内响应维护能力，软件系统提供24小时在线技术支持。</w:t>
      </w:r>
    </w:p>
    <w:p>
      <w:pPr>
        <w:pStyle w:val="2"/>
        <w:spacing w:before="480" w:after="260" w:line="500" w:lineRule="exact"/>
        <w:jc w:val="both"/>
        <w:rPr>
          <w:rFonts w:hAnsi="宋体"/>
          <w:b/>
          <w:color w:val="000000"/>
          <w:sz w:val="72"/>
          <w:szCs w:val="24"/>
          <w:highlight w:val="none"/>
        </w:rPr>
      </w:pPr>
      <w:r>
        <w:rPr>
          <w:rFonts w:hint="eastAsia" w:hAnsi="宋体"/>
          <w:color w:val="000000"/>
          <w:highlight w:val="none"/>
        </w:rPr>
        <w:t>六、响应文件格式</w:t>
      </w: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line="500" w:lineRule="exact"/>
        <w:jc w:val="both"/>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197"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198" w:name="_Toc2774249"/>
      <w:bookmarkStart w:id="199" w:name="_Toc461056631"/>
      <w:bookmarkStart w:id="200" w:name="_Toc461053086"/>
      <w:r>
        <w:rPr>
          <w:rFonts w:hint="eastAsia" w:ascii="宋体" w:hAnsi="宋体" w:eastAsia="宋体"/>
          <w:bCs w:val="0"/>
          <w:color w:val="000000"/>
          <w:sz w:val="24"/>
          <w:szCs w:val="24"/>
          <w:highlight w:val="none"/>
        </w:rPr>
        <w:t>附件：</w:t>
      </w:r>
    </w:p>
    <w:p>
      <w:pPr>
        <w:pStyle w:val="3"/>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highlight w:val="none"/>
        </w:rPr>
        <w:t>一</w:t>
      </w:r>
      <w:bookmarkEnd w:id="198"/>
      <w:bookmarkEnd w:id="199"/>
      <w:bookmarkEnd w:id="200"/>
      <w:r>
        <w:rPr>
          <w:rFonts w:hint="eastAsia" w:ascii="宋体" w:hAnsi="宋体" w:eastAsia="宋体"/>
          <w:bCs w:val="0"/>
          <w:color w:val="000000"/>
          <w:sz w:val="24"/>
          <w:szCs w:val="24"/>
          <w:highlight w:val="none"/>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bookmarkEnd w:id="197"/>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highlight w:val="none"/>
              </w:rPr>
            </w:pPr>
            <w:r>
              <w:rPr>
                <w:rFonts w:hint="eastAsia" w:ascii="宋体" w:hAnsi="宋体"/>
                <w:b/>
                <w:color w:val="000000"/>
                <w:sz w:val="24"/>
                <w:highlight w:val="none"/>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投标人全称</w:t>
            </w:r>
          </w:p>
        </w:tc>
        <w:tc>
          <w:tcPr>
            <w:tcW w:w="7490" w:type="dxa"/>
            <w:tcBorders>
              <w:top w:val="nil"/>
            </w:tcBorders>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投标范围</w:t>
            </w:r>
          </w:p>
        </w:tc>
        <w:tc>
          <w:tcPr>
            <w:tcW w:w="7490" w:type="dxa"/>
            <w:tcBorders>
              <w:top w:val="nil"/>
            </w:tcBorders>
            <w:noWrap w:val="0"/>
            <w:vAlign w:val="center"/>
          </w:tcPr>
          <w:p>
            <w:pPr>
              <w:widowControl/>
              <w:jc w:val="center"/>
              <w:rPr>
                <w:rFonts w:hint="eastAsia" w:ascii="宋体" w:hAnsi="宋体"/>
                <w:b/>
                <w:bCs/>
                <w:color w:val="000000"/>
                <w:sz w:val="24"/>
                <w:szCs w:val="28"/>
                <w:highlight w:val="none"/>
              </w:rPr>
            </w:pPr>
            <w:r>
              <w:rPr>
                <w:rFonts w:hint="eastAsia" w:ascii="宋体" w:hAnsi="宋体"/>
                <w:b/>
                <w:bCs/>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700" w:type="dxa"/>
            <w:tcBorders>
              <w:top w:val="nil"/>
              <w:bottom w:val="single" w:color="auto" w:sz="4" w:space="0"/>
            </w:tcBorders>
            <w:noWrap w:val="0"/>
            <w:vAlign w:val="center"/>
          </w:tcPr>
          <w:p>
            <w:pPr>
              <w:ind w:firstLine="438" w:firstLineChars="200"/>
              <w:jc w:val="both"/>
              <w:rPr>
                <w:rFonts w:hint="eastAsia" w:ascii="宋体" w:hAnsi="宋体" w:eastAsia="宋体"/>
                <w:b/>
                <w:color w:val="000000"/>
                <w:sz w:val="24"/>
                <w:highlight w:val="none"/>
                <w:lang w:val="en-US" w:eastAsia="zh-CN"/>
              </w:rPr>
            </w:pPr>
            <w:r>
              <w:rPr>
                <w:rFonts w:hint="eastAsia" w:ascii="宋体" w:hAnsi="宋体"/>
                <w:b/>
                <w:color w:val="000000"/>
                <w:sz w:val="24"/>
                <w:highlight w:val="none"/>
                <w:lang w:val="en-US" w:eastAsia="zh-CN"/>
              </w:rPr>
              <w:t>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highlight w:val="none"/>
                <w:u w:val="single"/>
                <w:lang w:val="en-US" w:eastAsia="zh-CN"/>
              </w:rPr>
            </w:pPr>
            <w:r>
              <w:rPr>
                <w:rFonts w:hint="eastAsia" w:hAnsi="宋体"/>
                <w:b/>
                <w:bCs/>
                <w:color w:val="000000"/>
                <w:sz w:val="24"/>
                <w:szCs w:val="28"/>
                <w:highlight w:val="none"/>
                <w:lang w:val="en-US" w:eastAsia="zh-CN"/>
              </w:rPr>
              <w:t>费率</w:t>
            </w:r>
            <w:r>
              <w:rPr>
                <w:rFonts w:hint="eastAsia" w:ascii="宋体" w:hAnsi="宋体"/>
                <w:b/>
                <w:bCs/>
                <w:color w:val="000000"/>
                <w:sz w:val="24"/>
                <w:szCs w:val="28"/>
                <w:highlight w:val="none"/>
                <w:lang w:eastAsia="zh-CN"/>
              </w:rPr>
              <w:t>：</w:t>
            </w:r>
            <w:r>
              <w:rPr>
                <w:rFonts w:hint="eastAsia" w:ascii="宋体" w:hAnsi="宋体"/>
                <w:b/>
                <w:color w:val="000000"/>
                <w:sz w:val="24"/>
                <w:highlight w:val="none"/>
                <w:u w:val="single"/>
                <w:lang w:val="en-US" w:eastAsia="zh-CN"/>
              </w:rPr>
              <w:t xml:space="preserve">                    </w:t>
            </w:r>
          </w:p>
          <w:p>
            <w:pPr>
              <w:spacing w:line="480" w:lineRule="auto"/>
              <w:jc w:val="left"/>
              <w:rPr>
                <w:rFonts w:hint="eastAsia" w:ascii="宋体" w:hAnsi="宋体"/>
                <w:color w:val="000000"/>
                <w:sz w:val="24"/>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highlight w:val="none"/>
                <w:lang w:val="en-US" w:eastAsia="zh-CN"/>
              </w:rPr>
            </w:pPr>
            <w:r>
              <w:rPr>
                <w:rFonts w:hint="eastAsia" w:ascii="宋体" w:hAnsi="宋体"/>
                <w:b/>
                <w:color w:val="000000"/>
                <w:sz w:val="24"/>
                <w:highlight w:val="none"/>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highlight w:val="none"/>
                <w:lang w:eastAsia="zh-CN"/>
              </w:rPr>
            </w:pPr>
          </w:p>
        </w:tc>
      </w:tr>
    </w:tbl>
    <w:p>
      <w:pPr>
        <w:numPr>
          <w:ilvl w:val="0"/>
          <w:numId w:val="3"/>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报价内容根据招标文件要求包含人工、机械、辅材、运输等一切施工所发生的费用及税金。</w:t>
      </w:r>
    </w:p>
    <w:p>
      <w:pPr>
        <w:numPr>
          <w:ilvl w:val="0"/>
          <w:numId w:val="3"/>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特殊事项在备注中注明。</w:t>
      </w:r>
    </w:p>
    <w:p>
      <w:pPr>
        <w:spacing w:line="400" w:lineRule="exact"/>
        <w:jc w:val="right"/>
        <w:rPr>
          <w:rFonts w:hint="eastAsia" w:ascii="宋体" w:hAnsi="宋体"/>
          <w:b/>
          <w:color w:val="000000"/>
          <w:sz w:val="24"/>
          <w:highlight w:val="none"/>
        </w:rPr>
      </w:pPr>
      <w:r>
        <w:rPr>
          <w:rFonts w:hint="eastAsia" w:ascii="宋体" w:hAnsi="宋体"/>
          <w:b/>
          <w:color w:val="000000"/>
          <w:sz w:val="24"/>
          <w:highlight w:val="none"/>
        </w:rPr>
        <w:t>投标人：</w:t>
      </w:r>
      <w:r>
        <w:rPr>
          <w:rFonts w:hint="eastAsia" w:ascii="宋体" w:hAnsi="宋体"/>
          <w:b/>
          <w:color w:val="000000"/>
          <w:sz w:val="24"/>
          <w:highlight w:val="none"/>
          <w:u w:val="single"/>
        </w:rPr>
        <w:t xml:space="preserve">                  </w:t>
      </w:r>
      <w:r>
        <w:rPr>
          <w:rFonts w:hint="eastAsia" w:ascii="宋体" w:hAnsi="宋体"/>
          <w:b/>
          <w:color w:val="000000"/>
          <w:sz w:val="24"/>
          <w:highlight w:val="none"/>
        </w:rPr>
        <w:t>（加盖公章）</w:t>
      </w:r>
    </w:p>
    <w:p>
      <w:pPr>
        <w:spacing w:line="400" w:lineRule="exact"/>
        <w:jc w:val="right"/>
        <w:rPr>
          <w:rFonts w:ascii="宋体" w:hAnsi="宋体"/>
          <w:b/>
          <w:color w:val="000000"/>
          <w:sz w:val="24"/>
          <w:highlight w:val="none"/>
        </w:rPr>
      </w:pPr>
      <w:r>
        <w:rPr>
          <w:rFonts w:hint="eastAsia" w:ascii="宋体" w:hAnsi="宋体"/>
          <w:b/>
          <w:color w:val="000000"/>
          <w:sz w:val="24"/>
          <w:highlight w:val="none"/>
          <w:u w:val="single"/>
        </w:rPr>
        <w:t xml:space="preserve">       </w:t>
      </w:r>
      <w:r>
        <w:rPr>
          <w:rFonts w:hint="eastAsia" w:ascii="宋体" w:hAnsi="宋体"/>
          <w:b/>
          <w:color w:val="000000"/>
          <w:sz w:val="24"/>
          <w:highlight w:val="none"/>
        </w:rPr>
        <w:t>年</w:t>
      </w:r>
      <w:r>
        <w:rPr>
          <w:rFonts w:hint="eastAsia" w:ascii="宋体" w:hAnsi="宋体"/>
          <w:b/>
          <w:color w:val="000000"/>
          <w:sz w:val="24"/>
          <w:highlight w:val="none"/>
          <w:u w:val="single"/>
        </w:rPr>
        <w:t xml:space="preserve">    </w:t>
      </w:r>
      <w:r>
        <w:rPr>
          <w:rFonts w:hint="eastAsia" w:ascii="宋体" w:hAnsi="宋体"/>
          <w:b/>
          <w:color w:val="000000"/>
          <w:sz w:val="24"/>
          <w:highlight w:val="none"/>
        </w:rPr>
        <w:t>月</w:t>
      </w:r>
      <w:r>
        <w:rPr>
          <w:rFonts w:hint="eastAsia" w:ascii="宋体" w:hAnsi="宋体"/>
          <w:b/>
          <w:color w:val="000000"/>
          <w:sz w:val="24"/>
          <w:highlight w:val="none"/>
          <w:u w:val="single"/>
        </w:rPr>
        <w:t xml:space="preserve">    </w:t>
      </w:r>
      <w:r>
        <w:rPr>
          <w:rFonts w:hint="eastAsia" w:ascii="宋体" w:hAnsi="宋体"/>
          <w:b/>
          <w:color w:val="000000"/>
          <w:sz w:val="24"/>
          <w:highlight w:val="none"/>
        </w:rPr>
        <w:t>日</w:t>
      </w: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01" w:name="_Toc438648620"/>
      <w:r>
        <w:rPr>
          <w:rFonts w:hint="eastAsia" w:hAnsi="宋体" w:cs="宋体"/>
          <w:b/>
          <w:color w:val="000000"/>
          <w:szCs w:val="24"/>
          <w:highlight w:val="none"/>
        </w:rPr>
        <w:br w:type="page"/>
      </w:r>
      <w:bookmarkEnd w:id="201"/>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2"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2"/>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bookmarkEnd w:id="57"/>
    <w:bookmarkEnd w:id="58"/>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A85F"/>
    <w:multiLevelType w:val="singleLevel"/>
    <w:tmpl w:val="AB46A85F"/>
    <w:lvl w:ilvl="0" w:tentative="0">
      <w:start w:val="1"/>
      <w:numFmt w:val="decimal"/>
      <w:suff w:val="nothing"/>
      <w:lvlText w:val="%1、"/>
      <w:lvlJc w:val="left"/>
    </w:lvl>
  </w:abstractNum>
  <w:abstractNum w:abstractNumId="1">
    <w:nsid w:val="B46B52F8"/>
    <w:multiLevelType w:val="singleLevel"/>
    <w:tmpl w:val="B46B52F8"/>
    <w:lvl w:ilvl="0" w:tentative="0">
      <w:start w:val="1"/>
      <w:numFmt w:val="decimal"/>
      <w:suff w:val="nothing"/>
      <w:lvlText w:val="%1、"/>
      <w:lvlJc w:val="left"/>
    </w:lvl>
  </w:abstractNum>
  <w:abstractNum w:abstractNumId="2">
    <w:nsid w:val="53CFB17E"/>
    <w:multiLevelType w:val="singleLevel"/>
    <w:tmpl w:val="53CFB17E"/>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73308E6"/>
    <w:rsid w:val="08C80B30"/>
    <w:rsid w:val="092034C7"/>
    <w:rsid w:val="092C5938"/>
    <w:rsid w:val="09767F5F"/>
    <w:rsid w:val="09CB2E19"/>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CE4908"/>
    <w:rsid w:val="1D7734E2"/>
    <w:rsid w:val="1E212D2C"/>
    <w:rsid w:val="1FAF6052"/>
    <w:rsid w:val="200D2E52"/>
    <w:rsid w:val="21FD3AEA"/>
    <w:rsid w:val="220F56F1"/>
    <w:rsid w:val="239A4ADD"/>
    <w:rsid w:val="23AF0C03"/>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2FCE1AFF"/>
    <w:rsid w:val="30172FC7"/>
    <w:rsid w:val="30273B58"/>
    <w:rsid w:val="305A2C48"/>
    <w:rsid w:val="31892A9F"/>
    <w:rsid w:val="31CD41A8"/>
    <w:rsid w:val="32CC4C19"/>
    <w:rsid w:val="32DF6E6C"/>
    <w:rsid w:val="32EA53D2"/>
    <w:rsid w:val="333D17B4"/>
    <w:rsid w:val="33610BC3"/>
    <w:rsid w:val="33D07626"/>
    <w:rsid w:val="33FE78CF"/>
    <w:rsid w:val="3426478E"/>
    <w:rsid w:val="344F5198"/>
    <w:rsid w:val="34FB0156"/>
    <w:rsid w:val="350A2D03"/>
    <w:rsid w:val="37347A81"/>
    <w:rsid w:val="3740068C"/>
    <w:rsid w:val="37A46854"/>
    <w:rsid w:val="37D96780"/>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BF75BB4"/>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362AE0"/>
    <w:rsid w:val="537D5B1F"/>
    <w:rsid w:val="53885680"/>
    <w:rsid w:val="57A82F18"/>
    <w:rsid w:val="59503A2E"/>
    <w:rsid w:val="59771907"/>
    <w:rsid w:val="599F2EC1"/>
    <w:rsid w:val="59D623D0"/>
    <w:rsid w:val="59E5547D"/>
    <w:rsid w:val="5A144CF0"/>
    <w:rsid w:val="5A246F8E"/>
    <w:rsid w:val="5A533AA6"/>
    <w:rsid w:val="5B4D74F0"/>
    <w:rsid w:val="5C031541"/>
    <w:rsid w:val="5D667F60"/>
    <w:rsid w:val="5E661FE6"/>
    <w:rsid w:val="5ED72AC2"/>
    <w:rsid w:val="5F9C06A7"/>
    <w:rsid w:val="612A4F36"/>
    <w:rsid w:val="62A819D0"/>
    <w:rsid w:val="62C124BF"/>
    <w:rsid w:val="62EC7940"/>
    <w:rsid w:val="638C1840"/>
    <w:rsid w:val="639826A5"/>
    <w:rsid w:val="643B21CC"/>
    <w:rsid w:val="643F2933"/>
    <w:rsid w:val="64D65719"/>
    <w:rsid w:val="65501489"/>
    <w:rsid w:val="658656AE"/>
    <w:rsid w:val="65CD5731"/>
    <w:rsid w:val="65DF0A5F"/>
    <w:rsid w:val="670717DE"/>
    <w:rsid w:val="677102A6"/>
    <w:rsid w:val="67993F64"/>
    <w:rsid w:val="6A462692"/>
    <w:rsid w:val="6A6E367C"/>
    <w:rsid w:val="6C0C505C"/>
    <w:rsid w:val="6C3E4CD2"/>
    <w:rsid w:val="6CAB69A8"/>
    <w:rsid w:val="6CBE1293"/>
    <w:rsid w:val="6D0464DC"/>
    <w:rsid w:val="6D102A04"/>
    <w:rsid w:val="6D855A48"/>
    <w:rsid w:val="6E252855"/>
    <w:rsid w:val="6E2D073C"/>
    <w:rsid w:val="6F45735D"/>
    <w:rsid w:val="71A154FB"/>
    <w:rsid w:val="71C16538"/>
    <w:rsid w:val="724867B5"/>
    <w:rsid w:val="72767ABF"/>
    <w:rsid w:val="72A6388B"/>
    <w:rsid w:val="7525795F"/>
    <w:rsid w:val="7724688B"/>
    <w:rsid w:val="77737045"/>
    <w:rsid w:val="78880A9E"/>
    <w:rsid w:val="78F43936"/>
    <w:rsid w:val="79627A17"/>
    <w:rsid w:val="79C36F21"/>
    <w:rsid w:val="7AC4542B"/>
    <w:rsid w:val="7AD249BD"/>
    <w:rsid w:val="7B155F4D"/>
    <w:rsid w:val="7B4C46EE"/>
    <w:rsid w:val="7B7C60D6"/>
    <w:rsid w:val="7BC52524"/>
    <w:rsid w:val="7C1D3BDA"/>
    <w:rsid w:val="7C4476A9"/>
    <w:rsid w:val="7CF9620B"/>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4"/>
    <w:autoRedefine/>
    <w:qFormat/>
    <w:uiPriority w:val="0"/>
    <w:pPr>
      <w:keepNext/>
      <w:outlineLvl w:val="4"/>
    </w:pPr>
    <w:rPr>
      <w:rFonts w:hAnsi="Arial"/>
      <w:bCs/>
      <w:kern w:val="2"/>
      <w:sz w:val="28"/>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rPr>
      <w:rFonts w:ascii="黑体" w:hAnsi="Arial" w:eastAsia="黑体"/>
      <w:b/>
      <w:sz w:val="28"/>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link w:val="78"/>
    <w:autoRedefine/>
    <w:qFormat/>
    <w:uiPriority w:val="0"/>
    <w:pPr>
      <w:ind w:firstLine="645"/>
    </w:pPr>
    <w:rPr>
      <w:rFonts w:ascii="楷体_GB2312" w:eastAsia="楷体_GB2312"/>
      <w:kern w:val="2"/>
      <w:sz w:val="32"/>
    </w:rPr>
  </w:style>
  <w:style w:type="paragraph" w:styleId="26">
    <w:name w:val="List 2"/>
    <w:basedOn w:val="1"/>
    <w:autoRedefine/>
    <w:qFormat/>
    <w:uiPriority w:val="0"/>
    <w:pPr>
      <w:ind w:left="100" w:leftChars="200" w:hanging="200" w:hangingChars="200"/>
    </w:pPr>
    <w:rPr>
      <w:szCs w:val="24"/>
    </w:rPr>
  </w:style>
  <w:style w:type="paragraph" w:styleId="27">
    <w:name w:val="List Continue"/>
    <w:basedOn w:val="1"/>
    <w:autoRedefine/>
    <w:qFormat/>
    <w:uiPriority w:val="0"/>
    <w:pPr>
      <w:spacing w:after="120"/>
      <w:ind w:left="420" w:leftChars="200"/>
    </w:pPr>
    <w:rPr>
      <w:szCs w:val="24"/>
    </w:rPr>
  </w:style>
  <w:style w:type="paragraph" w:styleId="28">
    <w:name w:val="Block Text"/>
    <w:basedOn w:val="1"/>
    <w:autoRedefine/>
    <w:qFormat/>
    <w:uiPriority w:val="0"/>
    <w:pPr>
      <w:spacing w:after="120"/>
      <w:ind w:left="1440" w:leftChars="700" w:right="1440" w:rightChars="700"/>
    </w:pPr>
    <w:rPr>
      <w:szCs w:val="24"/>
    </w:rPr>
  </w:style>
  <w:style w:type="paragraph" w:styleId="29">
    <w:name w:val="index 4"/>
    <w:basedOn w:val="1"/>
    <w:next w:val="1"/>
    <w:autoRedefine/>
    <w:qFormat/>
    <w:uiPriority w:val="0"/>
    <w:pPr>
      <w:ind w:left="600" w:leftChars="600"/>
    </w:pPr>
  </w:style>
  <w:style w:type="paragraph" w:styleId="30">
    <w:name w:val="toc 5"/>
    <w:basedOn w:val="1"/>
    <w:next w:val="1"/>
    <w:autoRedefine/>
    <w:qFormat/>
    <w:uiPriority w:val="39"/>
    <w:pPr>
      <w:ind w:left="840"/>
      <w:jc w:val="left"/>
    </w:pPr>
    <w:rPr>
      <w:szCs w:val="21"/>
    </w:rPr>
  </w:style>
  <w:style w:type="paragraph" w:styleId="31">
    <w:name w:val="toc 3"/>
    <w:basedOn w:val="1"/>
    <w:next w:val="1"/>
    <w:autoRedefine/>
    <w:qFormat/>
    <w:uiPriority w:val="39"/>
    <w:pPr>
      <w:ind w:left="420"/>
      <w:jc w:val="left"/>
    </w:pPr>
    <w:rPr>
      <w:i/>
      <w:iCs/>
      <w:szCs w:val="24"/>
    </w:rPr>
  </w:style>
  <w:style w:type="paragraph" w:styleId="32">
    <w:name w:val="Plain Text"/>
    <w:basedOn w:val="1"/>
    <w:link w:val="164"/>
    <w:autoRedefine/>
    <w:qFormat/>
    <w:uiPriority w:val="0"/>
    <w:rPr>
      <w:rFonts w:hAnsi="Courier New"/>
      <w:kern w:val="2"/>
      <w:sz w:val="21"/>
    </w:rPr>
  </w:style>
  <w:style w:type="paragraph" w:styleId="33">
    <w:name w:val="toc 8"/>
    <w:basedOn w:val="1"/>
    <w:next w:val="1"/>
    <w:autoRedefine/>
    <w:qFormat/>
    <w:uiPriority w:val="39"/>
    <w:pPr>
      <w:ind w:left="1470"/>
      <w:jc w:val="left"/>
    </w:pPr>
    <w:rPr>
      <w:szCs w:val="21"/>
    </w:rPr>
  </w:style>
  <w:style w:type="paragraph" w:styleId="34">
    <w:name w:val="index 3"/>
    <w:basedOn w:val="1"/>
    <w:next w:val="1"/>
    <w:autoRedefine/>
    <w:qFormat/>
    <w:uiPriority w:val="0"/>
    <w:pPr>
      <w:ind w:left="400" w:leftChars="400"/>
    </w:pPr>
  </w:style>
  <w:style w:type="paragraph" w:styleId="35">
    <w:name w:val="Date"/>
    <w:basedOn w:val="1"/>
    <w:next w:val="1"/>
    <w:link w:val="96"/>
    <w:autoRedefine/>
    <w:qFormat/>
    <w:uiPriority w:val="0"/>
    <w:rPr>
      <w:rFonts w:ascii="Times New Roman"/>
      <w:b/>
      <w:kern w:val="2"/>
      <w:sz w:val="28"/>
    </w:rPr>
  </w:style>
  <w:style w:type="paragraph" w:styleId="36">
    <w:name w:val="Body Text Indent 2"/>
    <w:basedOn w:val="1"/>
    <w:link w:val="180"/>
    <w:autoRedefine/>
    <w:qFormat/>
    <w:uiPriority w:val="0"/>
    <w:pPr>
      <w:ind w:left="630" w:firstLine="645"/>
    </w:pPr>
    <w:rPr>
      <w:rFonts w:ascii="Arial" w:hAnsi="Arial" w:eastAsia="仿宋_GB2312"/>
      <w:sz w:val="32"/>
    </w:rPr>
  </w:style>
  <w:style w:type="paragraph" w:styleId="37">
    <w:name w:val="Balloon Text"/>
    <w:basedOn w:val="1"/>
    <w:link w:val="89"/>
    <w:autoRedefine/>
    <w:qFormat/>
    <w:uiPriority w:val="99"/>
    <w:rPr>
      <w:sz w:val="18"/>
      <w:szCs w:val="18"/>
    </w:rPr>
  </w:style>
  <w:style w:type="paragraph" w:styleId="38">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7"/>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5"/>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Arial" w:eastAsia="黑体"/>
      <w:b/>
      <w:sz w:val="28"/>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b/>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
      <w:bCs/>
      <w:kern w:val="2"/>
      <w:sz w:val="28"/>
      <w:szCs w:val="28"/>
      <w:lang w:val="en-US" w:eastAsia="zh-CN" w:bidi="ar-SA"/>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29"/>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2"/>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rFonts w:eastAsia="宋体"/>
      <w:b/>
      <w:bCs/>
      <w:kern w:val="44"/>
      <w:sz w:val="30"/>
      <w:szCs w:val="44"/>
      <w:lang w:val="en-US" w:eastAsia="zh-CN" w:bidi="ar-SA"/>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eastAsia="宋体"/>
      <w:bCs/>
      <w:kern w:val="2"/>
      <w:sz w:val="28"/>
      <w:lang w:val="en-US" w:eastAsia="zh-CN" w:bidi="ar-SA"/>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6"/>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8"/>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2"/>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fill="666666"/>
    </w:rPr>
  </w:style>
  <w:style w:type="character" w:customStyle="1" w:styleId="326">
    <w:name w:val="active5"/>
    <w:basedOn w:val="67"/>
    <w:autoRedefine/>
    <w:qFormat/>
    <w:uiPriority w:val="0"/>
    <w:rPr>
      <w:color w:val="00FF00"/>
      <w:shd w:val="clear" w:fill="111111"/>
    </w:rPr>
  </w:style>
  <w:style w:type="character" w:customStyle="1" w:styleId="327">
    <w:name w:val="xdrichtextbox"/>
    <w:basedOn w:val="67"/>
    <w:autoRedefine/>
    <w:qFormat/>
    <w:uiPriority w:val="0"/>
    <w:rPr>
      <w:color w:val="auto"/>
      <w:sz w:val="18"/>
      <w:szCs w:val="18"/>
      <w:u w:val="none"/>
      <w:bdr w:val="single" w:color="DCDCDC" w:sz="8" w:space="0"/>
      <w:shd w:val="clear"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fill="111111"/>
    </w:rPr>
  </w:style>
  <w:style w:type="character" w:customStyle="1" w:styleId="330">
    <w:name w:val="hilite5"/>
    <w:basedOn w:val="67"/>
    <w:autoRedefine/>
    <w:qFormat/>
    <w:uiPriority w:val="0"/>
    <w:rPr>
      <w:color w:val="FFFFFF"/>
      <w:shd w:val="clear"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11</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2024-10-09T08:31:55Z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