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360" w:lineRule="auto"/>
        <w:jc w:val="center"/>
        <w:rPr>
          <w:rFonts w:hAnsi="宋体"/>
          <w:b/>
          <w:color w:val="000000"/>
        </w:rPr>
      </w:pPr>
      <w:bookmarkStart w:id="0" w:name="_Toc438648618"/>
      <w:r>
        <w:rPr>
          <w:rFonts w:hint="eastAsia" w:hAnsi="宋体" w:cs="宋体"/>
          <w:b/>
          <w:color w:val="000000"/>
          <w:szCs w:val="24"/>
        </w:rPr>
        <w:t>响应文件资料清单</w:t>
      </w:r>
    </w:p>
    <w:tbl>
      <w:tblPr>
        <w:tblStyle w:val="1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461056631"/>
      <w:bookmarkStart w:id="3" w:name="_Toc2774249"/>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int="default" w:eastAsia="宋体"/>
                <w:lang w:val="en-US" w:eastAsia="zh-CN"/>
              </w:rPr>
            </w:pPr>
            <w:r>
              <w:rPr>
                <w:rFonts w:hint="eastAsia" w:hAnsi="宋体"/>
                <w:b/>
                <w:color w:val="000000"/>
                <w:highlight w:val="yellow"/>
                <w:u w:val="single"/>
                <w:lang w:val="en-US" w:eastAsia="zh-CN"/>
              </w:rPr>
              <w:t>金额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5"/>
        <w:ind w:left="438" w:firstLine="600"/>
        <w:rPr>
          <w:rFonts w:hAnsi="宋体"/>
          <w:b/>
          <w:bCs/>
          <w:color w:val="000000"/>
          <w:szCs w:val="28"/>
        </w:rPr>
      </w:pPr>
    </w:p>
    <w:p>
      <w:pPr>
        <w:pStyle w:val="15"/>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采购服务类项目需求表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8"/>
          <w:highlight w:val="none"/>
          <w:lang w:val="en-US" w:eastAsia="zh-CN"/>
        </w:rPr>
        <w:t>IT技术支持</w:t>
      </w:r>
      <w:r>
        <w:rPr>
          <w:rFonts w:hint="eastAsia" w:ascii="宋体" w:hAnsi="宋体" w:eastAsia="宋体" w:cs="宋体"/>
          <w:b/>
          <w:bCs/>
          <w:color w:val="auto"/>
          <w:sz w:val="28"/>
          <w:szCs w:val="28"/>
          <w:highlight w:val="none"/>
        </w:rPr>
        <w:t>服务内容：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修复服务范围内办公计算机常见问题、计算机网络等故障以及打印及复印机常见的问题（如：卡纸，漏粉等问题）。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提供常用操作系统，和办公软件安装及维护，如常用操作系统XP，Win7, Win10；办公软件Office2007、autocad 2007 、PhotoShop、QQ、PDF阅读器、360安全防护套装等。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提供业务咨询，当有需要时，免费提供电脑硬件升级优化方案，经济可行，并经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同意后实施（相关硬件由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以下故障虽不在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维护范围之类，但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提供免费技术支持服务工作： </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从网上下载的专业或非专业类软件，破解版软件，注册软件使用中引起的系统故障； 以及其他</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自行购买的其它专业性软件和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使用的专用软件或自主开发的软件（如金税开票，探索网上审报软件等）所出现的问题，及时提供协助工作。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应定期对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相关人员提供相关培训。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应保持同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的联络及对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工作人员上门维修时的接待，回答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关于设备故障的有关问题。为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技术人员提供工作场所和必要设施（如电源和照明灯等），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协助</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保存计算机内重要资料。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7、每周不少于两次对中央机房的财务软件服务器、物业管理服务器、办公OA服务器和SQL数据库服务器的数据进行备份工作，相关的数据转移到安全数据专用备份移动硬盘中。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二、有关服务要求：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1、每周一、周三的上午9：00—11：00（不包括节、假日）为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在繁华大道266号新办公楼的固定服务时间，每周二的上午9：00—11：00（不包括节、假日）为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在新桥分公司办公地方的固定服务时间；</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安排专业的</w:t>
      </w:r>
      <w:r>
        <w:rPr>
          <w:rFonts w:hint="eastAsia" w:ascii="宋体" w:hAnsi="宋体" w:eastAsia="宋体" w:cs="宋体"/>
          <w:color w:val="auto"/>
          <w:sz w:val="24"/>
          <w:szCs w:val="24"/>
          <w:highlight w:val="none"/>
          <w:lang w:val="en-US" w:eastAsia="zh-CN"/>
        </w:rPr>
        <w:t>驻点</w:t>
      </w:r>
      <w:r>
        <w:rPr>
          <w:rFonts w:hint="eastAsia" w:ascii="宋体" w:hAnsi="宋体" w:eastAsia="宋体" w:cs="宋体"/>
          <w:color w:val="auto"/>
          <w:sz w:val="24"/>
          <w:szCs w:val="24"/>
          <w:highlight w:val="none"/>
        </w:rPr>
        <w:t>技术人员在</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lang w:val="en-US" w:eastAsia="zh-CN"/>
        </w:rPr>
        <w:t>指定地点</w:t>
      </w:r>
      <w:r>
        <w:rPr>
          <w:rFonts w:hint="eastAsia" w:ascii="宋体" w:hAnsi="宋体" w:eastAsia="宋体" w:cs="宋体"/>
          <w:color w:val="auto"/>
          <w:sz w:val="24"/>
          <w:szCs w:val="24"/>
          <w:highlight w:val="none"/>
        </w:rPr>
        <w:t>等待服务指令；其他时间段，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技术人员在接到</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报修</w:t>
      </w:r>
      <w:r>
        <w:rPr>
          <w:rFonts w:hint="eastAsia" w:ascii="宋体" w:hAnsi="宋体" w:eastAsia="宋体" w:cs="宋体"/>
          <w:color w:val="auto"/>
          <w:sz w:val="24"/>
          <w:szCs w:val="24"/>
          <w:highlight w:val="none"/>
          <w:lang w:val="en-US" w:eastAsia="zh-CN"/>
        </w:rPr>
        <w:t>后应</w:t>
      </w:r>
      <w:r>
        <w:rPr>
          <w:rFonts w:hint="eastAsia" w:ascii="宋体" w:hAnsi="宋体" w:eastAsia="宋体" w:cs="宋体"/>
          <w:color w:val="auto"/>
          <w:sz w:val="24"/>
          <w:szCs w:val="24"/>
          <w:highlight w:val="none"/>
        </w:rPr>
        <w:t>给予积极响应。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、周一至周五9：00—17：00（不包括节、假日）为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的标准</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时间，技术人员应</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要求在标准工作时间以外进行维修工作时，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也应尽力支持。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承诺严格遵守国家法律法规，对任何有关</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的资料绝对保密。</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报价为完成本次</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的全费用价格，人员费用包括但不限于人员工资、管理费、服装费、办公费、交通费、通讯费、培训费、税金、利润、劳动保险费、合同工期内的风险费用、工具费等为完成本次招评标项目所发生的一切费用，符合条件的人员须按国家相关规定购买职工社保，并必须购买意外伤害等保险。中标人自行解决员工养老、失业、医疗、工伤、生育、纳税等保险及劳保、工资、福利、食宿、员工上下班交通及评标人为完成服务所发生的一切费用等有关问题。</w:t>
      </w:r>
    </w:p>
    <w:p>
      <w:pPr>
        <w:spacing w:line="400" w:lineRule="exact"/>
        <w:rPr>
          <w:rFonts w:hint="eastAsia" w:ascii="宋体" w:hAnsi="宋体" w:eastAsia="宋体" w:cs="宋体"/>
          <w:color w:val="auto"/>
          <w:sz w:val="24"/>
          <w:szCs w:val="24"/>
          <w:highlight w:val="none"/>
          <w:lang w:val="en-US" w:eastAsia="zh-CN"/>
        </w:rPr>
      </w:pPr>
    </w:p>
    <w:p>
      <w:pPr>
        <w:spacing w:line="40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三、服务内容及服务范围</w:t>
      </w:r>
    </w:p>
    <w:p>
      <w:pPr>
        <w:spacing w:line="400" w:lineRule="exact"/>
        <w:rPr>
          <w:rFonts w:hint="eastAsia" w:hAnsi="宋体"/>
          <w:color w:val="auto"/>
          <w:szCs w:val="24"/>
          <w:highlight w:val="none"/>
        </w:rPr>
      </w:pPr>
    </w:p>
    <w:tbl>
      <w:tblPr>
        <w:tblStyle w:val="16"/>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1198"/>
        <w:gridCol w:w="6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IT技术支持具体要求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维保要求</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维保具体内容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服务内容</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250台电脑和37台打印机、13台复印机5个服务器日常维护，以及相关软件更新，促保设备运行稳定 （期内若新增和减少设备不再另行计费）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公司总部的173个网络信息点和173电话信息点维护，以及网络设备维护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公司总部的所有会议室电子设备维护及会议保障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公司总部及下辖项目点的考勤机指纹和面部信息录入等设备维护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公司总部食堂饭菜售卖系统维护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办公电脑的OA系统以及上级政府所要求使用系统维护服务等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公司各部门、子公司、分公司及下辖项目点的监控摄像设备的维护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公司所有服务器维护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服务时间</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每周一、周三的上午9:00--11:00为繁华大道266号基金大厦A座和</w:t>
            </w:r>
            <w:r>
              <w:rPr>
                <w:rFonts w:hint="eastAsia" w:hAnsi="宋体" w:cs="宋体"/>
                <w:i w:val="0"/>
                <w:iCs w:val="0"/>
                <w:color w:val="auto"/>
                <w:kern w:val="0"/>
                <w:sz w:val="20"/>
                <w:szCs w:val="20"/>
                <w:highlight w:val="none"/>
                <w:u w:val="none"/>
                <w:lang w:val="en-US" w:eastAsia="zh-CN" w:bidi="ar"/>
              </w:rPr>
              <w:t>南区各项目</w:t>
            </w:r>
            <w:r>
              <w:rPr>
                <w:rFonts w:hint="eastAsia" w:ascii="宋体" w:hAnsi="宋体" w:eastAsia="宋体" w:cs="宋体"/>
                <w:i w:val="0"/>
                <w:iCs w:val="0"/>
                <w:color w:val="auto"/>
                <w:kern w:val="0"/>
                <w:sz w:val="20"/>
                <w:szCs w:val="20"/>
                <w:highlight w:val="none"/>
                <w:u w:val="none"/>
                <w:lang w:val="en-US" w:eastAsia="zh-CN" w:bidi="ar"/>
              </w:rPr>
              <w:t>点驻地服务时间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每周二的上午9:00--11:000为新桥分公司和</w:t>
            </w:r>
            <w:r>
              <w:rPr>
                <w:rFonts w:hint="eastAsia" w:hAnsi="宋体" w:cs="宋体"/>
                <w:i w:val="0"/>
                <w:iCs w:val="0"/>
                <w:color w:val="auto"/>
                <w:kern w:val="0"/>
                <w:sz w:val="20"/>
                <w:szCs w:val="20"/>
                <w:highlight w:val="none"/>
                <w:u w:val="none"/>
                <w:lang w:val="en-US" w:eastAsia="zh-CN" w:bidi="ar"/>
              </w:rPr>
              <w:t>北区各项目</w:t>
            </w:r>
            <w:r>
              <w:rPr>
                <w:rFonts w:hint="eastAsia" w:ascii="宋体" w:hAnsi="宋体" w:eastAsia="宋体" w:cs="宋体"/>
                <w:i w:val="0"/>
                <w:iCs w:val="0"/>
                <w:color w:val="auto"/>
                <w:kern w:val="0"/>
                <w:sz w:val="20"/>
                <w:szCs w:val="20"/>
                <w:highlight w:val="none"/>
                <w:u w:val="none"/>
                <w:lang w:val="en-US" w:eastAsia="zh-CN" w:bidi="ar"/>
              </w:rPr>
              <w:t>点驻地服务时间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驻点服务时间外，接到服务指示后，0.5小时内给予响应，4个小时内到达服务地点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12</w:t>
            </w:r>
          </w:p>
        </w:tc>
        <w:tc>
          <w:tcPr>
            <w:tcW w:w="120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服务范围</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合肥经济技术开发区公用事业发展有限公司（总部办公楼</w:t>
            </w:r>
            <w:r>
              <w:rPr>
                <w:rFonts w:hint="eastAsia" w:hAnsi="宋体" w:cs="宋体"/>
                <w:i w:val="0"/>
                <w:iCs w:val="0"/>
                <w:color w:val="auto"/>
                <w:kern w:val="0"/>
                <w:sz w:val="20"/>
                <w:szCs w:val="20"/>
                <w:highlight w:val="none"/>
                <w:u w:val="none"/>
                <w:lang w:val="en-US" w:eastAsia="zh-CN" w:bidi="ar"/>
              </w:rPr>
              <w:t>及管理的翡翠湖、南艳湖、泵站等多处项目</w:t>
            </w: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2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合肥香怡物业管理有限公司管</w:t>
            </w:r>
            <w:r>
              <w:rPr>
                <w:rFonts w:hint="eastAsia" w:hAnsi="宋体" w:cs="宋体"/>
                <w:i w:val="0"/>
                <w:iCs w:val="0"/>
                <w:color w:val="auto"/>
                <w:kern w:val="0"/>
                <w:sz w:val="20"/>
                <w:szCs w:val="20"/>
                <w:highlight w:val="none"/>
                <w:u w:val="none"/>
                <w:lang w:val="en-US" w:eastAsia="zh-CN" w:bidi="ar"/>
              </w:rPr>
              <w:t>理</w:t>
            </w:r>
            <w:r>
              <w:rPr>
                <w:rFonts w:hint="eastAsia" w:ascii="宋体" w:hAnsi="宋体" w:eastAsia="宋体" w:cs="宋体"/>
                <w:i w:val="0"/>
                <w:iCs w:val="0"/>
                <w:color w:val="auto"/>
                <w:kern w:val="0"/>
                <w:sz w:val="20"/>
                <w:szCs w:val="20"/>
                <w:highlight w:val="none"/>
                <w:u w:val="none"/>
                <w:lang w:val="en-US" w:eastAsia="zh-CN" w:bidi="ar"/>
              </w:rPr>
              <w:t>的</w:t>
            </w:r>
            <w:r>
              <w:rPr>
                <w:rFonts w:hint="eastAsia" w:hAnsi="宋体" w:cs="宋体"/>
                <w:i w:val="0"/>
                <w:iCs w:val="0"/>
                <w:color w:val="auto"/>
                <w:kern w:val="0"/>
                <w:sz w:val="20"/>
                <w:szCs w:val="20"/>
                <w:highlight w:val="none"/>
                <w:u w:val="none"/>
                <w:lang w:val="en-US" w:eastAsia="zh-CN" w:bidi="ar"/>
              </w:rPr>
              <w:t>四十</w:t>
            </w:r>
            <w:r>
              <w:rPr>
                <w:rFonts w:hint="eastAsia" w:ascii="宋体" w:hAnsi="宋体" w:eastAsia="宋体" w:cs="宋体"/>
                <w:i w:val="0"/>
                <w:iCs w:val="0"/>
                <w:color w:val="auto"/>
                <w:kern w:val="0"/>
                <w:sz w:val="20"/>
                <w:szCs w:val="20"/>
                <w:highlight w:val="none"/>
                <w:u w:val="none"/>
                <w:lang w:val="en-US" w:eastAsia="zh-CN" w:bidi="ar"/>
              </w:rPr>
              <w:t>余个项目点（菜场、学校、住宅、商业等）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14</w:t>
            </w:r>
          </w:p>
        </w:tc>
        <w:tc>
          <w:tcPr>
            <w:tcW w:w="12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合肥香怡市政园林建设有限公司（汤口路</w:t>
            </w:r>
            <w:r>
              <w:rPr>
                <w:rFonts w:hint="eastAsia" w:hAnsi="宋体" w:cs="宋体"/>
                <w:i w:val="0"/>
                <w:iCs w:val="0"/>
                <w:color w:val="auto"/>
                <w:kern w:val="0"/>
                <w:sz w:val="20"/>
                <w:szCs w:val="20"/>
                <w:highlight w:val="none"/>
                <w:u w:val="none"/>
                <w:lang w:val="en-US" w:eastAsia="zh-CN" w:bidi="ar"/>
              </w:rPr>
              <w:t>翡翠路交口</w:t>
            </w: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2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合肥经济技术开发区公用事业发展有限公司新桥分公司</w:t>
            </w:r>
            <w:r>
              <w:rPr>
                <w:rFonts w:hint="eastAsia" w:hAnsi="宋体" w:cs="宋体"/>
                <w:i w:val="0"/>
                <w:iCs w:val="0"/>
                <w:color w:val="auto"/>
                <w:kern w:val="0"/>
                <w:sz w:val="20"/>
                <w:szCs w:val="20"/>
                <w:highlight w:val="none"/>
                <w:u w:val="none"/>
                <w:lang w:val="en-US" w:eastAsia="zh-CN" w:bidi="ar"/>
              </w:rPr>
              <w:t>及</w:t>
            </w:r>
            <w:r>
              <w:rPr>
                <w:rFonts w:hint="eastAsia" w:ascii="宋体" w:hAnsi="宋体" w:eastAsia="宋体" w:cs="宋体"/>
                <w:i w:val="0"/>
                <w:iCs w:val="0"/>
                <w:color w:val="auto"/>
                <w:kern w:val="0"/>
                <w:sz w:val="20"/>
                <w:szCs w:val="20"/>
                <w:highlight w:val="none"/>
                <w:u w:val="none"/>
                <w:lang w:val="en-US" w:eastAsia="zh-CN" w:bidi="ar"/>
              </w:rPr>
              <w:t>管</w:t>
            </w:r>
            <w:r>
              <w:rPr>
                <w:rFonts w:hint="eastAsia" w:hAnsi="宋体" w:cs="宋体"/>
                <w:i w:val="0"/>
                <w:iCs w:val="0"/>
                <w:color w:val="auto"/>
                <w:kern w:val="0"/>
                <w:sz w:val="20"/>
                <w:szCs w:val="20"/>
                <w:highlight w:val="none"/>
                <w:u w:val="none"/>
                <w:lang w:val="en-US" w:eastAsia="zh-CN" w:bidi="ar"/>
              </w:rPr>
              <w:t>理</w:t>
            </w:r>
            <w:r>
              <w:rPr>
                <w:rFonts w:hint="eastAsia" w:ascii="宋体" w:hAnsi="宋体" w:eastAsia="宋体" w:cs="宋体"/>
                <w:i w:val="0"/>
                <w:iCs w:val="0"/>
                <w:color w:val="auto"/>
                <w:kern w:val="0"/>
                <w:sz w:val="20"/>
                <w:szCs w:val="20"/>
                <w:highlight w:val="none"/>
                <w:u w:val="none"/>
                <w:lang w:val="en-US" w:eastAsia="zh-CN" w:bidi="ar"/>
              </w:rPr>
              <w:t>的多个项目点（经开北区）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合肥金晶水务有限公司（经开北区）</w:t>
            </w:r>
          </w:p>
        </w:tc>
      </w:tr>
    </w:tbl>
    <w:p/>
    <w:p>
      <w:pPr>
        <w:rPr>
          <w:b/>
          <w:bCs/>
          <w:sz w:val="28"/>
          <w:szCs w:val="28"/>
        </w:rPr>
      </w:pPr>
      <w:r>
        <w:rPr>
          <w:rFonts w:hint="eastAsia"/>
          <w:b/>
          <w:bCs/>
          <w:sz w:val="28"/>
          <w:szCs w:val="28"/>
          <w:lang w:val="en-US" w:eastAsia="zh-CN"/>
        </w:rPr>
        <w:t>四、评分表</w:t>
      </w:r>
    </w:p>
    <w:tbl>
      <w:tblPr>
        <w:tblStyle w:val="16"/>
        <w:tblpPr w:leftFromText="180" w:rightFromText="180" w:vertAnchor="text" w:horzAnchor="page" w:tblpX="1236" w:tblpY="875"/>
        <w:tblOverlap w:val="never"/>
        <w:tblW w:w="9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815"/>
        <w:gridCol w:w="6264"/>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65" w:type="dxa"/>
            <w:vAlign w:val="center"/>
          </w:tcPr>
          <w:p>
            <w:pPr>
              <w:snapToGrid w:val="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指标</w:t>
            </w:r>
          </w:p>
        </w:tc>
        <w:tc>
          <w:tcPr>
            <w:tcW w:w="815" w:type="dxa"/>
            <w:vAlign w:val="center"/>
          </w:tcPr>
          <w:p>
            <w:pPr>
              <w:snapToGrid w:val="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评分内容</w:t>
            </w:r>
          </w:p>
        </w:tc>
        <w:tc>
          <w:tcPr>
            <w:tcW w:w="6264" w:type="dxa"/>
            <w:vAlign w:val="center"/>
          </w:tcPr>
          <w:p>
            <w:pPr>
              <w:snapToGrid w:val="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评分标准</w:t>
            </w:r>
          </w:p>
        </w:tc>
        <w:tc>
          <w:tcPr>
            <w:tcW w:w="1575" w:type="dxa"/>
            <w:vAlign w:val="center"/>
          </w:tcPr>
          <w:p>
            <w:pPr>
              <w:snapToGrid w:val="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restart"/>
            <w:vAlign w:val="center"/>
          </w:tcPr>
          <w:p>
            <w:pPr>
              <w:snapToGrid w:val="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技术分（</w:t>
            </w:r>
            <w:r>
              <w:rPr>
                <w:rFonts w:hint="eastAsia" w:ascii="仿宋_GB2312" w:hAnsi="仿宋_GB2312" w:eastAsia="仿宋_GB2312" w:cs="仿宋_GB2312"/>
                <w:b/>
                <w:sz w:val="21"/>
                <w:szCs w:val="21"/>
                <w:lang w:val="en-US" w:eastAsia="zh-CN"/>
              </w:rPr>
              <w:t>50</w:t>
            </w:r>
            <w:r>
              <w:rPr>
                <w:rFonts w:hint="eastAsia" w:ascii="仿宋_GB2312" w:hAnsi="仿宋_GB2312" w:eastAsia="仿宋_GB2312" w:cs="仿宋_GB2312"/>
                <w:b/>
                <w:sz w:val="21"/>
                <w:szCs w:val="21"/>
              </w:rPr>
              <w:t>分）</w:t>
            </w:r>
          </w:p>
        </w:tc>
        <w:tc>
          <w:tcPr>
            <w:tcW w:w="815" w:type="dxa"/>
            <w:vAlign w:val="center"/>
          </w:tcPr>
          <w:p>
            <w:pPr>
              <w:snapToGrid w:val="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val="en-US" w:eastAsia="zh-CN"/>
              </w:rPr>
              <w:t>技术</w:t>
            </w:r>
            <w:r>
              <w:rPr>
                <w:rFonts w:hint="eastAsia" w:ascii="仿宋_GB2312" w:hAnsi="仿宋_GB2312" w:eastAsia="仿宋_GB2312" w:cs="仿宋_GB2312"/>
                <w:b/>
                <w:sz w:val="21"/>
                <w:szCs w:val="21"/>
              </w:rPr>
              <w:t>方案</w:t>
            </w:r>
          </w:p>
        </w:tc>
        <w:tc>
          <w:tcPr>
            <w:tcW w:w="6264" w:type="dxa"/>
            <w:vAlign w:val="top"/>
          </w:tcPr>
          <w:p>
            <w:pPr>
              <w:snapToGrid w:val="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根据投标供应商提供</w:t>
            </w:r>
            <w:r>
              <w:rPr>
                <w:rFonts w:hint="eastAsia" w:ascii="仿宋_GB2312" w:hAnsi="仿宋_GB2312" w:eastAsia="仿宋_GB2312" w:cs="仿宋_GB2312"/>
                <w:sz w:val="21"/>
                <w:szCs w:val="21"/>
                <w:highlight w:val="none"/>
                <w:lang w:val="en-US" w:eastAsia="zh-CN"/>
              </w:rPr>
              <w:t>的技术方案能否满足招标文件要求的服务内容</w:t>
            </w:r>
            <w:r>
              <w:rPr>
                <w:rFonts w:hint="eastAsia" w:ascii="仿宋_GB2312" w:hAnsi="仿宋_GB2312" w:eastAsia="仿宋_GB2312" w:cs="仿宋_GB2312"/>
                <w:sz w:val="21"/>
                <w:szCs w:val="21"/>
                <w:highlight w:val="none"/>
              </w:rPr>
              <w:t>。</w:t>
            </w:r>
          </w:p>
          <w:p>
            <w:pPr>
              <w:snapToGrid w:val="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优秀得15＜F≤20 分，良好得</w:t>
            </w:r>
            <w:r>
              <w:rPr>
                <w:rFonts w:hint="eastAsia" w:ascii="仿宋_GB2312" w:hAnsi="仿宋_GB2312" w:eastAsia="仿宋_GB2312" w:cs="仿宋_GB2312"/>
                <w:sz w:val="21"/>
                <w:szCs w:val="21"/>
                <w:highlight w:val="none"/>
                <w:lang w:val="en-US" w:eastAsia="zh-CN"/>
              </w:rPr>
              <w:t>10</w:t>
            </w:r>
            <w:r>
              <w:rPr>
                <w:rFonts w:hint="eastAsia" w:ascii="仿宋_GB2312" w:hAnsi="仿宋_GB2312" w:eastAsia="仿宋_GB2312" w:cs="仿宋_GB2312"/>
                <w:sz w:val="21"/>
                <w:szCs w:val="21"/>
                <w:highlight w:val="none"/>
              </w:rPr>
              <w:t>＜F≤1</w:t>
            </w: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rPr>
              <w:t xml:space="preserve"> 分，一般得 1≤F≤9 分。未提供不得分。</w:t>
            </w:r>
          </w:p>
          <w:p>
            <w:pPr>
              <w:snapToGrid w:val="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highlight w:val="none"/>
              </w:rPr>
              <w:t>备注：F为此项得分。</w:t>
            </w:r>
          </w:p>
        </w:tc>
        <w:tc>
          <w:tcPr>
            <w:tcW w:w="1575" w:type="dxa"/>
            <w:vAlign w:val="center"/>
          </w:tcPr>
          <w:p>
            <w:pPr>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highlight w:val="none"/>
              </w:rPr>
              <w:t>0-</w:t>
            </w:r>
            <w:r>
              <w:rPr>
                <w:rFonts w:hint="eastAsia" w:ascii="仿宋_GB2312" w:hAnsi="仿宋_GB2312" w:eastAsia="仿宋_GB2312" w:cs="仿宋_GB2312"/>
                <w:sz w:val="21"/>
                <w:szCs w:val="21"/>
                <w:highlight w:val="none"/>
                <w:lang w:val="en-US" w:eastAsia="zh-CN"/>
              </w:rPr>
              <w:t>20</w:t>
            </w:r>
            <w:r>
              <w:rPr>
                <w:rFonts w:hint="eastAsia" w:ascii="仿宋_GB2312" w:hAnsi="仿宋_GB2312" w:eastAsia="仿宋_GB2312" w:cs="仿宋_GB2312"/>
                <w:sz w:val="21"/>
                <w:szCs w:val="21"/>
                <w:highlight w:val="none"/>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665" w:type="dxa"/>
            <w:vMerge w:val="continue"/>
            <w:vAlign w:val="center"/>
          </w:tcPr>
          <w:p>
            <w:pPr>
              <w:snapToGrid w:val="0"/>
              <w:jc w:val="center"/>
              <w:rPr>
                <w:rFonts w:ascii="仿宋_GB2312" w:hAnsi="仿宋_GB2312" w:eastAsia="仿宋_GB2312" w:cs="仿宋_GB2312"/>
                <w:b/>
                <w:sz w:val="21"/>
                <w:szCs w:val="21"/>
              </w:rPr>
            </w:pPr>
          </w:p>
        </w:tc>
        <w:tc>
          <w:tcPr>
            <w:tcW w:w="815" w:type="dxa"/>
            <w:vAlign w:val="center"/>
          </w:tcPr>
          <w:p>
            <w:pPr>
              <w:snapToGrid w:val="0"/>
              <w:jc w:val="center"/>
              <w:rPr>
                <w:rFonts w:hint="default"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rPr>
              <w:t>保障措施</w:t>
            </w:r>
          </w:p>
        </w:tc>
        <w:tc>
          <w:tcPr>
            <w:tcW w:w="6264" w:type="dxa"/>
            <w:vAlign w:val="top"/>
          </w:tcPr>
          <w:p>
            <w:pPr>
              <w:snapToGrid w:val="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针对</w:t>
            </w:r>
            <w:r>
              <w:rPr>
                <w:rFonts w:hint="eastAsia" w:ascii="仿宋_GB2312" w:hAnsi="仿宋_GB2312" w:eastAsia="仿宋_GB2312" w:cs="仿宋_GB2312"/>
                <w:sz w:val="21"/>
                <w:szCs w:val="21"/>
                <w:highlight w:val="none"/>
                <w:lang w:val="en-US" w:eastAsia="zh-CN"/>
              </w:rPr>
              <w:t>服务</w:t>
            </w:r>
            <w:r>
              <w:rPr>
                <w:rFonts w:hint="eastAsia" w:ascii="仿宋_GB2312" w:hAnsi="仿宋_GB2312" w:eastAsia="仿宋_GB2312" w:cs="仿宋_GB2312"/>
                <w:sz w:val="21"/>
                <w:szCs w:val="21"/>
                <w:highlight w:val="none"/>
              </w:rPr>
              <w:t>过程中可能出现的问题所提供的各类应急预案及保障措施是否合理有效等方面进行综合评价。</w:t>
            </w:r>
          </w:p>
          <w:p>
            <w:pPr>
              <w:snapToGrid w:val="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优秀得 1</w:t>
            </w:r>
            <w:r>
              <w:rPr>
                <w:rFonts w:hint="eastAsia" w:ascii="仿宋_GB2312" w:hAnsi="仿宋_GB2312" w:eastAsia="仿宋_GB2312" w:cs="仿宋_GB2312"/>
                <w:sz w:val="21"/>
                <w:szCs w:val="21"/>
                <w:highlight w:val="none"/>
                <w:lang w:val="en-US" w:eastAsia="zh-CN"/>
              </w:rPr>
              <w:t>0</w:t>
            </w:r>
            <w:r>
              <w:rPr>
                <w:rFonts w:hint="eastAsia" w:ascii="仿宋_GB2312" w:hAnsi="仿宋_GB2312" w:eastAsia="仿宋_GB2312" w:cs="仿宋_GB2312"/>
                <w:sz w:val="21"/>
                <w:szCs w:val="21"/>
                <w:highlight w:val="none"/>
              </w:rPr>
              <w:t>＜F≤</w:t>
            </w:r>
            <w:r>
              <w:rPr>
                <w:rFonts w:hint="eastAsia" w:ascii="仿宋_GB2312" w:hAnsi="仿宋_GB2312" w:eastAsia="仿宋_GB2312" w:cs="仿宋_GB2312"/>
                <w:sz w:val="21"/>
                <w:szCs w:val="21"/>
                <w:highlight w:val="none"/>
                <w:lang w:val="en-US" w:eastAsia="zh-CN"/>
              </w:rPr>
              <w:t>15</w:t>
            </w:r>
            <w:r>
              <w:rPr>
                <w:rFonts w:hint="eastAsia" w:ascii="仿宋_GB2312" w:hAnsi="仿宋_GB2312" w:eastAsia="仿宋_GB2312" w:cs="仿宋_GB2312"/>
                <w:sz w:val="21"/>
                <w:szCs w:val="21"/>
                <w:highlight w:val="none"/>
              </w:rPr>
              <w:t>分，良好得</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＜F≤</w:t>
            </w:r>
            <w:r>
              <w:rPr>
                <w:rFonts w:hint="eastAsia" w:ascii="仿宋_GB2312" w:hAnsi="仿宋_GB2312" w:eastAsia="仿宋_GB2312" w:cs="仿宋_GB2312"/>
                <w:sz w:val="21"/>
                <w:szCs w:val="21"/>
                <w:highlight w:val="none"/>
                <w:lang w:val="en-US" w:eastAsia="zh-CN"/>
              </w:rPr>
              <w:t>9</w:t>
            </w:r>
            <w:r>
              <w:rPr>
                <w:rFonts w:hint="eastAsia" w:ascii="仿宋_GB2312" w:hAnsi="仿宋_GB2312" w:eastAsia="仿宋_GB2312" w:cs="仿宋_GB2312"/>
                <w:sz w:val="21"/>
                <w:szCs w:val="21"/>
                <w:highlight w:val="none"/>
              </w:rPr>
              <w:t xml:space="preserve"> 分，一般得 1≤F≤</w:t>
            </w: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rPr>
              <w:t xml:space="preserve"> 分。未提供不得分。</w:t>
            </w:r>
          </w:p>
          <w:p>
            <w:pPr>
              <w:snapToGrid w:val="0"/>
              <w:rPr>
                <w:rFonts w:ascii="仿宋_GB2312" w:hAnsi="仿宋_GB2312" w:eastAsia="仿宋_GB2312" w:cs="仿宋_GB2312"/>
                <w:b/>
                <w:bCs/>
                <w:sz w:val="21"/>
                <w:szCs w:val="21"/>
              </w:rPr>
            </w:pPr>
            <w:r>
              <w:rPr>
                <w:rFonts w:hint="eastAsia" w:ascii="仿宋_GB2312" w:hAnsi="仿宋_GB2312" w:eastAsia="仿宋_GB2312" w:cs="仿宋_GB2312"/>
                <w:b/>
                <w:bCs/>
                <w:sz w:val="21"/>
                <w:szCs w:val="21"/>
                <w:highlight w:val="none"/>
              </w:rPr>
              <w:t>备注：F为此项得分。</w:t>
            </w:r>
          </w:p>
        </w:tc>
        <w:tc>
          <w:tcPr>
            <w:tcW w:w="1575" w:type="dxa"/>
            <w:vAlign w:val="center"/>
          </w:tcPr>
          <w:p>
            <w:pPr>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highlight w:val="none"/>
              </w:rPr>
              <w:t>0-</w:t>
            </w:r>
            <w:r>
              <w:rPr>
                <w:rFonts w:hint="eastAsia" w:ascii="仿宋_GB2312" w:hAnsi="仿宋_GB2312" w:eastAsia="仿宋_GB2312" w:cs="仿宋_GB2312"/>
                <w:sz w:val="21"/>
                <w:szCs w:val="21"/>
                <w:highlight w:val="none"/>
                <w:lang w:val="en-US" w:eastAsia="zh-CN"/>
              </w:rPr>
              <w:t>20</w:t>
            </w:r>
            <w:r>
              <w:rPr>
                <w:rFonts w:hint="eastAsia" w:ascii="仿宋_GB2312" w:hAnsi="仿宋_GB2312" w:eastAsia="仿宋_GB2312" w:cs="仿宋_GB231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pPr>
              <w:snapToGrid w:val="0"/>
              <w:jc w:val="center"/>
              <w:rPr>
                <w:rFonts w:ascii="仿宋_GB2312" w:hAnsi="仿宋_GB2312" w:eastAsia="仿宋_GB2312" w:cs="仿宋_GB2312"/>
                <w:b/>
                <w:sz w:val="21"/>
                <w:szCs w:val="21"/>
              </w:rPr>
            </w:pPr>
          </w:p>
        </w:tc>
        <w:tc>
          <w:tcPr>
            <w:tcW w:w="815" w:type="dxa"/>
            <w:vAlign w:val="center"/>
          </w:tcPr>
          <w:p>
            <w:pPr>
              <w:snapToGrid w:val="0"/>
              <w:jc w:val="center"/>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服务相应时间</w:t>
            </w:r>
          </w:p>
        </w:tc>
        <w:tc>
          <w:tcPr>
            <w:tcW w:w="6264" w:type="dxa"/>
            <w:vAlign w:val="top"/>
          </w:tcPr>
          <w:p>
            <w:pPr>
              <w:ind w:left="1120" w:hanging="840" w:hangingChars="400"/>
              <w:rPr>
                <w:rFonts w:hint="eastAsia" w:ascii="仿宋_GB2312" w:hAnsi="仿宋_GB2312" w:eastAsia="仿宋_GB2312" w:cs="仿宋_GB2312"/>
                <w:bCs/>
                <w:sz w:val="21"/>
                <w:szCs w:val="21"/>
                <w:highlight w:val="none"/>
                <w:lang w:eastAsia="zh-CN"/>
              </w:rPr>
            </w:pPr>
            <w:r>
              <w:rPr>
                <w:rFonts w:hint="eastAsia" w:ascii="仿宋_GB2312" w:hAnsi="仿宋_GB2312" w:eastAsia="仿宋_GB2312" w:cs="仿宋_GB2312"/>
                <w:bCs/>
                <w:sz w:val="21"/>
                <w:szCs w:val="21"/>
                <w:highlight w:val="none"/>
              </w:rPr>
              <w:t>承诺的响应时间</w:t>
            </w:r>
            <w:r>
              <w:rPr>
                <w:rFonts w:hint="eastAsia" w:ascii="仿宋_GB2312" w:hAnsi="仿宋_GB2312" w:eastAsia="仿宋_GB2312" w:cs="仿宋_GB2312"/>
                <w:bCs/>
                <w:sz w:val="21"/>
                <w:szCs w:val="21"/>
                <w:highlight w:val="none"/>
                <w:lang w:eastAsia="zh-CN"/>
              </w:rPr>
              <w:t>：</w:t>
            </w:r>
          </w:p>
          <w:p>
            <w:pPr>
              <w:ind w:left="1120" w:hanging="840" w:hangingChars="400"/>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1、0.5个小时给予响应，2个小时到达服务地点得10分</w:t>
            </w:r>
            <w:r>
              <w:rPr>
                <w:rFonts w:hint="eastAsia" w:ascii="仿宋_GB2312" w:hAnsi="仿宋_GB2312" w:eastAsia="仿宋_GB2312" w:cs="仿宋_GB2312"/>
                <w:bCs/>
                <w:sz w:val="21"/>
                <w:szCs w:val="21"/>
                <w:highlight w:val="none"/>
              </w:rPr>
              <w:t>。</w:t>
            </w:r>
          </w:p>
          <w:p>
            <w:pPr>
              <w:pStyle w:val="2"/>
              <w:ind w:left="0" w:leftChars="0" w:firstLine="0" w:firstLineChars="0"/>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2、1个小时给予响应，4个小时到达服务地点得5分</w:t>
            </w:r>
          </w:p>
          <w:p>
            <w:pPr>
              <w:pStyle w:val="2"/>
              <w:ind w:left="0" w:leftChars="0" w:firstLine="0" w:firstLineChars="0"/>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bCs/>
                <w:sz w:val="21"/>
                <w:szCs w:val="21"/>
                <w:highlight w:val="none"/>
                <w:lang w:val="en-US" w:eastAsia="zh-CN"/>
              </w:rPr>
              <w:t>3、2个小时给予响应，8个小时到达服务地点得2分</w:t>
            </w:r>
          </w:p>
          <w:p>
            <w:pPr>
              <w:snapToGrid w:val="0"/>
              <w:rPr>
                <w:rFonts w:hint="default"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rPr>
              <w:t>注：</w:t>
            </w:r>
            <w:r>
              <w:rPr>
                <w:rFonts w:hint="eastAsia" w:ascii="仿宋_GB2312" w:hAnsi="仿宋_GB2312" w:eastAsia="仿宋_GB2312" w:cs="仿宋_GB2312"/>
                <w:b/>
                <w:bCs/>
                <w:sz w:val="21"/>
                <w:szCs w:val="21"/>
                <w:highlight w:val="none"/>
                <w:lang w:val="en-US" w:eastAsia="zh-CN"/>
              </w:rPr>
              <w:t>投标文件中需要提供服务承诺函</w:t>
            </w:r>
          </w:p>
        </w:tc>
        <w:tc>
          <w:tcPr>
            <w:tcW w:w="1575" w:type="dxa"/>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restart"/>
            <w:vAlign w:val="center"/>
          </w:tcPr>
          <w:p>
            <w:pPr>
              <w:snapToGrid w:val="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资信分（</w:t>
            </w:r>
            <w:r>
              <w:rPr>
                <w:rFonts w:hint="eastAsia" w:ascii="仿宋_GB2312" w:hAnsi="仿宋_GB2312" w:eastAsia="仿宋_GB2312" w:cs="仿宋_GB2312"/>
                <w:b/>
                <w:sz w:val="21"/>
                <w:szCs w:val="21"/>
                <w:lang w:val="en-US" w:eastAsia="zh-CN"/>
              </w:rPr>
              <w:t>35</w:t>
            </w:r>
            <w:r>
              <w:rPr>
                <w:rFonts w:hint="eastAsia" w:ascii="仿宋_GB2312" w:hAnsi="仿宋_GB2312" w:eastAsia="仿宋_GB2312" w:cs="仿宋_GB2312"/>
                <w:b/>
                <w:sz w:val="21"/>
                <w:szCs w:val="21"/>
              </w:rPr>
              <w:t>分）</w:t>
            </w:r>
          </w:p>
        </w:tc>
        <w:tc>
          <w:tcPr>
            <w:tcW w:w="815" w:type="dxa"/>
            <w:vAlign w:val="center"/>
          </w:tcPr>
          <w:p>
            <w:pPr>
              <w:snapToGrid w:val="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供应商</w:t>
            </w:r>
          </w:p>
          <w:p>
            <w:pPr>
              <w:snapToGrid w:val="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业绩</w:t>
            </w:r>
          </w:p>
        </w:tc>
        <w:tc>
          <w:tcPr>
            <w:tcW w:w="6264" w:type="dxa"/>
            <w:vAlign w:val="top"/>
          </w:tcPr>
          <w:p>
            <w:pPr>
              <w:pStyle w:val="2"/>
              <w:ind w:firstLine="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自 20</w:t>
            </w:r>
            <w:r>
              <w:rPr>
                <w:rFonts w:hint="eastAsia" w:ascii="仿宋_GB2312" w:hAnsi="仿宋_GB2312" w:eastAsia="仿宋_GB2312" w:cs="仿宋_GB2312"/>
                <w:color w:val="auto"/>
                <w:sz w:val="21"/>
                <w:szCs w:val="21"/>
                <w:highlight w:val="none"/>
                <w:lang w:val="en-US" w:eastAsia="zh-CN"/>
              </w:rPr>
              <w:t>20</w:t>
            </w:r>
            <w:r>
              <w:rPr>
                <w:rFonts w:hint="eastAsia" w:ascii="仿宋_GB2312" w:hAnsi="仿宋_GB2312" w:eastAsia="仿宋_GB2312" w:cs="仿宋_GB2312"/>
                <w:color w:val="auto"/>
                <w:sz w:val="21"/>
                <w:szCs w:val="21"/>
                <w:highlight w:val="none"/>
              </w:rPr>
              <w:t xml:space="preserve"> 年</w:t>
            </w:r>
            <w:r>
              <w:rPr>
                <w:rFonts w:hint="eastAsia" w:ascii="仿宋_GB2312" w:hAnsi="仿宋_GB2312" w:eastAsia="仿宋_GB2312" w:cs="仿宋_GB2312"/>
                <w:color w:val="auto"/>
                <w:sz w:val="21"/>
                <w:szCs w:val="21"/>
                <w:highlight w:val="none"/>
                <w:lang w:val="en-US"/>
              </w:rPr>
              <w:t>1</w:t>
            </w:r>
            <w:r>
              <w:rPr>
                <w:rFonts w:hint="eastAsia"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lang w:val="en-US"/>
              </w:rPr>
              <w:t>1</w:t>
            </w:r>
            <w:r>
              <w:rPr>
                <w:rFonts w:hint="eastAsia" w:ascii="仿宋_GB2312" w:hAnsi="仿宋_GB2312" w:eastAsia="仿宋_GB2312" w:cs="仿宋_GB2312"/>
                <w:color w:val="auto"/>
                <w:sz w:val="21"/>
                <w:szCs w:val="21"/>
                <w:highlight w:val="none"/>
              </w:rPr>
              <w:t>日以来，投标供应商具</w:t>
            </w:r>
            <w:r>
              <w:rPr>
                <w:rFonts w:hint="eastAsia" w:ascii="仿宋_GB2312" w:hAnsi="仿宋_GB2312" w:eastAsia="仿宋_GB2312" w:cs="仿宋_GB2312"/>
                <w:color w:val="auto"/>
                <w:sz w:val="21"/>
                <w:szCs w:val="21"/>
                <w:highlight w:val="none"/>
                <w:lang w:val="en-US" w:eastAsia="zh-CN"/>
              </w:rPr>
              <w:t>有</w:t>
            </w:r>
            <w:r>
              <w:rPr>
                <w:rFonts w:hint="eastAsia" w:ascii="仿宋_GB2312" w:hAnsi="仿宋_GB2312" w:eastAsia="仿宋_GB2312" w:cs="仿宋_GB2312"/>
                <w:sz w:val="21"/>
                <w:szCs w:val="21"/>
                <w:highlight w:val="none"/>
                <w:lang w:val="en-US" w:eastAsia="zh-CN"/>
              </w:rPr>
              <w:t>政府或国企</w:t>
            </w:r>
            <w:r>
              <w:rPr>
                <w:rFonts w:hint="eastAsia" w:ascii="仿宋_GB2312" w:hAnsi="仿宋_GB2312" w:eastAsia="仿宋_GB2312" w:cs="仿宋_GB2312"/>
                <w:color w:val="auto"/>
                <w:sz w:val="21"/>
                <w:szCs w:val="21"/>
                <w:highlight w:val="none"/>
                <w:lang w:val="en-US" w:eastAsia="zh-CN"/>
              </w:rPr>
              <w:t>类似维保</w:t>
            </w:r>
            <w:r>
              <w:rPr>
                <w:rFonts w:hint="eastAsia" w:ascii="仿宋_GB2312" w:hAnsi="仿宋_GB2312" w:eastAsia="仿宋_GB2312" w:cs="仿宋_GB2312"/>
                <w:color w:val="auto"/>
                <w:sz w:val="21"/>
                <w:szCs w:val="21"/>
                <w:highlight w:val="none"/>
              </w:rPr>
              <w:t>项目业绩，每提供一个</w:t>
            </w:r>
            <w:r>
              <w:rPr>
                <w:rFonts w:hint="eastAsia" w:ascii="仿宋_GB2312" w:hAnsi="仿宋_GB2312" w:eastAsia="仿宋_GB2312" w:cs="仿宋_GB2312"/>
                <w:color w:val="auto"/>
                <w:sz w:val="21"/>
                <w:szCs w:val="21"/>
                <w:highlight w:val="none"/>
                <w:lang w:val="en-US" w:eastAsia="zh-CN"/>
              </w:rPr>
              <w:t>合同金额5万以上的</w:t>
            </w:r>
            <w:r>
              <w:rPr>
                <w:rFonts w:hint="eastAsia" w:ascii="仿宋_GB2312" w:hAnsi="仿宋_GB2312" w:eastAsia="仿宋_GB2312" w:cs="仿宋_GB2312"/>
                <w:color w:val="auto"/>
                <w:sz w:val="21"/>
                <w:szCs w:val="21"/>
                <w:highlight w:val="none"/>
              </w:rPr>
              <w:t xml:space="preserve">得 </w:t>
            </w: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每提供一个</w:t>
            </w:r>
            <w:r>
              <w:rPr>
                <w:rFonts w:hint="eastAsia" w:ascii="仿宋_GB2312" w:hAnsi="仿宋_GB2312" w:eastAsia="仿宋_GB2312" w:cs="仿宋_GB2312"/>
                <w:color w:val="auto"/>
                <w:sz w:val="21"/>
                <w:szCs w:val="21"/>
                <w:highlight w:val="none"/>
                <w:lang w:val="en-US" w:eastAsia="zh-CN"/>
              </w:rPr>
              <w:t>合同金额5万以下的</w:t>
            </w:r>
            <w:r>
              <w:rPr>
                <w:rFonts w:hint="eastAsia" w:ascii="仿宋_GB2312" w:hAnsi="仿宋_GB2312" w:eastAsia="仿宋_GB2312" w:cs="仿宋_GB2312"/>
                <w:color w:val="auto"/>
                <w:sz w:val="21"/>
                <w:szCs w:val="21"/>
                <w:highlight w:val="none"/>
              </w:rPr>
              <w:t xml:space="preserve">得 </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val="en-US"/>
              </w:rPr>
              <w:t>最高得分</w:t>
            </w:r>
            <w:r>
              <w:rPr>
                <w:rFonts w:hint="eastAsia" w:ascii="仿宋_GB2312" w:hAnsi="仿宋_GB2312" w:eastAsia="仿宋_GB2312" w:cs="仿宋_GB2312"/>
                <w:color w:val="auto"/>
                <w:sz w:val="21"/>
                <w:szCs w:val="21"/>
                <w:highlight w:val="none"/>
                <w:lang w:val="en-US" w:eastAsia="zh-CN"/>
              </w:rPr>
              <w:t>20</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val="en-US" w:eastAsia="zh-CN"/>
              </w:rPr>
              <w:t>。</w:t>
            </w:r>
          </w:p>
          <w:p>
            <w:pPr>
              <w:snapToGrid w:val="0"/>
              <w:rPr>
                <w:rFonts w:ascii="仿宋_GB2312" w:hAnsi="仿宋_GB2312" w:eastAsia="仿宋_GB2312" w:cs="仿宋_GB2312"/>
                <w:sz w:val="21"/>
                <w:szCs w:val="21"/>
              </w:rPr>
            </w:pPr>
            <w:r>
              <w:rPr>
                <w:rFonts w:hint="eastAsia" w:ascii="仿宋_GB2312" w:hAnsi="仿宋_GB2312" w:eastAsia="仿宋_GB2312" w:cs="仿宋_GB2312"/>
                <w:b/>
                <w:bCs/>
                <w:color w:val="auto"/>
                <w:sz w:val="21"/>
                <w:szCs w:val="21"/>
                <w:highlight w:val="none"/>
              </w:rPr>
              <w:t>注：投标文件中提供业绩合同扫描件或影印件，如合同中无法体现项目内容、时间等的，须另附业主证明等相关证明材料。</w:t>
            </w:r>
          </w:p>
        </w:tc>
        <w:tc>
          <w:tcPr>
            <w:tcW w:w="1575" w:type="dxa"/>
            <w:vAlign w:val="center"/>
          </w:tcPr>
          <w:p>
            <w:pPr>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highlight w:val="none"/>
              </w:rPr>
              <w:t>0-</w:t>
            </w:r>
            <w:r>
              <w:rPr>
                <w:rFonts w:hint="eastAsia" w:ascii="仿宋_GB2312" w:hAnsi="仿宋_GB2312" w:eastAsia="仿宋_GB2312" w:cs="仿宋_GB2312"/>
                <w:sz w:val="21"/>
                <w:szCs w:val="21"/>
                <w:highlight w:val="none"/>
                <w:lang w:val="en-US" w:eastAsia="zh-CN"/>
              </w:rPr>
              <w:t>20</w:t>
            </w:r>
            <w:r>
              <w:rPr>
                <w:rFonts w:hint="eastAsia" w:ascii="仿宋_GB2312" w:hAnsi="仿宋_GB2312" w:eastAsia="仿宋_GB2312" w:cs="仿宋_GB231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65" w:type="dxa"/>
            <w:vMerge w:val="continue"/>
            <w:vAlign w:val="center"/>
          </w:tcPr>
          <w:p>
            <w:pPr>
              <w:snapToGrid w:val="0"/>
              <w:jc w:val="center"/>
              <w:rPr>
                <w:rFonts w:ascii="仿宋_GB2312" w:hAnsi="仿宋_GB2312" w:eastAsia="仿宋_GB2312" w:cs="仿宋_GB2312"/>
                <w:sz w:val="21"/>
                <w:szCs w:val="21"/>
              </w:rPr>
            </w:pPr>
          </w:p>
        </w:tc>
        <w:tc>
          <w:tcPr>
            <w:tcW w:w="815" w:type="dxa"/>
            <w:vAlign w:val="center"/>
          </w:tcPr>
          <w:p>
            <w:pPr>
              <w:snapToGrid w:val="0"/>
              <w:jc w:val="center"/>
              <w:rPr>
                <w:rFonts w:hint="default"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rPr>
              <w:t>服务团队</w:t>
            </w:r>
            <w:r>
              <w:rPr>
                <w:rFonts w:hint="eastAsia" w:ascii="仿宋_GB2312" w:hAnsi="仿宋_GB2312" w:eastAsia="仿宋_GB2312" w:cs="仿宋_GB2312"/>
                <w:b/>
                <w:sz w:val="21"/>
                <w:szCs w:val="21"/>
                <w:lang w:val="en-US" w:eastAsia="zh-CN"/>
              </w:rPr>
              <w:t>资质</w:t>
            </w:r>
          </w:p>
        </w:tc>
        <w:tc>
          <w:tcPr>
            <w:tcW w:w="6264" w:type="dxa"/>
            <w:vAlign w:val="top"/>
          </w:tcPr>
          <w:p>
            <w:pPr>
              <w:numPr>
                <w:ilvl w:val="0"/>
                <w:numId w:val="1"/>
              </w:numPr>
              <w:snapToGrid w:val="0"/>
              <w:rPr>
                <w:rFonts w:hint="eastAsia" w:ascii="仿宋_GB2312" w:hAnsi="仿宋_GB2312" w:eastAsia="仿宋_GB2312" w:cs="仿宋_GB2312"/>
                <w:bCs/>
                <w:sz w:val="21"/>
                <w:szCs w:val="21"/>
                <w:highlight w:val="none"/>
                <w:lang w:val="en-US" w:eastAsia="zh-CN"/>
              </w:rPr>
            </w:pPr>
            <w:r>
              <w:rPr>
                <w:rFonts w:hint="eastAsia" w:ascii="仿宋_GB2312" w:hAnsi="仿宋_GB2312" w:eastAsia="仿宋_GB2312" w:cs="仿宋_GB2312"/>
                <w:sz w:val="21"/>
                <w:szCs w:val="21"/>
                <w:highlight w:val="none"/>
              </w:rPr>
              <w:t>投标供应商</w:t>
            </w:r>
            <w:r>
              <w:rPr>
                <w:rFonts w:hint="eastAsia" w:ascii="仿宋_GB2312" w:hAnsi="仿宋_GB2312" w:eastAsia="仿宋_GB2312" w:cs="仿宋_GB2312"/>
                <w:sz w:val="21"/>
                <w:szCs w:val="21"/>
                <w:highlight w:val="none"/>
                <w:lang w:val="en-US" w:eastAsia="zh-CN"/>
              </w:rPr>
              <w:t>具</w:t>
            </w:r>
            <w:r>
              <w:rPr>
                <w:rFonts w:hint="eastAsia" w:ascii="仿宋_GB2312" w:hAnsi="仿宋_GB2312" w:eastAsia="仿宋_GB2312" w:cs="仿宋_GB2312"/>
                <w:bCs/>
                <w:sz w:val="21"/>
                <w:szCs w:val="21"/>
                <w:highlight w:val="none"/>
                <w:lang w:val="en-US" w:eastAsia="zh-CN"/>
              </w:rPr>
              <w:t>有电子与智能化工程专业承包贰级资质得10分</w:t>
            </w:r>
          </w:p>
          <w:p>
            <w:pPr>
              <w:pStyle w:val="2"/>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2、投标供应商具有网络与信息安全管理员证书得5分</w:t>
            </w:r>
          </w:p>
          <w:p>
            <w:pPr>
              <w:snapToGrid w:val="0"/>
              <w:rPr>
                <w:rFonts w:hint="default" w:ascii="仿宋_GB2312" w:hAnsi="仿宋_GB2312" w:eastAsia="仿宋_GB2312" w:cs="仿宋_GB2312"/>
                <w:b/>
                <w:sz w:val="21"/>
                <w:szCs w:val="21"/>
                <w:lang w:val="en-US" w:eastAsia="zh-CN"/>
              </w:rPr>
            </w:pPr>
            <w:r>
              <w:rPr>
                <w:rFonts w:hint="eastAsia" w:ascii="仿宋_GB2312" w:hAnsi="仿宋_GB2312" w:eastAsia="仿宋_GB2312" w:cs="仿宋_GB2312"/>
                <w:b/>
                <w:bCs w:val="0"/>
                <w:sz w:val="21"/>
                <w:szCs w:val="21"/>
                <w:highlight w:val="none"/>
              </w:rPr>
              <w:t xml:space="preserve">注: </w:t>
            </w:r>
            <w:r>
              <w:rPr>
                <w:rFonts w:hint="eastAsia" w:ascii="仿宋_GB2312" w:hAnsi="仿宋_GB2312" w:eastAsia="仿宋_GB2312" w:cs="仿宋_GB2312"/>
                <w:bCs/>
                <w:sz w:val="21"/>
                <w:szCs w:val="21"/>
                <w:highlight w:val="none"/>
              </w:rPr>
              <w:t>响应文件中提供</w:t>
            </w:r>
            <w:r>
              <w:rPr>
                <w:rFonts w:hint="eastAsia" w:ascii="仿宋_GB2312" w:hAnsi="仿宋_GB2312" w:eastAsia="仿宋_GB2312" w:cs="仿宋_GB2312"/>
                <w:bCs/>
                <w:sz w:val="21"/>
                <w:szCs w:val="21"/>
                <w:highlight w:val="none"/>
                <w:lang w:val="en-US" w:eastAsia="zh-CN"/>
              </w:rPr>
              <w:t>相应</w:t>
            </w:r>
            <w:r>
              <w:rPr>
                <w:rFonts w:hint="eastAsia" w:ascii="仿宋_GB2312" w:hAnsi="仿宋_GB2312" w:eastAsia="仿宋_GB2312" w:cs="仿宋_GB2312"/>
                <w:bCs/>
                <w:sz w:val="21"/>
                <w:szCs w:val="21"/>
                <w:highlight w:val="none"/>
              </w:rPr>
              <w:t>证书的扫描件;</w:t>
            </w:r>
            <w:r>
              <w:rPr>
                <w:rFonts w:hint="eastAsia" w:ascii="仿宋_GB2312" w:hAnsi="仿宋_GB2312" w:eastAsia="仿宋_GB2312" w:cs="仿宋_GB2312"/>
                <w:bCs/>
                <w:sz w:val="21"/>
                <w:szCs w:val="21"/>
                <w:highlight w:val="none"/>
                <w:lang w:val="en-US" w:eastAsia="zh-CN"/>
              </w:rPr>
              <w:t>个人证书需提供社保证明。</w:t>
            </w:r>
          </w:p>
        </w:tc>
        <w:tc>
          <w:tcPr>
            <w:tcW w:w="1575" w:type="dxa"/>
            <w:vAlign w:val="center"/>
          </w:tcPr>
          <w:p>
            <w:pPr>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highlight w:val="none"/>
              </w:rPr>
              <w:t>0-</w:t>
            </w:r>
            <w:r>
              <w:rPr>
                <w:rFonts w:hint="eastAsia" w:ascii="仿宋_GB2312" w:hAnsi="仿宋_GB2312" w:eastAsia="仿宋_GB2312" w:cs="仿宋_GB2312"/>
                <w:sz w:val="21"/>
                <w:szCs w:val="21"/>
                <w:highlight w:val="none"/>
                <w:lang w:val="en-US" w:eastAsia="zh-CN"/>
              </w:rPr>
              <w:t>15</w:t>
            </w:r>
            <w:r>
              <w:rPr>
                <w:rFonts w:hint="eastAsia" w:ascii="仿宋_GB2312" w:hAnsi="仿宋_GB2312" w:eastAsia="仿宋_GB2312" w:cs="仿宋_GB231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0" w:type="dxa"/>
            <w:gridSpan w:val="2"/>
            <w:vAlign w:val="center"/>
          </w:tcPr>
          <w:p>
            <w:pPr>
              <w:snapToGrid w:val="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价格分（</w:t>
            </w:r>
            <w:r>
              <w:rPr>
                <w:rFonts w:hint="eastAsia" w:ascii="仿宋_GB2312" w:hAnsi="仿宋_GB2312" w:eastAsia="仿宋_GB2312" w:cs="仿宋_GB2312"/>
                <w:b/>
                <w:sz w:val="21"/>
                <w:szCs w:val="21"/>
                <w:lang w:val="en-US" w:eastAsia="zh-CN"/>
              </w:rPr>
              <w:t>15</w:t>
            </w:r>
            <w:r>
              <w:rPr>
                <w:rFonts w:hint="eastAsia" w:ascii="仿宋_GB2312" w:hAnsi="仿宋_GB2312" w:eastAsia="仿宋_GB2312" w:cs="仿宋_GB2312"/>
                <w:b/>
                <w:sz w:val="21"/>
                <w:szCs w:val="21"/>
              </w:rPr>
              <w:t>分）</w:t>
            </w:r>
          </w:p>
        </w:tc>
        <w:tc>
          <w:tcPr>
            <w:tcW w:w="6264" w:type="dxa"/>
            <w:vAlign w:val="top"/>
          </w:tcPr>
          <w:p>
            <w:pPr>
              <w:spacing w:line="280" w:lineRule="exact"/>
              <w:rPr>
                <w:rFonts w:hint="eastAsia" w:ascii="仿宋_GB2312" w:hAnsi="仿宋" w:eastAsia="仿宋_GB2312" w:cs="宋体"/>
                <w:bCs/>
                <w:sz w:val="21"/>
                <w:szCs w:val="21"/>
                <w:highlight w:val="none"/>
                <w:lang w:eastAsia="zh-CN"/>
              </w:rPr>
            </w:pPr>
            <w:r>
              <w:rPr>
                <w:rFonts w:hint="eastAsia" w:ascii="仿宋_GB2312" w:hAnsi="仿宋" w:eastAsia="仿宋_GB2312" w:cs="宋体"/>
                <w:bCs/>
                <w:sz w:val="21"/>
                <w:szCs w:val="21"/>
                <w:highlight w:val="none"/>
              </w:rPr>
              <w:t>满足</w:t>
            </w:r>
            <w:r>
              <w:rPr>
                <w:rFonts w:hint="eastAsia" w:ascii="仿宋_GB2312" w:hAnsi="仿宋" w:eastAsia="仿宋_GB2312" w:cs="宋体"/>
                <w:bCs/>
                <w:sz w:val="21"/>
                <w:szCs w:val="21"/>
                <w:highlight w:val="none"/>
                <w:lang w:val="en-US" w:eastAsia="zh-CN"/>
              </w:rPr>
              <w:t>采购</w:t>
            </w:r>
            <w:bookmarkStart w:id="8" w:name="_GoBack"/>
            <w:bookmarkEnd w:id="8"/>
            <w:r>
              <w:rPr>
                <w:rFonts w:hint="eastAsia" w:ascii="仿宋_GB2312" w:hAnsi="仿宋" w:eastAsia="仿宋_GB2312" w:cs="宋体"/>
                <w:bCs/>
                <w:sz w:val="21"/>
                <w:szCs w:val="21"/>
                <w:highlight w:val="none"/>
              </w:rPr>
              <w:t>文件要求</w:t>
            </w:r>
            <w:r>
              <w:rPr>
                <w:rFonts w:hint="eastAsia" w:ascii="仿宋_GB2312" w:hAnsi="仿宋" w:eastAsia="仿宋_GB2312" w:cs="宋体"/>
                <w:bCs/>
                <w:sz w:val="21"/>
                <w:szCs w:val="21"/>
                <w:highlight w:val="none"/>
                <w:lang w:eastAsia="zh-CN"/>
              </w:rPr>
              <w:t>，</w:t>
            </w:r>
            <w:r>
              <w:rPr>
                <w:rFonts w:hint="eastAsia" w:ascii="仿宋_GB2312" w:hAnsi="仿宋" w:eastAsia="仿宋_GB2312" w:cs="宋体"/>
                <w:bCs/>
                <w:sz w:val="21"/>
                <w:szCs w:val="21"/>
                <w:highlight w:val="none"/>
                <w:lang w:val="en-US" w:eastAsia="zh-CN"/>
              </w:rPr>
              <w:t>计算评标价的平均值</w:t>
            </w:r>
            <w:r>
              <w:rPr>
                <w:rFonts w:hint="eastAsia" w:ascii="仿宋_GB2312" w:hAnsi="仿宋" w:eastAsia="仿宋_GB2312" w:cs="宋体"/>
                <w:bCs/>
                <w:sz w:val="21"/>
                <w:szCs w:val="21"/>
                <w:highlight w:val="none"/>
              </w:rPr>
              <w:t>报价为评标基准价，</w:t>
            </w:r>
            <w:r>
              <w:rPr>
                <w:rFonts w:hint="eastAsia" w:ascii="仿宋_GB2312" w:hAnsi="仿宋" w:eastAsia="仿宋_GB2312" w:cs="宋体"/>
                <w:b/>
                <w:bCs/>
                <w:sz w:val="21"/>
                <w:szCs w:val="21"/>
                <w:highlight w:val="none"/>
              </w:rPr>
              <w:t>投标报价得分</w:t>
            </w:r>
            <w:r>
              <w:rPr>
                <w:rFonts w:hint="eastAsia" w:ascii="仿宋_GB2312" w:hAnsi="仿宋" w:eastAsia="仿宋_GB2312" w:cs="宋体"/>
                <w:b/>
                <w:bCs/>
                <w:sz w:val="21"/>
                <w:szCs w:val="21"/>
                <w:highlight w:val="none"/>
                <w:lang w:val="en-US" w:eastAsia="zh-CN"/>
              </w:rPr>
              <w:t>=</w:t>
            </w:r>
            <w:r>
              <w:rPr>
                <w:rFonts w:hint="eastAsia" w:ascii="仿宋_GB2312" w:hAnsi="仿宋" w:eastAsia="仿宋_GB2312" w:cs="宋体"/>
                <w:b/>
                <w:bCs/>
                <w:sz w:val="21"/>
                <w:szCs w:val="21"/>
                <w:highlight w:val="none"/>
              </w:rPr>
              <w:t>（评标基准价／投标报价）×</w:t>
            </w:r>
            <w:r>
              <w:rPr>
                <w:rFonts w:hint="eastAsia" w:ascii="仿宋_GB2312" w:hAnsi="仿宋" w:eastAsia="仿宋_GB2312" w:cs="宋体"/>
                <w:b/>
                <w:bCs/>
                <w:sz w:val="21"/>
                <w:szCs w:val="21"/>
                <w:highlight w:val="none"/>
                <w:lang w:val="en-US" w:eastAsia="zh-CN"/>
              </w:rPr>
              <w:t>15</w:t>
            </w:r>
            <w:r>
              <w:rPr>
                <w:rFonts w:hint="eastAsia" w:ascii="仿宋_GB2312" w:hAnsi="仿宋" w:eastAsia="仿宋_GB2312" w:cs="宋体"/>
                <w:b/>
                <w:bCs/>
                <w:sz w:val="21"/>
                <w:szCs w:val="21"/>
                <w:highlight w:val="none"/>
              </w:rPr>
              <w:t>％×100，</w:t>
            </w:r>
            <w:r>
              <w:rPr>
                <w:rFonts w:hint="eastAsia" w:ascii="仿宋_GB2312" w:hAnsi="仿宋" w:eastAsia="仿宋_GB2312" w:cs="宋体"/>
                <w:bCs/>
                <w:sz w:val="21"/>
                <w:szCs w:val="21"/>
                <w:highlight w:val="none"/>
              </w:rPr>
              <w:t>计算分数时四舍五入取小数点后两位。若报价偏离评标基准价</w:t>
            </w:r>
            <w:r>
              <w:rPr>
                <w:rFonts w:hint="eastAsia" w:ascii="仿宋_GB2312" w:hAnsi="仿宋" w:eastAsia="仿宋_GB2312" w:cs="宋体"/>
                <w:bCs/>
                <w:sz w:val="21"/>
                <w:szCs w:val="21"/>
                <w:highlight w:val="none"/>
                <w:lang w:val="en-US" w:eastAsia="zh-CN"/>
              </w:rPr>
              <w:t>2</w:t>
            </w:r>
            <w:r>
              <w:rPr>
                <w:rFonts w:hint="eastAsia" w:ascii="仿宋_GB2312" w:hAnsi="仿宋" w:eastAsia="仿宋_GB2312" w:cs="宋体"/>
                <w:b/>
                <w:bCs/>
                <w:sz w:val="21"/>
                <w:szCs w:val="21"/>
                <w:highlight w:val="none"/>
              </w:rPr>
              <w:t>0%</w:t>
            </w:r>
            <w:r>
              <w:rPr>
                <w:rFonts w:hint="eastAsia" w:ascii="仿宋_GB2312" w:hAnsi="仿宋" w:eastAsia="仿宋_GB2312" w:cs="宋体"/>
                <w:bCs/>
                <w:sz w:val="21"/>
                <w:szCs w:val="21"/>
                <w:highlight w:val="none"/>
              </w:rPr>
              <w:t>的，则超</w:t>
            </w:r>
            <w:r>
              <w:rPr>
                <w:rFonts w:hint="eastAsia" w:ascii="仿宋_GB2312" w:hAnsi="仿宋" w:eastAsia="仿宋_GB2312" w:cs="宋体"/>
                <w:bCs/>
                <w:sz w:val="21"/>
                <w:szCs w:val="21"/>
                <w:highlight w:val="none"/>
                <w:lang w:val="en-US" w:eastAsia="zh-CN"/>
              </w:rPr>
              <w:t>出</w:t>
            </w:r>
            <w:r>
              <w:rPr>
                <w:rFonts w:hint="eastAsia" w:ascii="仿宋_GB2312" w:hAnsi="仿宋" w:eastAsia="仿宋_GB2312" w:cs="宋体"/>
                <w:bCs/>
                <w:sz w:val="21"/>
                <w:szCs w:val="21"/>
                <w:highlight w:val="none"/>
              </w:rPr>
              <w:t>部分，每</w:t>
            </w:r>
            <w:r>
              <w:rPr>
                <w:rFonts w:hint="eastAsia" w:ascii="仿宋_GB2312" w:hAnsi="仿宋" w:eastAsia="仿宋_GB2312" w:cs="宋体"/>
                <w:bCs/>
                <w:sz w:val="21"/>
                <w:szCs w:val="21"/>
                <w:highlight w:val="none"/>
                <w:lang w:val="en-US" w:eastAsia="zh-CN"/>
              </w:rPr>
              <w:t>超出</w:t>
            </w:r>
            <w:r>
              <w:rPr>
                <w:rFonts w:hint="eastAsia" w:ascii="仿宋_GB2312" w:hAnsi="仿宋" w:eastAsia="仿宋_GB2312" w:cs="宋体"/>
                <w:bCs/>
                <w:sz w:val="21"/>
                <w:szCs w:val="21"/>
                <w:highlight w:val="none"/>
              </w:rPr>
              <w:t>一个百分点，额外扣一分，直至价格分扣完为止。</w:t>
            </w:r>
          </w:p>
          <w:p>
            <w:pPr>
              <w:snapToGrid w:val="0"/>
              <w:rPr>
                <w:rFonts w:ascii="仿宋_GB2312" w:hAnsi="仿宋_GB2312" w:eastAsia="仿宋_GB2312" w:cs="仿宋_GB2312"/>
                <w:sz w:val="21"/>
                <w:szCs w:val="21"/>
              </w:rPr>
            </w:pPr>
            <w:r>
              <w:rPr>
                <w:rFonts w:hint="eastAsia" w:ascii="仿宋_GB2312" w:hAnsi="仿宋" w:eastAsia="仿宋_GB2312" w:cs="宋体"/>
                <w:b/>
                <w:bCs/>
                <w:sz w:val="21"/>
                <w:szCs w:val="21"/>
                <w:highlight w:val="none"/>
              </w:rPr>
              <w:t>供应商投标报价不得超过采购预算金额，否则按无效投标处理。</w:t>
            </w:r>
          </w:p>
        </w:tc>
        <w:tc>
          <w:tcPr>
            <w:tcW w:w="1575" w:type="dxa"/>
            <w:vAlign w:val="center"/>
          </w:tcPr>
          <w:p>
            <w:pPr>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highlight w:val="none"/>
              </w:rPr>
              <w:t>0-</w:t>
            </w:r>
            <w:r>
              <w:rPr>
                <w:rFonts w:hint="eastAsia" w:ascii="仿宋_GB2312" w:hAnsi="仿宋_GB2312" w:eastAsia="仿宋_GB2312" w:cs="仿宋_GB2312"/>
                <w:sz w:val="21"/>
                <w:szCs w:val="21"/>
                <w:highlight w:val="none"/>
                <w:lang w:val="en-US" w:eastAsia="zh-CN"/>
              </w:rPr>
              <w:t>15</w:t>
            </w:r>
            <w:r>
              <w:rPr>
                <w:rFonts w:hint="eastAsia" w:ascii="仿宋_GB2312" w:hAnsi="仿宋_GB2312" w:eastAsia="仿宋_GB2312" w:cs="仿宋_GB231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744" w:type="dxa"/>
            <w:gridSpan w:val="3"/>
            <w:vAlign w:val="center"/>
          </w:tcPr>
          <w:p>
            <w:pPr>
              <w:spacing w:line="280" w:lineRule="exact"/>
              <w:jc w:val="center"/>
              <w:rPr>
                <w:rFonts w:ascii="仿宋_GB2312" w:hAnsi="仿宋_GB2312" w:eastAsia="仿宋_GB2312" w:cs="仿宋_GB2312"/>
                <w:sz w:val="21"/>
                <w:szCs w:val="21"/>
              </w:rPr>
            </w:pPr>
            <w:r>
              <w:rPr>
                <w:rFonts w:hint="eastAsia" w:ascii="仿宋_GB2312" w:hAnsi="仿宋_GB2312" w:eastAsia="仿宋_GB2312" w:cs="仿宋_GB2312"/>
                <w:b/>
                <w:sz w:val="21"/>
                <w:szCs w:val="21"/>
              </w:rPr>
              <w:t>总计</w:t>
            </w:r>
          </w:p>
        </w:tc>
        <w:tc>
          <w:tcPr>
            <w:tcW w:w="1575" w:type="dxa"/>
            <w:vAlign w:val="center"/>
          </w:tcPr>
          <w:p>
            <w:pPr>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100分</w:t>
            </w:r>
          </w:p>
        </w:tc>
      </w:tr>
    </w:tbl>
    <w:p>
      <w:pPr>
        <w:rPr>
          <w:b/>
          <w:bCs/>
          <w:sz w:val="28"/>
          <w:szCs w:val="28"/>
        </w:rPr>
      </w:pPr>
    </w:p>
    <w:p/>
    <w:tbl>
      <w:tblPr>
        <w:tblW w:w="8775" w:type="dxa"/>
        <w:tblInd w:w="-1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14"/>
        <w:gridCol w:w="1050"/>
        <w:gridCol w:w="2025"/>
        <w:gridCol w:w="4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8775" w:type="dxa"/>
            <w:gridSpan w:val="4"/>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五、公司供应商考核表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8775" w:type="dxa"/>
            <w:gridSpan w:val="4"/>
            <w:tcBorders>
              <w:top w:val="nil"/>
              <w:left w:val="nil"/>
              <w:bottom w:val="single" w:color="000000" w:sz="4" w:space="0"/>
              <w:right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考核时间段：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项目分值</w:t>
            </w:r>
          </w:p>
        </w:tc>
        <w:tc>
          <w:tcPr>
            <w:tcW w:w="20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考核要素</w:t>
            </w:r>
          </w:p>
        </w:tc>
        <w:tc>
          <w:tcPr>
            <w:tcW w:w="498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98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响应时间（10分）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采购人提出需求后响应速度</w:t>
            </w:r>
          </w:p>
        </w:tc>
        <w:tc>
          <w:tcPr>
            <w:tcW w:w="49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迅速回应得10分、回应不积极的每次扣1分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99"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供货或提供服务时间     （30分）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与约定时间一致</w:t>
            </w:r>
          </w:p>
        </w:tc>
        <w:tc>
          <w:tcPr>
            <w:tcW w:w="49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在约定时间内完成供货或提供服务的得30分，迟缓但未影响采购人工作开展的每次扣1分，严重滞后的每次扣5分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5"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产品或服务质量（30分）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按合同约定品牌、型号、规格供货或提供服务</w:t>
            </w:r>
          </w:p>
        </w:tc>
        <w:tc>
          <w:tcPr>
            <w:tcW w:w="49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严格根据合同约定品牌规格型号供货或提供服务的得30分，与合同约定不一致的每出现1次扣2分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0"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售后服务（10分）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货物或服务出现问题时在合同约定时间内解决</w:t>
            </w:r>
          </w:p>
        </w:tc>
        <w:tc>
          <w:tcPr>
            <w:tcW w:w="49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货物或服务出现质量等问题时，在约定时间内积极解决的得10分，未及时调换或采取补救措施的每出现1次扣2分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5"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结算手续（10分）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配合办理结算、提供发票等手续</w:t>
            </w:r>
          </w:p>
        </w:tc>
        <w:tc>
          <w:tcPr>
            <w:tcW w:w="49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收到通知后在规定时间内提供办理结算手续材料的得10分，未及时提供或提供材料多次不全的每出现1次扣2分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95"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服务态度（10分）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履约期间服务热情及时</w:t>
            </w:r>
          </w:p>
        </w:tc>
        <w:tc>
          <w:tcPr>
            <w:tcW w:w="49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合同期内服务热情，积极配合采购人工作的得10分，服务冷漠、配合度不高的每出现1次扣2分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合计得分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9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7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8061"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备注：1、本考核表得分将做为合同续签依据，90-100分为“优”，80-89分为“良”，60-79分为“合格”,60分以下为“不合格”。                                                            2、考核分数有扣减情况的，采购人可根据合同约定自行对定点供应商进行处罚，并报综合部备案。                                                                                 3、请各部门根据部门实际使用情况对相应服务单位如实打分。</w:t>
            </w:r>
          </w:p>
        </w:tc>
      </w:tr>
    </w:tbl>
    <w:p>
      <w:pPr>
        <w:rPr>
          <w:rFonts w:hint="eastAsia"/>
          <w:b/>
          <w:color w:val="auto"/>
          <w:sz w:val="2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F5DAE"/>
    <w:multiLevelType w:val="singleLevel"/>
    <w:tmpl w:val="10FF5DA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6274292"/>
    <w:rsid w:val="076F15A4"/>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EA9518B"/>
    <w:rsid w:val="1EF02DBA"/>
    <w:rsid w:val="229D0F23"/>
    <w:rsid w:val="2560638D"/>
    <w:rsid w:val="2888575B"/>
    <w:rsid w:val="2DC35BE2"/>
    <w:rsid w:val="2DFD6DA8"/>
    <w:rsid w:val="2E953936"/>
    <w:rsid w:val="2F5C3B54"/>
    <w:rsid w:val="3401034F"/>
    <w:rsid w:val="365F5108"/>
    <w:rsid w:val="38451629"/>
    <w:rsid w:val="39202096"/>
    <w:rsid w:val="3956631D"/>
    <w:rsid w:val="39A323C9"/>
    <w:rsid w:val="3D995F73"/>
    <w:rsid w:val="3DD40ACC"/>
    <w:rsid w:val="3E7A3FF6"/>
    <w:rsid w:val="3F7C42B6"/>
    <w:rsid w:val="40821E95"/>
    <w:rsid w:val="42331D89"/>
    <w:rsid w:val="425C413F"/>
    <w:rsid w:val="42654155"/>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7F24DD"/>
    <w:rsid w:val="58B2099D"/>
    <w:rsid w:val="59F6057D"/>
    <w:rsid w:val="5A8121BA"/>
    <w:rsid w:val="5ABF0539"/>
    <w:rsid w:val="5B4434DF"/>
    <w:rsid w:val="65374BCA"/>
    <w:rsid w:val="6562740E"/>
    <w:rsid w:val="65FC1861"/>
    <w:rsid w:val="662E5966"/>
    <w:rsid w:val="6747066A"/>
    <w:rsid w:val="699F737A"/>
    <w:rsid w:val="6EAC5D22"/>
    <w:rsid w:val="6F1E00AA"/>
    <w:rsid w:val="6FE07D2F"/>
    <w:rsid w:val="73136DD6"/>
    <w:rsid w:val="73922BF0"/>
    <w:rsid w:val="73B72B30"/>
    <w:rsid w:val="76271B88"/>
    <w:rsid w:val="77AD62C7"/>
    <w:rsid w:val="792768C4"/>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7"/>
    <w:basedOn w:val="1"/>
    <w:qFormat/>
    <w:uiPriority w:val="1"/>
    <w:pPr>
      <w:ind w:left="577"/>
      <w:outlineLvl w:val="6"/>
    </w:pPr>
    <w:rPr>
      <w:rFonts w:ascii="宋体" w:hAnsi="宋体"/>
      <w:b/>
      <w:bCs/>
      <w:sz w:val="21"/>
      <w:szCs w:val="21"/>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firstLine="645"/>
    </w:pPr>
    <w:rPr>
      <w:rFonts w:ascii="楷体_GB2312" w:eastAsia="楷体_GB2312"/>
      <w:kern w:val="2"/>
      <w:sz w:val="32"/>
    </w:rPr>
  </w:style>
  <w:style w:type="paragraph" w:styleId="3">
    <w:name w:val="envelope return"/>
    <w:basedOn w:val="1"/>
    <w:qFormat/>
    <w:uiPriority w:val="0"/>
    <w:pPr>
      <w:snapToGrid w:val="0"/>
    </w:pPr>
    <w:rPr>
      <w:rFonts w:ascii="Arial" w:hAnsi="Arial"/>
    </w:rPr>
  </w:style>
  <w:style w:type="paragraph" w:styleId="7">
    <w:name w:val="annotation text"/>
    <w:basedOn w:val="1"/>
    <w:link w:val="22"/>
    <w:autoRedefine/>
    <w:semiHidden/>
    <w:unhideWhenUsed/>
    <w:qFormat/>
    <w:uiPriority w:val="99"/>
    <w:pPr>
      <w:jc w:val="left"/>
    </w:pPr>
  </w:style>
  <w:style w:type="paragraph" w:styleId="8">
    <w:name w:val="Body Text"/>
    <w:basedOn w:val="1"/>
    <w:autoRedefine/>
    <w:qFormat/>
    <w:uiPriority w:val="1"/>
    <w:pPr>
      <w:ind w:left="140"/>
    </w:pPr>
    <w:rPr>
      <w:rFonts w:ascii="宋体" w:hAnsi="宋体"/>
      <w:sz w:val="21"/>
      <w:szCs w:val="21"/>
    </w:rPr>
  </w:style>
  <w:style w:type="paragraph" w:styleId="9">
    <w:name w:val="Plain Text"/>
    <w:basedOn w:val="1"/>
    <w:autoRedefine/>
    <w:qFormat/>
    <w:uiPriority w:val="0"/>
    <w:rPr>
      <w:rFonts w:hAnsi="Courier New"/>
      <w:kern w:val="2"/>
      <w:sz w:val="21"/>
    </w:rPr>
  </w:style>
  <w:style w:type="paragraph" w:styleId="10">
    <w:name w:val="Balloon Text"/>
    <w:basedOn w:val="1"/>
    <w:link w:val="24"/>
    <w:autoRedefine/>
    <w:semiHidden/>
    <w:unhideWhenUsed/>
    <w:qFormat/>
    <w:uiPriority w:val="99"/>
    <w:rPr>
      <w:sz w:val="18"/>
      <w:szCs w:val="18"/>
    </w:rPr>
  </w:style>
  <w:style w:type="paragraph" w:styleId="11">
    <w:name w:val="footer"/>
    <w:basedOn w:val="1"/>
    <w:link w:val="20"/>
    <w:autoRedefine/>
    <w:unhideWhenUsed/>
    <w:qFormat/>
    <w:uiPriority w:val="99"/>
    <w:pPr>
      <w:tabs>
        <w:tab w:val="center" w:pos="4153"/>
        <w:tab w:val="right" w:pos="8306"/>
      </w:tabs>
      <w:snapToGrid w:val="0"/>
      <w:jc w:val="left"/>
    </w:pPr>
    <w:rPr>
      <w:sz w:val="18"/>
      <w:szCs w:val="18"/>
    </w:rPr>
  </w:style>
  <w:style w:type="paragraph" w:styleId="12">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ind w:firstLine="645"/>
    </w:pPr>
    <w:rPr>
      <w:rFonts w:ascii="仿宋_GB2312" w:hAnsi="Arial" w:eastAsia="仿宋_GB2312"/>
      <w:color w:val="000000"/>
      <w:sz w:val="30"/>
    </w:rPr>
  </w:style>
  <w:style w:type="paragraph" w:styleId="14">
    <w:name w:val="annotation subject"/>
    <w:basedOn w:val="7"/>
    <w:next w:val="7"/>
    <w:link w:val="23"/>
    <w:autoRedefine/>
    <w:semiHidden/>
    <w:unhideWhenUsed/>
    <w:qFormat/>
    <w:uiPriority w:val="99"/>
    <w:rPr>
      <w:b/>
      <w:bCs/>
    </w:rPr>
  </w:style>
  <w:style w:type="paragraph" w:styleId="15">
    <w:name w:val="Body Text First Indent 2"/>
    <w:basedOn w:val="2"/>
    <w:autoRedefine/>
    <w:qFormat/>
    <w:uiPriority w:val="0"/>
    <w:pPr>
      <w:ind w:left="420" w:leftChars="200" w:firstLine="420" w:firstLineChars="200"/>
    </w:pPr>
  </w:style>
  <w:style w:type="character" w:styleId="18">
    <w:name w:val="annotation reference"/>
    <w:basedOn w:val="17"/>
    <w:autoRedefine/>
    <w:semiHidden/>
    <w:unhideWhenUsed/>
    <w:qFormat/>
    <w:uiPriority w:val="99"/>
    <w:rPr>
      <w:sz w:val="21"/>
      <w:szCs w:val="21"/>
    </w:rPr>
  </w:style>
  <w:style w:type="character" w:customStyle="1" w:styleId="19">
    <w:name w:val="页眉 Char"/>
    <w:basedOn w:val="17"/>
    <w:link w:val="12"/>
    <w:autoRedefine/>
    <w:qFormat/>
    <w:uiPriority w:val="99"/>
    <w:rPr>
      <w:sz w:val="18"/>
      <w:szCs w:val="18"/>
    </w:rPr>
  </w:style>
  <w:style w:type="character" w:customStyle="1" w:styleId="20">
    <w:name w:val="页脚 Char"/>
    <w:basedOn w:val="17"/>
    <w:link w:val="11"/>
    <w:autoRedefine/>
    <w:qFormat/>
    <w:uiPriority w:val="99"/>
    <w:rPr>
      <w:sz w:val="18"/>
      <w:szCs w:val="18"/>
    </w:rPr>
  </w:style>
  <w:style w:type="paragraph" w:customStyle="1" w:styleId="21">
    <w:name w:val="Char Char Char Char Char Char Char Char Char Char"/>
    <w:basedOn w:val="1"/>
    <w:autoRedefine/>
    <w:qFormat/>
    <w:uiPriority w:val="0"/>
    <w:rPr>
      <w:rFonts w:ascii="Tahoma" w:hAnsi="Tahoma" w:eastAsia="宋体" w:cs="仿宋_GB2312"/>
      <w:sz w:val="24"/>
      <w:szCs w:val="20"/>
    </w:rPr>
  </w:style>
  <w:style w:type="character" w:customStyle="1" w:styleId="22">
    <w:name w:val="批注文字 Char"/>
    <w:basedOn w:val="17"/>
    <w:link w:val="7"/>
    <w:autoRedefine/>
    <w:semiHidden/>
    <w:qFormat/>
    <w:uiPriority w:val="99"/>
  </w:style>
  <w:style w:type="character" w:customStyle="1" w:styleId="23">
    <w:name w:val="批注主题 Char"/>
    <w:basedOn w:val="22"/>
    <w:link w:val="14"/>
    <w:autoRedefine/>
    <w:semiHidden/>
    <w:qFormat/>
    <w:uiPriority w:val="99"/>
    <w:rPr>
      <w:b/>
      <w:bCs/>
    </w:rPr>
  </w:style>
  <w:style w:type="character" w:customStyle="1" w:styleId="24">
    <w:name w:val="批注框文本 Char"/>
    <w:basedOn w:val="17"/>
    <w:link w:val="10"/>
    <w:autoRedefine/>
    <w:semiHidden/>
    <w:qFormat/>
    <w:uiPriority w:val="99"/>
    <w:rPr>
      <w:sz w:val="18"/>
      <w:szCs w:val="18"/>
    </w:rPr>
  </w:style>
  <w:style w:type="paragraph" w:styleId="25">
    <w:name w:val="List Paragraph"/>
    <w:basedOn w:val="1"/>
    <w:autoRedefine/>
    <w:unhideWhenUsed/>
    <w:qFormat/>
    <w:uiPriority w:val="99"/>
    <w:pPr>
      <w:ind w:firstLine="420" w:firstLineChars="200"/>
    </w:pPr>
  </w:style>
  <w:style w:type="paragraph" w:customStyle="1" w:styleId="26">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27">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28">
    <w:name w:val="Char Char Char Char Char Char Char1 Char"/>
    <w:basedOn w:val="1"/>
    <w:autoRedefine/>
    <w:qFormat/>
    <w:uiPriority w:val="0"/>
    <w:rPr>
      <w:rFonts w:ascii="Tahoma" w:hAnsi="Tahoma"/>
      <w:sz w:val="24"/>
    </w:rPr>
  </w:style>
  <w:style w:type="character" w:customStyle="1" w:styleId="29">
    <w:name w:val="font21"/>
    <w:basedOn w:val="17"/>
    <w:autoRedefine/>
    <w:qFormat/>
    <w:uiPriority w:val="0"/>
    <w:rPr>
      <w:rFonts w:hint="eastAsia" w:ascii="宋体" w:hAnsi="宋体" w:eastAsia="宋体" w:cs="宋体"/>
      <w:b/>
      <w:bCs/>
      <w:color w:val="000000"/>
      <w:sz w:val="40"/>
      <w:szCs w:val="40"/>
      <w:u w:val="none"/>
    </w:rPr>
  </w:style>
  <w:style w:type="character" w:customStyle="1" w:styleId="30">
    <w:name w:val="font71"/>
    <w:basedOn w:val="17"/>
    <w:autoRedefine/>
    <w:qFormat/>
    <w:uiPriority w:val="0"/>
    <w:rPr>
      <w:rFonts w:hint="eastAsia" w:ascii="宋体" w:hAnsi="宋体" w:eastAsia="宋体" w:cs="宋体"/>
      <w:b/>
      <w:bCs/>
      <w:color w:val="000000"/>
      <w:sz w:val="40"/>
      <w:szCs w:val="40"/>
      <w:u w:val="single"/>
    </w:rPr>
  </w:style>
  <w:style w:type="character" w:customStyle="1" w:styleId="31">
    <w:name w:val="font91"/>
    <w:basedOn w:val="17"/>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2">
    <w:name w:val="font111"/>
    <w:basedOn w:val="17"/>
    <w:autoRedefine/>
    <w:qFormat/>
    <w:uiPriority w:val="0"/>
    <w:rPr>
      <w:rFonts w:hint="eastAsia" w:ascii="宋体" w:hAnsi="宋体" w:eastAsia="宋体" w:cs="宋体"/>
      <w:color w:val="000000"/>
      <w:sz w:val="40"/>
      <w:szCs w:val="40"/>
      <w:u w:val="single"/>
    </w:rPr>
  </w:style>
  <w:style w:type="character" w:customStyle="1" w:styleId="33">
    <w:name w:val="font141"/>
    <w:basedOn w:val="17"/>
    <w:autoRedefine/>
    <w:qFormat/>
    <w:uiPriority w:val="0"/>
    <w:rPr>
      <w:rFonts w:hint="eastAsia" w:ascii="宋体" w:hAnsi="宋体" w:eastAsia="宋体" w:cs="宋体"/>
      <w:color w:val="000000"/>
      <w:sz w:val="20"/>
      <w:szCs w:val="20"/>
      <w:u w:val="single"/>
    </w:rPr>
  </w:style>
  <w:style w:type="character" w:customStyle="1" w:styleId="34">
    <w:name w:val="font151"/>
    <w:basedOn w:val="17"/>
    <w:autoRedefine/>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10</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2024-09-26T03:38:00Z</cp:lastPrinted>
  <dcterms:modified xsi:type="dcterms:W3CDTF">2025-03-14T03:28:24Z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