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6"/>
        <w:ind w:left="438" w:firstLine="600"/>
        <w:rPr>
          <w:rFonts w:hAnsi="宋体"/>
          <w:b/>
          <w:bCs/>
          <w:color w:val="000000"/>
          <w:szCs w:val="28"/>
        </w:rPr>
      </w:pPr>
    </w:p>
    <w:p>
      <w:pPr>
        <w:pStyle w:val="16"/>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8"/>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rPr>
      </w:pPr>
      <w:r>
        <w:rPr>
          <w:rFonts w:hint="eastAsia" w:ascii="Times New Roman" w:hAnsi="Times New Roman" w:eastAsia="宋体" w:cs="Times New Roman"/>
          <w:b/>
          <w:color w:val="auto"/>
          <w:sz w:val="44"/>
          <w:szCs w:val="44"/>
          <w:highlight w:val="none"/>
        </w:rPr>
        <w:t>采购服务类项目需求表</w:t>
      </w:r>
      <w:bookmarkStart w:id="8" w:name="_GoBack"/>
      <w:bookmarkEnd w:id="8"/>
    </w:p>
    <w:p>
      <w:pPr>
        <w:pStyle w:val="14"/>
        <w:widowControl/>
        <w:spacing w:before="0" w:beforeAutospacing="0" w:after="0" w:afterAutospacing="0" w:line="360" w:lineRule="auto"/>
        <w:jc w:val="both"/>
        <w:rPr>
          <w:rFonts w:hint="default" w:ascii="黑体" w:hAnsi="黑体" w:eastAsia="黑体"/>
          <w:color w:val="000000"/>
          <w:sz w:val="28"/>
          <w:szCs w:val="28"/>
          <w:lang w:val="en-US" w:eastAsia="zh-CN"/>
        </w:rPr>
      </w:pPr>
      <w:r>
        <w:rPr>
          <w:rFonts w:hint="eastAsia" w:ascii="黑体" w:hAnsi="黑体" w:eastAsia="黑体"/>
          <w:color w:val="000000"/>
          <w:sz w:val="28"/>
          <w:szCs w:val="28"/>
          <w:lang w:val="en-US" w:eastAsia="zh-CN"/>
        </w:rPr>
        <w:t>一</w:t>
      </w:r>
      <w:r>
        <w:rPr>
          <w:rFonts w:hint="eastAsia" w:ascii="黑体" w:hAnsi="黑体" w:eastAsia="黑体"/>
          <w:color w:val="000000"/>
          <w:sz w:val="28"/>
          <w:szCs w:val="28"/>
        </w:rPr>
        <w:t>、</w:t>
      </w:r>
      <w:r>
        <w:rPr>
          <w:rFonts w:hint="eastAsia" w:ascii="黑体" w:hAnsi="黑体" w:eastAsia="黑体"/>
          <w:color w:val="000000"/>
          <w:sz w:val="28"/>
          <w:szCs w:val="28"/>
          <w:lang w:val="en-US" w:eastAsia="zh-CN"/>
        </w:rPr>
        <w:t>项目概况</w:t>
      </w:r>
    </w:p>
    <w:p>
      <w:pPr>
        <w:ind w:firstLine="420" w:firstLineChars="200"/>
        <w:rPr>
          <w:rFonts w:ascii="宋体" w:hAnsi="宋体"/>
        </w:rPr>
      </w:pPr>
      <w:r>
        <w:rPr>
          <w:rFonts w:hint="eastAsia" w:ascii="宋体" w:hAnsi="宋体"/>
        </w:rPr>
        <w:t>1</w:t>
      </w:r>
      <w:r>
        <w:rPr>
          <w:rFonts w:ascii="宋体" w:hAnsi="宋体"/>
        </w:rPr>
        <w:t>.</w:t>
      </w:r>
      <w:r>
        <w:rPr>
          <w:rFonts w:hint="eastAsia" w:ascii="宋体" w:hAnsi="宋体"/>
        </w:rPr>
        <w:t>本次拟通过采购确定</w:t>
      </w:r>
      <w:r>
        <w:rPr>
          <w:rFonts w:hint="eastAsia" w:ascii="宋体" w:hAnsi="宋体"/>
          <w:u w:val="single"/>
        </w:rPr>
        <w:t>1</w:t>
      </w:r>
      <w:r>
        <w:rPr>
          <w:rFonts w:hint="eastAsia" w:ascii="宋体" w:hAnsi="宋体"/>
        </w:rPr>
        <w:t>家单位，</w:t>
      </w:r>
      <w:r>
        <w:t>协助</w:t>
      </w:r>
      <w:r>
        <w:rPr>
          <w:rFonts w:hint="eastAsia"/>
        </w:rPr>
        <w:t>、</w:t>
      </w:r>
      <w:r>
        <w:t>指导在市级及以上</w:t>
      </w:r>
      <w:r>
        <w:rPr>
          <w:rFonts w:hint="eastAsia"/>
        </w:rPr>
        <w:t>党媒的</w:t>
      </w:r>
      <w:r>
        <w:t>纸质媒体刊登</w:t>
      </w:r>
      <w:r>
        <w:rPr>
          <w:rFonts w:hint="eastAsia"/>
        </w:rPr>
        <w:t>800字以内的宣传</w:t>
      </w:r>
      <w:r>
        <w:t>稿件不少于</w:t>
      </w:r>
      <w:r>
        <w:rPr>
          <w:rFonts w:hint="eastAsia"/>
        </w:rPr>
        <w:t>4篇，并在其所属的新媒体矩阵平台根据招标人需求推送宣传稿件</w:t>
      </w:r>
      <w:r>
        <w:rPr>
          <w:rFonts w:hint="eastAsia" w:ascii="宋体" w:hAnsi="宋体"/>
        </w:rPr>
        <w:t>。</w:t>
      </w:r>
    </w:p>
    <w:p>
      <w:pPr>
        <w:ind w:firstLine="420" w:firstLineChars="200"/>
        <w:rPr>
          <w:rFonts w:ascii="宋体" w:hAnsi="宋体"/>
        </w:rPr>
      </w:pPr>
      <w:r>
        <w:rPr>
          <w:rFonts w:hint="eastAsia" w:ascii="宋体" w:hAnsi="宋体"/>
        </w:rPr>
        <w:t>2</w:t>
      </w:r>
      <w:r>
        <w:rPr>
          <w:rFonts w:ascii="宋体" w:hAnsi="宋体"/>
        </w:rPr>
        <w:t>.</w:t>
      </w:r>
      <w:r>
        <w:rPr>
          <w:rFonts w:hint="eastAsia" w:ascii="宋体" w:hAnsi="宋体"/>
        </w:rPr>
        <w:t>稿件根据招标人需求按季度刊登。</w:t>
      </w:r>
    </w:p>
    <w:p>
      <w:pPr>
        <w:rPr>
          <w:rFonts w:ascii="黑体" w:hAnsi="黑体" w:eastAsia="黑体" w:cs="宋体"/>
          <w:sz w:val="28"/>
          <w:szCs w:val="28"/>
        </w:rPr>
      </w:pPr>
      <w:r>
        <w:rPr>
          <w:rFonts w:hint="eastAsia" w:ascii="黑体" w:hAnsi="黑体" w:eastAsia="黑体" w:cs="宋体"/>
          <w:sz w:val="28"/>
          <w:szCs w:val="28"/>
          <w:lang w:val="en-US" w:eastAsia="zh-CN"/>
        </w:rPr>
        <w:t>二</w:t>
      </w:r>
      <w:r>
        <w:rPr>
          <w:rFonts w:hint="eastAsia" w:ascii="黑体" w:hAnsi="黑体" w:eastAsia="黑体" w:cs="宋体"/>
          <w:sz w:val="28"/>
          <w:szCs w:val="28"/>
        </w:rPr>
        <w:t>、评分方法</w:t>
      </w:r>
    </w:p>
    <w:p>
      <w:pPr>
        <w:rPr>
          <w:rFonts w:ascii="宋体" w:hAnsi="宋体"/>
        </w:rPr>
      </w:pPr>
      <w:r>
        <w:rPr>
          <w:rFonts w:hint="eastAsia" w:ascii="宋体" w:hAnsi="宋体"/>
        </w:rPr>
        <w:t>本项目综合评分满分为</w:t>
      </w:r>
      <w:r>
        <w:rPr>
          <w:rFonts w:hint="eastAsia" w:ascii="宋体" w:hAnsi="宋体"/>
          <w:u w:val="single"/>
        </w:rPr>
        <w:t xml:space="preserve"> 100 </w:t>
      </w:r>
      <w:r>
        <w:rPr>
          <w:rFonts w:hint="eastAsia" w:ascii="宋体" w:hAnsi="宋体"/>
        </w:rPr>
        <w:t>分，其中：技术资信分值占总分值的权重为</w:t>
      </w:r>
      <w:r>
        <w:rPr>
          <w:rFonts w:hint="eastAsia" w:ascii="宋体" w:hAnsi="宋体"/>
          <w:u w:val="single"/>
        </w:rPr>
        <w:t xml:space="preserve"> 80 </w:t>
      </w:r>
      <w:r>
        <w:rPr>
          <w:rFonts w:hint="eastAsia" w:ascii="宋体" w:hAnsi="宋体"/>
        </w:rPr>
        <w:t>%，价格分值占总分值的权重为</w:t>
      </w:r>
      <w:r>
        <w:rPr>
          <w:rFonts w:hint="eastAsia" w:ascii="宋体" w:hAnsi="宋体"/>
          <w:u w:val="single"/>
        </w:rPr>
        <w:t xml:space="preserve"> 20 </w:t>
      </w:r>
      <w:r>
        <w:rPr>
          <w:rFonts w:hint="eastAsia" w:ascii="宋体" w:hAnsi="宋体"/>
        </w:rPr>
        <w:t>%。具体评分细则如下：</w:t>
      </w:r>
    </w:p>
    <w:tbl>
      <w:tblPr>
        <w:tblStyle w:val="18"/>
        <w:tblW w:w="9440" w:type="dxa"/>
        <w:tblInd w:w="-4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74"/>
        <w:gridCol w:w="1122"/>
        <w:gridCol w:w="5495"/>
        <w:gridCol w:w="14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tcBorders>
              <w:top w:val="single" w:color="auto" w:sz="4" w:space="0"/>
            </w:tcBorders>
            <w:vAlign w:val="center"/>
          </w:tcPr>
          <w:p>
            <w:pPr>
              <w:spacing w:line="440" w:lineRule="exact"/>
              <w:jc w:val="center"/>
              <w:rPr>
                <w:b/>
              </w:rPr>
            </w:pPr>
            <w:r>
              <w:rPr>
                <w:rFonts w:hint="eastAsia"/>
                <w:b/>
              </w:rPr>
              <w:t>类别</w:t>
            </w:r>
          </w:p>
        </w:tc>
        <w:tc>
          <w:tcPr>
            <w:tcW w:w="1122" w:type="dxa"/>
            <w:tcBorders>
              <w:top w:val="single" w:color="auto" w:sz="4" w:space="0"/>
            </w:tcBorders>
            <w:vAlign w:val="center"/>
          </w:tcPr>
          <w:p>
            <w:pPr>
              <w:spacing w:line="440" w:lineRule="exact"/>
              <w:jc w:val="center"/>
              <w:rPr>
                <w:b/>
              </w:rPr>
            </w:pPr>
            <w:r>
              <w:rPr>
                <w:rFonts w:hint="eastAsia"/>
                <w:b/>
              </w:rPr>
              <w:t>评分</w:t>
            </w:r>
          </w:p>
          <w:p>
            <w:pPr>
              <w:spacing w:line="440" w:lineRule="exact"/>
              <w:jc w:val="center"/>
              <w:rPr>
                <w:b/>
              </w:rPr>
            </w:pPr>
            <w:r>
              <w:rPr>
                <w:rFonts w:hint="eastAsia"/>
                <w:b/>
              </w:rPr>
              <w:t>内容</w:t>
            </w:r>
          </w:p>
        </w:tc>
        <w:tc>
          <w:tcPr>
            <w:tcW w:w="5495" w:type="dxa"/>
            <w:tcBorders>
              <w:top w:val="single" w:color="auto" w:sz="4" w:space="0"/>
            </w:tcBorders>
            <w:vAlign w:val="center"/>
          </w:tcPr>
          <w:p>
            <w:pPr>
              <w:spacing w:line="440" w:lineRule="exact"/>
              <w:jc w:val="center"/>
              <w:rPr>
                <w:b/>
              </w:rPr>
            </w:pPr>
            <w:r>
              <w:rPr>
                <w:rFonts w:hint="eastAsia"/>
                <w:b/>
              </w:rPr>
              <w:t>评分标准</w:t>
            </w:r>
          </w:p>
        </w:tc>
        <w:tc>
          <w:tcPr>
            <w:tcW w:w="1449" w:type="dxa"/>
            <w:tcBorders>
              <w:top w:val="single" w:color="auto" w:sz="4" w:space="0"/>
            </w:tcBorders>
            <w:vAlign w:val="center"/>
          </w:tcPr>
          <w:p>
            <w:pPr>
              <w:spacing w:line="440" w:lineRule="exact"/>
              <w:jc w:val="center"/>
              <w:rPr>
                <w:b/>
              </w:rPr>
            </w:pPr>
            <w:r>
              <w:rPr>
                <w:rFonts w:hint="eastAsia"/>
                <w:b/>
              </w:rPr>
              <w:t>分值</w:t>
            </w:r>
          </w:p>
          <w:p>
            <w:pPr>
              <w:spacing w:line="440" w:lineRule="exact"/>
              <w:jc w:val="center"/>
              <w:rPr>
                <w:b/>
              </w:rPr>
            </w:pPr>
            <w:r>
              <w:rPr>
                <w:rFonts w:hint="eastAsia"/>
                <w:b/>
              </w:rPr>
              <w:t>范围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restart"/>
            <w:vAlign w:val="center"/>
          </w:tcPr>
          <w:p>
            <w:pPr>
              <w:spacing w:line="440" w:lineRule="exact"/>
              <w:jc w:val="center"/>
            </w:pPr>
            <w:r>
              <w:t>技术资信分(</w:t>
            </w:r>
            <w:r>
              <w:rPr>
                <w:rFonts w:hint="eastAsia"/>
              </w:rPr>
              <w:t>80</w:t>
            </w:r>
            <w:r>
              <w:t>分)</w:t>
            </w:r>
          </w:p>
        </w:tc>
        <w:tc>
          <w:tcPr>
            <w:tcW w:w="1122" w:type="dxa"/>
            <w:vMerge w:val="restart"/>
            <w:vAlign w:val="center"/>
          </w:tcPr>
          <w:p>
            <w:pPr>
              <w:jc w:val="center"/>
            </w:pPr>
            <w:r>
              <w:t>服务方案</w:t>
            </w:r>
          </w:p>
        </w:tc>
        <w:tc>
          <w:tcPr>
            <w:tcW w:w="5495" w:type="dxa"/>
          </w:tcPr>
          <w:p>
            <w:r>
              <w:t>1.服务内容全面性</w:t>
            </w:r>
          </w:p>
          <w:p>
            <w:r>
              <w:t>（1）服务内容全面，服务保障措施科学合理可行，能够完全满足招标人要求的，得</w:t>
            </w:r>
            <w:r>
              <w:rPr>
                <w:rFonts w:hint="eastAsia"/>
              </w:rPr>
              <w:t>7</w:t>
            </w:r>
            <w:r>
              <w:t>分；</w:t>
            </w:r>
          </w:p>
          <w:p>
            <w:r>
              <w:t>（2）服务内容比较全面，服务保障措施比较科学合理，能够基本满足招标人要求的，得</w:t>
            </w:r>
            <w:r>
              <w:rPr>
                <w:rFonts w:hint="eastAsia"/>
              </w:rPr>
              <w:t>4</w:t>
            </w:r>
            <w:r>
              <w:t>分；</w:t>
            </w:r>
          </w:p>
          <w:p>
            <w:r>
              <w:t>（3）服务内容全面性有待进一步提升完善的，得</w:t>
            </w:r>
            <w:r>
              <w:rPr>
                <w:rFonts w:hint="eastAsia"/>
              </w:rPr>
              <w:t>2</w:t>
            </w:r>
            <w:r>
              <w:t>分；</w:t>
            </w:r>
          </w:p>
          <w:p>
            <w:pPr>
              <w:rPr>
                <w:szCs w:val="21"/>
              </w:rPr>
            </w:pPr>
            <w:r>
              <w:t>（4）未提供方案或未体现相关内容的不得分。</w:t>
            </w:r>
          </w:p>
        </w:tc>
        <w:tc>
          <w:tcPr>
            <w:tcW w:w="1449" w:type="dxa"/>
            <w:vAlign w:val="center"/>
          </w:tcPr>
          <w:p>
            <w:pPr>
              <w:jc w:val="center"/>
            </w:pPr>
            <w:r>
              <w:t>0-</w:t>
            </w:r>
            <w:r>
              <w:rPr>
                <w:rFonts w:hint="eastAsia"/>
              </w:rPr>
              <w:t>7</w:t>
            </w:r>
            <w: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vAlign w:val="center"/>
          </w:tcPr>
          <w:p>
            <w:pPr>
              <w:spacing w:line="440" w:lineRule="exact"/>
            </w:pPr>
          </w:p>
        </w:tc>
        <w:tc>
          <w:tcPr>
            <w:tcW w:w="1122" w:type="dxa"/>
            <w:vMerge w:val="continue"/>
          </w:tcPr>
          <w:p>
            <w:pPr>
              <w:jc w:val="center"/>
            </w:pPr>
          </w:p>
        </w:tc>
        <w:tc>
          <w:tcPr>
            <w:tcW w:w="5495" w:type="dxa"/>
          </w:tcPr>
          <w:p>
            <w:r>
              <w:t>2.服务响应的时效性</w:t>
            </w:r>
          </w:p>
          <w:p>
            <w:r>
              <w:t>（1）服务时间安排科学合理，能够完全满足招标人需求的，得</w:t>
            </w:r>
            <w:r>
              <w:rPr>
                <w:rFonts w:hint="eastAsia"/>
              </w:rPr>
              <w:t>7</w:t>
            </w:r>
            <w:r>
              <w:t>分；</w:t>
            </w:r>
          </w:p>
          <w:p>
            <w:r>
              <w:t>（2）服务时间安排比较科学合理，</w:t>
            </w:r>
            <w:r>
              <w:rPr>
                <w:rFonts w:hint="eastAsia"/>
              </w:rPr>
              <w:t xml:space="preserve"> </w:t>
            </w:r>
            <w:r>
              <w:t>能够基本满足招标人需求的，得</w:t>
            </w:r>
            <w:r>
              <w:rPr>
                <w:rFonts w:hint="eastAsia"/>
              </w:rPr>
              <w:t>4</w:t>
            </w:r>
            <w:r>
              <w:t>分；</w:t>
            </w:r>
          </w:p>
          <w:p>
            <w:r>
              <w:t>（3）服务时间安排合理性有待进一步提升完善的，得</w:t>
            </w:r>
            <w:r>
              <w:rPr>
                <w:rFonts w:hint="eastAsia"/>
              </w:rPr>
              <w:t>2</w:t>
            </w:r>
            <w:r>
              <w:t>分；</w:t>
            </w:r>
          </w:p>
          <w:p>
            <w:r>
              <w:t>（4）未提供方案或未体现相关内容的</w:t>
            </w:r>
            <w:r>
              <w:rPr>
                <w:rFonts w:hint="eastAsia"/>
              </w:rPr>
              <w:t>，</w:t>
            </w:r>
            <w:r>
              <w:t>不得分。</w:t>
            </w:r>
          </w:p>
        </w:tc>
        <w:tc>
          <w:tcPr>
            <w:tcW w:w="1449" w:type="dxa"/>
            <w:vAlign w:val="center"/>
          </w:tcPr>
          <w:p>
            <w:pPr>
              <w:jc w:val="center"/>
            </w:pPr>
            <w:r>
              <w:t>0-</w:t>
            </w:r>
            <w:r>
              <w:rPr>
                <w:rFonts w:hint="eastAsia"/>
              </w:rPr>
              <w:t>7</w:t>
            </w:r>
            <w: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vAlign w:val="center"/>
          </w:tcPr>
          <w:p>
            <w:pPr>
              <w:spacing w:line="440" w:lineRule="exact"/>
            </w:pPr>
          </w:p>
        </w:tc>
        <w:tc>
          <w:tcPr>
            <w:tcW w:w="1122" w:type="dxa"/>
            <w:vAlign w:val="center"/>
          </w:tcPr>
          <w:p>
            <w:pPr>
              <w:jc w:val="center"/>
            </w:pPr>
            <w:r>
              <w:t>人员配备</w:t>
            </w:r>
          </w:p>
        </w:tc>
        <w:tc>
          <w:tcPr>
            <w:tcW w:w="5495" w:type="dxa"/>
          </w:tcPr>
          <w:p>
            <w:r>
              <w:rPr>
                <w:rFonts w:hint="eastAsia"/>
              </w:rPr>
              <w:t>投标供应商为本项目配备的人员具有下列证书：</w:t>
            </w:r>
          </w:p>
          <w:p>
            <w:r>
              <w:rPr>
                <w:rFonts w:hint="eastAsia"/>
              </w:rPr>
              <w:t>1.国家新闻出版署颁发的记者证；</w:t>
            </w:r>
          </w:p>
          <w:p>
            <w:r>
              <w:rPr>
                <w:rFonts w:hint="eastAsia"/>
              </w:rPr>
              <w:t>2.中级及以上职称资格证书。</w:t>
            </w:r>
          </w:p>
          <w:p>
            <w:r>
              <w:rPr>
                <w:rFonts w:hint="eastAsia"/>
              </w:rPr>
              <w:t>每提供1个证书得3分，满分15 分。未提供的不得分。</w:t>
            </w:r>
          </w:p>
          <w:p>
            <w:pPr>
              <w:rPr>
                <w:b/>
              </w:rPr>
            </w:pPr>
            <w:r>
              <w:rPr>
                <w:rFonts w:hint="eastAsia"/>
                <w:b/>
              </w:rPr>
              <w:t>注：</w:t>
            </w:r>
          </w:p>
          <w:p>
            <w:pPr>
              <w:rPr>
                <w:b/>
              </w:rPr>
            </w:pPr>
            <w:r>
              <w:rPr>
                <w:rFonts w:hint="eastAsia"/>
                <w:b/>
              </w:rPr>
              <w:t>1.响应文件中提供上述人员名单（格式自拟）、相关证书扫描件，以及供应商为其缴纳的近三个月内（任意一个月）社保证明材料扫描件。社保证明材料具体形式详见供应商须知前附表(提供任意五险之一的社保证明材料即可)。</w:t>
            </w:r>
          </w:p>
          <w:p>
            <w:pPr>
              <w:rPr>
                <w:b/>
              </w:rPr>
            </w:pPr>
            <w:r>
              <w:rPr>
                <w:rFonts w:hint="eastAsia"/>
                <w:b/>
              </w:rPr>
              <w:t>2.同一人员同时具有多个证书的不重复计分。</w:t>
            </w:r>
          </w:p>
        </w:tc>
        <w:tc>
          <w:tcPr>
            <w:tcW w:w="1449" w:type="dxa"/>
            <w:vAlign w:val="center"/>
          </w:tcPr>
          <w:p>
            <w:pPr>
              <w:jc w:val="center"/>
            </w:pPr>
            <w:r>
              <w:t>0-</w:t>
            </w:r>
            <w:r>
              <w:rPr>
                <w:rFonts w:hint="eastAsia"/>
              </w:rPr>
              <w:t>15</w:t>
            </w:r>
            <w:r>
              <w:t xml:space="preserve"> 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vAlign w:val="center"/>
          </w:tcPr>
          <w:p>
            <w:pPr>
              <w:spacing w:line="440" w:lineRule="exact"/>
            </w:pPr>
          </w:p>
        </w:tc>
        <w:tc>
          <w:tcPr>
            <w:tcW w:w="1122" w:type="dxa"/>
            <w:vAlign w:val="center"/>
          </w:tcPr>
          <w:p>
            <w:pPr>
              <w:jc w:val="center"/>
            </w:pPr>
            <w:r>
              <w:t>供应商</w:t>
            </w:r>
          </w:p>
          <w:p>
            <w:pPr>
              <w:jc w:val="center"/>
            </w:pPr>
            <w:r>
              <w:t>业绩</w:t>
            </w:r>
          </w:p>
        </w:tc>
        <w:tc>
          <w:tcPr>
            <w:tcW w:w="5495" w:type="dxa"/>
          </w:tcPr>
          <w:p>
            <w:r>
              <w:rPr>
                <w:rFonts w:hint="eastAsia"/>
              </w:rPr>
              <w:t>投标供应商提供2022年1月1日以来（以合同签订时间为准），为党政机关或国有企业提供媒体宣传服务的业绩。每提供1个，得5分，满分为15分。</w:t>
            </w:r>
          </w:p>
          <w:p>
            <w:pPr>
              <w:rPr>
                <w:b/>
              </w:rPr>
            </w:pPr>
            <w:r>
              <w:rPr>
                <w:rFonts w:hint="eastAsia"/>
                <w:b/>
              </w:rPr>
              <w:t>注：</w:t>
            </w:r>
          </w:p>
          <w:p>
            <w:pPr>
              <w:rPr>
                <w:b/>
              </w:rPr>
            </w:pPr>
            <w:r>
              <w:rPr>
                <w:rFonts w:hint="eastAsia"/>
                <w:b/>
              </w:rPr>
              <w:t>（1）含正在履约中的项目业绩。</w:t>
            </w:r>
          </w:p>
          <w:p>
            <w:pPr>
              <w:rPr>
                <w:b/>
              </w:rPr>
            </w:pPr>
            <w:r>
              <w:rPr>
                <w:rFonts w:hint="eastAsia"/>
                <w:b/>
              </w:rPr>
              <w:t>（2）本项目“党政机关”包含党的机关、人大机关、政协机关、政府机关、检察机关、审判机关、群团组织（如共青团、妇联、总工会等）及所属事业单位。</w:t>
            </w:r>
          </w:p>
          <w:p>
            <w:r>
              <w:rPr>
                <w:rFonts w:hint="eastAsia"/>
                <w:b/>
              </w:rPr>
              <w:t>（3）提供相关业绩合同的扫描件或影印件；如合同中无法体现业绩内容、合同签订时间等评审要素，须另附业主单位加盖公章的证明材料扫描件，且证明材料须获得磋商小组认可，否则不得分。</w:t>
            </w:r>
          </w:p>
        </w:tc>
        <w:tc>
          <w:tcPr>
            <w:tcW w:w="1449" w:type="dxa"/>
            <w:vAlign w:val="center"/>
          </w:tcPr>
          <w:p>
            <w:pPr>
              <w:jc w:val="center"/>
            </w:pPr>
            <w:r>
              <w:t>0-</w:t>
            </w:r>
            <w:r>
              <w:rPr>
                <w:rFonts w:hint="eastAsia"/>
              </w:rPr>
              <w:t>15</w:t>
            </w:r>
            <w: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tcPr>
          <w:p>
            <w:pPr>
              <w:spacing w:line="440" w:lineRule="exact"/>
            </w:pPr>
          </w:p>
        </w:tc>
        <w:tc>
          <w:tcPr>
            <w:tcW w:w="1122" w:type="dxa"/>
            <w:vAlign w:val="center"/>
          </w:tcPr>
          <w:p>
            <w:pPr>
              <w:jc w:val="center"/>
            </w:pPr>
            <w:r>
              <w:rPr>
                <w:rFonts w:hint="eastAsia"/>
              </w:rPr>
              <w:t>媒体推</w:t>
            </w:r>
          </w:p>
          <w:p>
            <w:pPr>
              <w:jc w:val="center"/>
            </w:pPr>
            <w:r>
              <w:rPr>
                <w:rFonts w:hint="eastAsia"/>
              </w:rPr>
              <w:t>广能力</w:t>
            </w:r>
          </w:p>
        </w:tc>
        <w:tc>
          <w:tcPr>
            <w:tcW w:w="5495" w:type="dxa"/>
          </w:tcPr>
          <w:p>
            <w:r>
              <w:rPr>
                <w:rFonts w:hint="eastAsia"/>
              </w:rPr>
              <w:t>为更好转发推广宣传的内容，供应商应提供所持新媒体平台粉丝总数量、阅读量截图。</w:t>
            </w:r>
          </w:p>
          <w:p>
            <w:r>
              <w:rPr>
                <w:rFonts w:hint="eastAsia"/>
              </w:rPr>
              <w:t>1.供应商为本项目提供自主经营的宣传平台，包括但不限于官方微博平台、微信公众号平台、抖音平台、媒体网站等，每提供一个得2分，满分10分。非自主经营宣传平台的不得分。</w:t>
            </w:r>
          </w:p>
          <w:p>
            <w:pPr>
              <w:rPr>
                <w:b/>
              </w:rPr>
            </w:pPr>
            <w:r>
              <w:rPr>
                <w:rFonts w:hint="eastAsia"/>
                <w:b/>
              </w:rPr>
              <w:t>注：响应文件中提供自主经营宣传平台的相关证明材料（如平台截图、官方认证、授权书、入驻文件等）扫描件，未提供不得分。</w:t>
            </w:r>
          </w:p>
          <w:p>
            <w:r>
              <w:rPr>
                <w:rFonts w:hint="eastAsia"/>
              </w:rPr>
              <w:t>2.供应商自有微信公众号平台（满分9分）</w:t>
            </w:r>
          </w:p>
          <w:p>
            <w:r>
              <w:rPr>
                <w:rFonts w:hint="eastAsia"/>
              </w:rPr>
              <w:t>(1)微信公众号粉丝数50万及以上的，得9分；</w:t>
            </w:r>
          </w:p>
          <w:p>
            <w:r>
              <w:rPr>
                <w:rFonts w:hint="eastAsia"/>
              </w:rPr>
              <w:t>(2)微信公众号粉丝数40万（含）-50万（不含）的，得5分；</w:t>
            </w:r>
          </w:p>
          <w:p>
            <w:r>
              <w:rPr>
                <w:rFonts w:hint="eastAsia"/>
              </w:rPr>
              <w:t>(3)微信公众号粉丝数35万（含）-40万（不含）的，得3分；</w:t>
            </w:r>
          </w:p>
          <w:p>
            <w:r>
              <w:rPr>
                <w:rFonts w:hint="eastAsia"/>
              </w:rPr>
              <w:t>(4)微信公众号粉丝数低于35万的不得分。</w:t>
            </w:r>
          </w:p>
          <w:p>
            <w:r>
              <w:rPr>
                <w:rFonts w:hint="eastAsia"/>
              </w:rPr>
              <w:t>3.供应商自有微信公众号2024年文章阅读量（满分9分）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(1)阅读量达到1万（含）－2万（不含）的文章，每篇0.1 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 阅读量达到2万（含）－4万（不含）的，每篇0.2 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 阅读量达到4万及以上的文章，每篇0.5分。</w:t>
            </w:r>
          </w:p>
          <w:p>
            <w:pPr>
              <w:rPr>
                <w:b/>
              </w:rPr>
            </w:pPr>
            <w:r>
              <w:rPr>
                <w:rFonts w:hint="eastAsia"/>
                <w:b/>
              </w:rPr>
              <w:t>注：响应文件中提供截图（须能体现供应商名称相关信息、粉丝数量、文章阅读量等评审要素，并加盖供应商公章或电子签章），未提供不得分。</w:t>
            </w:r>
          </w:p>
        </w:tc>
        <w:tc>
          <w:tcPr>
            <w:tcW w:w="1449" w:type="dxa"/>
            <w:vAlign w:val="center"/>
          </w:tcPr>
          <w:p>
            <w:pPr>
              <w:jc w:val="center"/>
            </w:pPr>
            <w:r>
              <w:rPr>
                <w:rFonts w:hint="eastAsia"/>
              </w:rPr>
              <w:t>0</w:t>
            </w:r>
            <w:r>
              <w:t>-</w:t>
            </w:r>
            <w:r>
              <w:rPr>
                <w:rFonts w:hint="eastAsia"/>
              </w:rPr>
              <w:t>28</w:t>
            </w:r>
            <w: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374" w:type="dxa"/>
            <w:vMerge w:val="continue"/>
          </w:tcPr>
          <w:p>
            <w:pPr>
              <w:spacing w:line="440" w:lineRule="exact"/>
            </w:pPr>
          </w:p>
        </w:tc>
        <w:tc>
          <w:tcPr>
            <w:tcW w:w="1122" w:type="dxa"/>
            <w:vAlign w:val="center"/>
          </w:tcPr>
          <w:p>
            <w:r>
              <w:rPr>
                <w:rFonts w:hint="eastAsia"/>
              </w:rPr>
              <w:t>售后服务</w:t>
            </w:r>
          </w:p>
        </w:tc>
        <w:tc>
          <w:tcPr>
            <w:tcW w:w="5495" w:type="dxa"/>
          </w:tcPr>
          <w:p>
            <w:pPr>
              <w:spacing w:line="320" w:lineRule="exact"/>
            </w:pPr>
            <w:r>
              <w:rPr>
                <w:rFonts w:hint="eastAsia"/>
              </w:rPr>
              <w:t>根据供应商提供的“售后服务”以下要点进行综合评分，每个要点满分4分，合计满分8分。</w:t>
            </w:r>
          </w:p>
          <w:p>
            <w:pPr>
              <w:spacing w:line="320" w:lineRule="exact"/>
            </w:pPr>
            <w:r>
              <w:rPr>
                <w:rFonts w:hint="eastAsia"/>
              </w:rPr>
              <w:t>1.质量保证措施；</w:t>
            </w:r>
          </w:p>
          <w:p>
            <w:pPr>
              <w:spacing w:line="320" w:lineRule="exact"/>
            </w:pPr>
            <w:r>
              <w:rPr>
                <w:rFonts w:hint="eastAsia"/>
              </w:rPr>
              <w:t>2.进度安排。</w:t>
            </w:r>
          </w:p>
          <w:p>
            <w:pPr>
              <w:spacing w:line="320" w:lineRule="exact"/>
            </w:pPr>
            <w:r>
              <w:rPr>
                <w:rFonts w:hint="eastAsia"/>
              </w:rPr>
              <w:t>以上每个要点：科学合理，完全符合项目要求的得4分；符合项目要求并具有一定可行性的得2分；基本符合项目要求并有待完善的得1分；差或未提供不得分。</w:t>
            </w:r>
          </w:p>
        </w:tc>
        <w:tc>
          <w:tcPr>
            <w:tcW w:w="1449" w:type="dxa"/>
            <w:vAlign w:val="center"/>
          </w:tcPr>
          <w:p>
            <w:pPr>
              <w:jc w:val="center"/>
            </w:pPr>
            <w:r>
              <w:rPr>
                <w:rFonts w:hint="eastAsia"/>
              </w:rPr>
              <w:t>0-8分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8" w:hRule="atLeast"/>
        </w:trPr>
        <w:tc>
          <w:tcPr>
            <w:tcW w:w="1374" w:type="dxa"/>
            <w:vAlign w:val="center"/>
          </w:tcPr>
          <w:p>
            <w:pPr>
              <w:jc w:val="center"/>
            </w:pPr>
            <w:r>
              <w:t>价格分</w:t>
            </w:r>
          </w:p>
          <w:p>
            <w:pPr>
              <w:jc w:val="center"/>
            </w:pPr>
            <w:r>
              <w:t>(</w:t>
            </w:r>
            <w:r>
              <w:rPr>
                <w:rFonts w:hint="eastAsia"/>
              </w:rPr>
              <w:t>20</w:t>
            </w:r>
            <w:r>
              <w:t>分)</w:t>
            </w:r>
          </w:p>
        </w:tc>
        <w:tc>
          <w:tcPr>
            <w:tcW w:w="8066" w:type="dxa"/>
            <w:gridSpan w:val="3"/>
          </w:tcPr>
          <w:p>
            <w:r>
              <w:rPr>
                <w:rFonts w:hint="eastAsia"/>
              </w:rPr>
              <w:t>价格分统一采用低价优先法，即满足文件要求且价格最低的</w:t>
            </w:r>
          </w:p>
          <w:p>
            <w:r>
              <w:rPr>
                <w:rFonts w:hint="eastAsia"/>
              </w:rPr>
              <w:t>最后报价为评标基准价，其价格分为满分 10 分。其他供应商的</w:t>
            </w:r>
          </w:p>
          <w:p>
            <w:r>
              <w:rPr>
                <w:rFonts w:hint="eastAsia"/>
              </w:rPr>
              <w:t xml:space="preserve">价格分统一按照下列公式计算： </w:t>
            </w:r>
          </w:p>
          <w:p>
            <w:r>
              <w:rPr>
                <w:rFonts w:hint="eastAsia"/>
              </w:rPr>
              <w:t>最后报价得分＝（评标基准价/最后报价）× 10 ％×100</w:t>
            </w:r>
          </w:p>
        </w:tc>
      </w:tr>
    </w:tbl>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F5C3B54"/>
    <w:rsid w:val="3401034F"/>
    <w:rsid w:val="365F5108"/>
    <w:rsid w:val="38451629"/>
    <w:rsid w:val="39202096"/>
    <w:rsid w:val="3956631D"/>
    <w:rsid w:val="39A323C9"/>
    <w:rsid w:val="3D995F73"/>
    <w:rsid w:val="3DD40ACC"/>
    <w:rsid w:val="3E7A3FF6"/>
    <w:rsid w:val="3F7C42B6"/>
    <w:rsid w:val="40821E95"/>
    <w:rsid w:val="42331D89"/>
    <w:rsid w:val="425C413F"/>
    <w:rsid w:val="42654155"/>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5374BCA"/>
    <w:rsid w:val="6562740E"/>
    <w:rsid w:val="65FC1861"/>
    <w:rsid w:val="662E5966"/>
    <w:rsid w:val="6747066A"/>
    <w:rsid w:val="699F737A"/>
    <w:rsid w:val="6EAC5D22"/>
    <w:rsid w:val="6F1E00AA"/>
    <w:rsid w:val="6FE07D2F"/>
    <w:rsid w:val="73136DD6"/>
    <w:rsid w:val="73922BF0"/>
    <w:rsid w:val="73B72B30"/>
    <w:rsid w:val="76271B88"/>
    <w:rsid w:val="76C41664"/>
    <w:rsid w:val="77AD62C7"/>
    <w:rsid w:val="792768C4"/>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7"/>
    <w:basedOn w:val="1"/>
    <w:qFormat/>
    <w:uiPriority w:val="1"/>
    <w:pPr>
      <w:ind w:left="577"/>
      <w:outlineLvl w:val="6"/>
    </w:pPr>
    <w:rPr>
      <w:rFonts w:ascii="宋体" w:hAnsi="宋体"/>
      <w:b/>
      <w:bCs/>
      <w:sz w:val="21"/>
      <w:szCs w:val="21"/>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6">
    <w:name w:val="annotation text"/>
    <w:basedOn w:val="1"/>
    <w:link w:val="24"/>
    <w:autoRedefine/>
    <w:semiHidden/>
    <w:unhideWhenUsed/>
    <w:qFormat/>
    <w:uiPriority w:val="99"/>
    <w:pPr>
      <w:jc w:val="left"/>
    </w:pPr>
  </w:style>
  <w:style w:type="paragraph" w:styleId="7">
    <w:name w:val="Body Text"/>
    <w:basedOn w:val="1"/>
    <w:autoRedefine/>
    <w:qFormat/>
    <w:uiPriority w:val="1"/>
    <w:pPr>
      <w:ind w:left="140"/>
    </w:pPr>
    <w:rPr>
      <w:rFonts w:ascii="宋体" w:hAnsi="宋体"/>
      <w:sz w:val="21"/>
      <w:szCs w:val="21"/>
    </w:rPr>
  </w:style>
  <w:style w:type="paragraph" w:styleId="8">
    <w:name w:val="Body Text Indent"/>
    <w:basedOn w:val="1"/>
    <w:autoRedefine/>
    <w:qFormat/>
    <w:uiPriority w:val="0"/>
    <w:pPr>
      <w:ind w:firstLine="645"/>
    </w:pPr>
    <w:rPr>
      <w:rFonts w:ascii="楷体_GB2312" w:eastAsia="楷体_GB2312"/>
      <w:kern w:val="2"/>
      <w:sz w:val="32"/>
    </w:rPr>
  </w:style>
  <w:style w:type="paragraph" w:styleId="9">
    <w:name w:val="Plain Text"/>
    <w:basedOn w:val="1"/>
    <w:autoRedefine/>
    <w:qFormat/>
    <w:uiPriority w:val="0"/>
    <w:rPr>
      <w:rFonts w:hAnsi="Courier New"/>
      <w:kern w:val="2"/>
      <w:sz w:val="21"/>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2"/>
    <w:autoRedefine/>
    <w:unhideWhenUsed/>
    <w:qFormat/>
    <w:uiPriority w:val="99"/>
    <w:pPr>
      <w:tabs>
        <w:tab w:val="center" w:pos="4153"/>
        <w:tab w:val="right" w:pos="8306"/>
      </w:tabs>
      <w:snapToGrid w:val="0"/>
      <w:jc w:val="left"/>
    </w:pPr>
    <w:rPr>
      <w:sz w:val="18"/>
      <w:szCs w:val="18"/>
    </w:rPr>
  </w:style>
  <w:style w:type="paragraph" w:styleId="12">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Normal (Web)"/>
    <w:basedOn w:val="1"/>
    <w:unhideWhenUsed/>
    <w:qFormat/>
    <w:uiPriority w:val="99"/>
    <w:pPr>
      <w:spacing w:before="100" w:beforeAutospacing="1" w:after="100" w:afterAutospacing="1"/>
      <w:jc w:val="left"/>
    </w:pPr>
    <w:rPr>
      <w:kern w:val="0"/>
      <w:sz w:val="24"/>
      <w:szCs w:val="22"/>
    </w:rPr>
  </w:style>
  <w:style w:type="paragraph" w:styleId="15">
    <w:name w:val="annotation subject"/>
    <w:basedOn w:val="6"/>
    <w:next w:val="6"/>
    <w:link w:val="25"/>
    <w:autoRedefine/>
    <w:semiHidden/>
    <w:unhideWhenUsed/>
    <w:qFormat/>
    <w:uiPriority w:val="99"/>
    <w:rPr>
      <w:b/>
      <w:bCs/>
    </w:rPr>
  </w:style>
  <w:style w:type="paragraph" w:styleId="16">
    <w:name w:val="Body Text First Indent 2"/>
    <w:basedOn w:val="8"/>
    <w:autoRedefine/>
    <w:qFormat/>
    <w:uiPriority w:val="0"/>
    <w:pPr>
      <w:ind w:left="420" w:leftChars="200" w:firstLine="420" w:firstLineChars="200"/>
    </w:pPr>
  </w:style>
  <w:style w:type="table" w:styleId="18">
    <w:name w:val="Table Grid"/>
    <w:basedOn w:val="1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annotation reference"/>
    <w:basedOn w:val="19"/>
    <w:autoRedefine/>
    <w:semiHidden/>
    <w:unhideWhenUsed/>
    <w:qFormat/>
    <w:uiPriority w:val="99"/>
    <w:rPr>
      <w:sz w:val="21"/>
      <w:szCs w:val="21"/>
    </w:rPr>
  </w:style>
  <w:style w:type="character" w:customStyle="1" w:styleId="21">
    <w:name w:val="页眉 Char"/>
    <w:basedOn w:val="19"/>
    <w:link w:val="12"/>
    <w:autoRedefine/>
    <w:qFormat/>
    <w:uiPriority w:val="99"/>
    <w:rPr>
      <w:sz w:val="18"/>
      <w:szCs w:val="18"/>
    </w:rPr>
  </w:style>
  <w:style w:type="character" w:customStyle="1" w:styleId="22">
    <w:name w:val="页脚 Char"/>
    <w:basedOn w:val="19"/>
    <w:link w:val="11"/>
    <w:autoRedefine/>
    <w:qFormat/>
    <w:uiPriority w:val="99"/>
    <w:rPr>
      <w:sz w:val="18"/>
      <w:szCs w:val="18"/>
    </w:rPr>
  </w:style>
  <w:style w:type="paragraph" w:customStyle="1" w:styleId="23">
    <w:name w:val="Char Char Char Char Char Char Char Char Char Char"/>
    <w:basedOn w:val="1"/>
    <w:autoRedefine/>
    <w:qFormat/>
    <w:uiPriority w:val="0"/>
    <w:rPr>
      <w:rFonts w:ascii="Tahoma" w:hAnsi="Tahoma" w:eastAsia="宋体" w:cs="仿宋_GB2312"/>
      <w:sz w:val="24"/>
      <w:szCs w:val="20"/>
    </w:rPr>
  </w:style>
  <w:style w:type="character" w:customStyle="1" w:styleId="24">
    <w:name w:val="批注文字 Char"/>
    <w:basedOn w:val="19"/>
    <w:link w:val="6"/>
    <w:autoRedefine/>
    <w:semiHidden/>
    <w:qFormat/>
    <w:uiPriority w:val="99"/>
  </w:style>
  <w:style w:type="character" w:customStyle="1" w:styleId="25">
    <w:name w:val="批注主题 Char"/>
    <w:basedOn w:val="24"/>
    <w:link w:val="15"/>
    <w:autoRedefine/>
    <w:semiHidden/>
    <w:qFormat/>
    <w:uiPriority w:val="99"/>
    <w:rPr>
      <w:b/>
      <w:bCs/>
    </w:rPr>
  </w:style>
  <w:style w:type="character" w:customStyle="1" w:styleId="26">
    <w:name w:val="批注框文本 Char"/>
    <w:basedOn w:val="19"/>
    <w:link w:val="10"/>
    <w:autoRedefine/>
    <w:semiHidden/>
    <w:qFormat/>
    <w:uiPriority w:val="99"/>
    <w:rPr>
      <w:sz w:val="18"/>
      <w:szCs w:val="18"/>
    </w:rPr>
  </w:style>
  <w:style w:type="paragraph" w:styleId="27">
    <w:name w:val="List Paragraph"/>
    <w:basedOn w:val="1"/>
    <w:autoRedefine/>
    <w:unhideWhenUsed/>
    <w:qFormat/>
    <w:uiPriority w:val="99"/>
    <w:pPr>
      <w:ind w:firstLine="420" w:firstLineChars="200"/>
    </w:pPr>
  </w:style>
  <w:style w:type="paragraph" w:customStyle="1" w:styleId="28">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29">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0">
    <w:name w:val="Char Char Char Char Char Char Char1 Char"/>
    <w:basedOn w:val="1"/>
    <w:autoRedefine/>
    <w:qFormat/>
    <w:uiPriority w:val="0"/>
    <w:rPr>
      <w:rFonts w:ascii="Tahoma" w:hAnsi="Tahoma"/>
      <w:sz w:val="24"/>
    </w:rPr>
  </w:style>
  <w:style w:type="character" w:customStyle="1" w:styleId="31">
    <w:name w:val="font21"/>
    <w:basedOn w:val="19"/>
    <w:autoRedefine/>
    <w:qFormat/>
    <w:uiPriority w:val="0"/>
    <w:rPr>
      <w:rFonts w:hint="eastAsia" w:ascii="宋体" w:hAnsi="宋体" w:eastAsia="宋体" w:cs="宋体"/>
      <w:b/>
      <w:bCs/>
      <w:color w:val="000000"/>
      <w:sz w:val="40"/>
      <w:szCs w:val="40"/>
      <w:u w:val="none"/>
    </w:rPr>
  </w:style>
  <w:style w:type="character" w:customStyle="1" w:styleId="32">
    <w:name w:val="font71"/>
    <w:basedOn w:val="19"/>
    <w:autoRedefine/>
    <w:qFormat/>
    <w:uiPriority w:val="0"/>
    <w:rPr>
      <w:rFonts w:hint="eastAsia" w:ascii="宋体" w:hAnsi="宋体" w:eastAsia="宋体" w:cs="宋体"/>
      <w:b/>
      <w:bCs/>
      <w:color w:val="000000"/>
      <w:sz w:val="40"/>
      <w:szCs w:val="40"/>
      <w:u w:val="single"/>
    </w:rPr>
  </w:style>
  <w:style w:type="character" w:customStyle="1" w:styleId="33">
    <w:name w:val="font91"/>
    <w:basedOn w:val="19"/>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4">
    <w:name w:val="font111"/>
    <w:basedOn w:val="19"/>
    <w:autoRedefine/>
    <w:qFormat/>
    <w:uiPriority w:val="0"/>
    <w:rPr>
      <w:rFonts w:hint="eastAsia" w:ascii="宋体" w:hAnsi="宋体" w:eastAsia="宋体" w:cs="宋体"/>
      <w:color w:val="000000"/>
      <w:sz w:val="40"/>
      <w:szCs w:val="40"/>
      <w:u w:val="single"/>
    </w:rPr>
  </w:style>
  <w:style w:type="character" w:customStyle="1" w:styleId="35">
    <w:name w:val="font141"/>
    <w:basedOn w:val="19"/>
    <w:autoRedefine/>
    <w:qFormat/>
    <w:uiPriority w:val="0"/>
    <w:rPr>
      <w:rFonts w:hint="eastAsia" w:ascii="宋体" w:hAnsi="宋体" w:eastAsia="宋体" w:cs="宋体"/>
      <w:color w:val="000000"/>
      <w:sz w:val="20"/>
      <w:szCs w:val="20"/>
      <w:u w:val="single"/>
    </w:rPr>
  </w:style>
  <w:style w:type="character" w:customStyle="1" w:styleId="36">
    <w:name w:val="font151"/>
    <w:basedOn w:val="19"/>
    <w:autoRedefine/>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2</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2024-09-26T03:38:00Z</cp:lastPrinted>
  <dcterms:modified xsi:type="dcterms:W3CDTF">2025-03-14T07:13:12Z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