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1"/>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438" w:firstLine="600"/>
        <w:rPr>
          <w:rFonts w:hAnsi="宋体"/>
          <w:b/>
          <w:bCs/>
          <w:color w:val="000000"/>
          <w:szCs w:val="28"/>
        </w:rPr>
      </w:pPr>
    </w:p>
    <w:p>
      <w:pPr>
        <w:pStyle w:val="2"/>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tbl>
      <w:tblPr>
        <w:tblStyle w:val="1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38"/>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项目名称</w:t>
            </w:r>
          </w:p>
        </w:tc>
        <w:tc>
          <w:tcPr>
            <w:tcW w:w="7223" w:type="dxa"/>
            <w:vAlign w:val="center"/>
          </w:tcPr>
          <w:p>
            <w:pPr>
              <w:spacing w:line="360" w:lineRule="exact"/>
              <w:jc w:val="left"/>
              <w:rPr>
                <w:color w:val="000000"/>
                <w:szCs w:val="18"/>
                <w:highlight w:val="none"/>
              </w:rPr>
            </w:pPr>
            <w:r>
              <w:rPr>
                <w:rFonts w:hint="eastAsia" w:hAnsi="宋体" w:cs="宋体"/>
                <w:highlight w:val="none"/>
              </w:rPr>
              <w:t>新桥能源站供能能力提升改造及配套管网工程（市政破复工程）绿化恢复苗木采购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项目概况</w:t>
            </w:r>
          </w:p>
        </w:tc>
        <w:tc>
          <w:tcPr>
            <w:tcW w:w="7223" w:type="dxa"/>
            <w:vAlign w:val="center"/>
          </w:tcPr>
          <w:p>
            <w:pPr>
              <w:pStyle w:val="38"/>
              <w:widowControl w:val="0"/>
              <w:spacing w:before="0" w:beforeAutospacing="0" w:after="0" w:afterAutospacing="0" w:line="360" w:lineRule="auto"/>
              <w:jc w:val="both"/>
              <w:rPr>
                <w:b w:val="0"/>
                <w:bCs w:val="0"/>
                <w:color w:val="000000"/>
                <w:sz w:val="24"/>
                <w:szCs w:val="24"/>
                <w:highlight w:val="none"/>
              </w:rPr>
            </w:pPr>
            <w:r>
              <w:rPr>
                <w:rFonts w:hint="eastAsia"/>
                <w:b w:val="0"/>
                <w:bCs w:val="0"/>
                <w:color w:val="000000"/>
                <w:sz w:val="24"/>
                <w:szCs w:val="24"/>
                <w:highlight w:val="none"/>
              </w:rPr>
              <w:t>项目地址位于合肥科技创新示范区，本项目绿化恢复需采购一批苗木主材，拟招一家符合要求的供应商提供合格苗木。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widowControl/>
              <w:spacing w:line="360" w:lineRule="auto"/>
              <w:rPr>
                <w:bCs/>
                <w:color w:val="000000"/>
                <w:szCs w:val="24"/>
                <w:highlight w:val="none"/>
              </w:rPr>
            </w:pPr>
            <w:r>
              <w:rPr>
                <w:rFonts w:hint="eastAsia" w:hAnsi="宋体" w:cs="宋体"/>
                <w:szCs w:val="24"/>
                <w:highlight w:val="none"/>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38"/>
              <w:widowControl w:val="0"/>
              <w:spacing w:before="0" w:beforeAutospacing="0" w:after="0" w:afterAutospacing="0"/>
              <w:jc w:val="both"/>
              <w:rPr>
                <w:b w:val="0"/>
                <w:bCs w:val="0"/>
                <w:color w:val="000000"/>
                <w:sz w:val="24"/>
                <w:highlight w:val="none"/>
              </w:rPr>
            </w:pPr>
            <w:r>
              <w:rPr>
                <w:rFonts w:hint="eastAsia"/>
                <w:b w:val="0"/>
                <w:bCs w:val="0"/>
                <w:sz w:val="24"/>
                <w:highlight w:val="none"/>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38"/>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38"/>
              <w:widowControl w:val="0"/>
              <w:spacing w:before="0" w:beforeAutospacing="0" w:after="0" w:afterAutospacing="0"/>
              <w:jc w:val="both"/>
              <w:rPr>
                <w:b w:val="0"/>
                <w:bCs w:val="0"/>
                <w:color w:val="000000"/>
                <w:sz w:val="24"/>
                <w:highlight w:val="none"/>
              </w:rPr>
            </w:pPr>
            <w:r>
              <w:rPr>
                <w:b w:val="0"/>
                <w:bCs w:val="0"/>
                <w:color w:val="000000"/>
                <w:highlight w:val="none"/>
              </w:rPr>
              <w:sym w:font="Wingdings" w:char="0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rPr>
                <w:rFonts w:hAnsi="宋体"/>
                <w:bCs/>
                <w:color w:val="000000"/>
                <w:highlight w:val="none"/>
              </w:rPr>
            </w:pPr>
            <w:r>
              <w:rPr>
                <w:b/>
                <w:bCs/>
                <w:color w:val="000000"/>
                <w:highlight w:val="none"/>
              </w:rPr>
              <w:sym w:font="Wingdings" w:char="0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pStyle w:val="31"/>
              <w:spacing w:line="500" w:lineRule="exact"/>
              <w:rPr>
                <w:rFonts w:hAnsi="宋体" w:cs="宋体"/>
                <w:color w:val="000000"/>
                <w:szCs w:val="21"/>
                <w:highlight w:val="none"/>
              </w:rPr>
            </w:pPr>
            <w:r>
              <w:rPr>
                <w:rFonts w:hint="eastAsia" w:cs="宋体"/>
                <w:kern w:val="1"/>
                <w:szCs w:val="24"/>
                <w:highlight w:val="none"/>
              </w:rPr>
              <w:t>分批次供货，根据实际供货量</w:t>
            </w:r>
            <w:r>
              <w:rPr>
                <w:rFonts w:hint="eastAsia" w:hAnsi="宋体" w:cs="宋体"/>
                <w:color w:val="000000"/>
                <w:szCs w:val="21"/>
                <w:highlight w:val="none"/>
              </w:rPr>
              <w:t>经采购人验收合格后</w:t>
            </w:r>
            <w:r>
              <w:rPr>
                <w:rFonts w:hint="eastAsia" w:cs="宋体"/>
                <w:kern w:val="1"/>
                <w:szCs w:val="24"/>
                <w:highlight w:val="none"/>
              </w:rPr>
              <w:t>，成交</w:t>
            </w:r>
            <w:r>
              <w:rPr>
                <w:rFonts w:hint="eastAsia" w:ascii="宋体" w:hAnsi="宋体" w:cs="宋体"/>
                <w:kern w:val="1"/>
                <w:szCs w:val="24"/>
                <w:highlight w:val="none"/>
              </w:rPr>
              <w:t>供应商提供</w:t>
            </w:r>
            <w:r>
              <w:rPr>
                <w:rFonts w:hint="eastAsia" w:cs="宋体"/>
                <w:kern w:val="1"/>
                <w:szCs w:val="24"/>
                <w:highlight w:val="none"/>
              </w:rPr>
              <w:t>相应的</w:t>
            </w:r>
            <w:r>
              <w:rPr>
                <w:rFonts w:hint="eastAsia" w:ascii="宋体" w:hAnsi="宋体" w:cs="宋体"/>
                <w:kern w:val="1"/>
                <w:szCs w:val="24"/>
                <w:highlight w:val="none"/>
              </w:rPr>
              <w:t>增值税专用发票至采购人处</w:t>
            </w:r>
            <w:r>
              <w:rPr>
                <w:rFonts w:hint="eastAsia" w:cs="宋体"/>
                <w:kern w:val="1"/>
                <w:szCs w:val="24"/>
                <w:highlight w:val="none"/>
              </w:rPr>
              <w:t>，30日内付款。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bookmarkStart w:id="8" w:name="OLE_LINK8"/>
            <w:r>
              <w:rPr>
                <w:b/>
                <w:bCs/>
                <w:color w:val="000000"/>
                <w:highlight w:val="none"/>
              </w:rPr>
              <w:sym w:font="Wingdings" w:char="00FE"/>
            </w:r>
            <w:bookmarkEnd w:id="8"/>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合肥经济技术开发区北区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ascii="Tahoma" w:hAnsi="宋体" w:cs="宋体"/>
                <w:color w:val="000000"/>
                <w:szCs w:val="21"/>
                <w:highlight w:val="none"/>
              </w:rPr>
            </w:pPr>
            <w:r>
              <w:rPr>
                <w:rFonts w:hint="eastAsia" w:cs="宋体" w:asciiTheme="minorEastAsia" w:hAnsiTheme="minorEastAsia" w:eastAsiaTheme="minorEastAsia"/>
                <w:color w:val="000000"/>
                <w:szCs w:val="24"/>
                <w:highlight w:val="none"/>
              </w:rPr>
              <w:t>1、12个月</w:t>
            </w:r>
          </w:p>
          <w:p>
            <w:pPr>
              <w:spacing w:line="500" w:lineRule="exact"/>
              <w:rPr>
                <w:rFonts w:hAnsi="宋体"/>
                <w:color w:val="FF0000"/>
                <w:highlight w:val="none"/>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w:t>
            </w:r>
            <w:bookmarkStart w:id="9" w:name="OLE_LINK5"/>
            <w:bookmarkStart w:id="10" w:name="OLE_LINK6"/>
            <w:r>
              <w:rPr>
                <w:rFonts w:hint="eastAsia" w:hAnsi="宋体"/>
                <w:color w:val="000000"/>
                <w:highlight w:val="none"/>
              </w:rPr>
              <w:t>□</w:t>
            </w:r>
            <w:bookmarkEnd w:id="9"/>
            <w:bookmarkEnd w:id="10"/>
            <w:r>
              <w:rPr>
                <w:rFonts w:hint="eastAsia" w:hAnsi="宋体"/>
                <w:color w:val="000000"/>
                <w:highlight w:val="none"/>
              </w:rPr>
              <w:t>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rPr>
              <w:t>最低价评标法（费率）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pStyle w:val="31"/>
              <w:numPr>
                <w:ilvl w:val="0"/>
                <w:numId w:val="1"/>
              </w:numPr>
              <w:spacing w:line="500" w:lineRule="exact"/>
              <w:rPr>
                <w:rFonts w:ascii="宋体" w:hAnsi="宋体"/>
                <w:bCs/>
                <w:color w:val="000000"/>
                <w:highlight w:val="none"/>
              </w:rPr>
            </w:pPr>
            <w:r>
              <w:rPr>
                <w:rFonts w:hint="eastAsia" w:ascii="宋体" w:hAnsi="宋体"/>
                <w:bCs/>
                <w:color w:val="000000"/>
                <w:highlight w:val="none"/>
              </w:rPr>
              <w:t>履约保证金数额：</w:t>
            </w:r>
            <w:r>
              <w:rPr>
                <w:rFonts w:hint="eastAsia" w:ascii="宋体" w:hAnsi="宋体"/>
                <w:b/>
                <w:color w:val="000000"/>
                <w:highlight w:val="none"/>
              </w:rPr>
              <w:t>本项目定额收取履约保证金</w:t>
            </w:r>
            <w:r>
              <w:rPr>
                <w:rFonts w:hint="eastAsia" w:ascii="宋体" w:hAnsi="宋体"/>
                <w:b/>
                <w:highlight w:val="none"/>
                <w:u w:val="single"/>
              </w:rPr>
              <w:t>0</w:t>
            </w:r>
            <w:r>
              <w:rPr>
                <w:rFonts w:hint="eastAsia" w:ascii="宋体" w:hAnsi="宋体"/>
                <w:b/>
                <w:color w:val="000000"/>
                <w:highlight w:val="none"/>
                <w:u w:val="single"/>
              </w:rPr>
              <w:t>元</w:t>
            </w:r>
          </w:p>
          <w:p>
            <w:pPr>
              <w:pStyle w:val="31"/>
              <w:spacing w:line="500" w:lineRule="exact"/>
              <w:rPr>
                <w:rFonts w:ascii="宋体" w:hAnsi="宋体"/>
                <w:bCs/>
                <w:color w:val="000000"/>
                <w:highlight w:val="none"/>
              </w:rPr>
            </w:pPr>
            <w:r>
              <w:rPr>
                <w:rFonts w:hint="eastAsia" w:ascii="宋体" w:hAnsi="宋体"/>
                <w:bCs/>
                <w:color w:val="000000"/>
                <w:highlight w:val="none"/>
              </w:rPr>
              <w:t xml:space="preserve">2.收受方式为： </w:t>
            </w:r>
            <w:r>
              <w:rPr>
                <w:rFonts w:hint="eastAsia" w:hAnsi="宋体"/>
                <w:color w:val="000000"/>
                <w:highlight w:val="none"/>
              </w:rPr>
              <w:t>□</w:t>
            </w:r>
            <w:r>
              <w:rPr>
                <w:rFonts w:hint="eastAsia" w:ascii="宋体" w:hAnsi="宋体"/>
                <w:bCs/>
                <w:color w:val="000000"/>
                <w:highlight w:val="none"/>
              </w:rPr>
              <w:t xml:space="preserve">银行保函  </w:t>
            </w:r>
            <w:r>
              <w:rPr>
                <w:rFonts w:hint="eastAsia" w:hAnsi="宋体"/>
                <w:color w:val="000000"/>
                <w:highlight w:val="none"/>
              </w:rPr>
              <w:t>□</w:t>
            </w:r>
            <w:r>
              <w:rPr>
                <w:rFonts w:hint="eastAsia" w:ascii="宋体" w:hAnsi="宋体"/>
                <w:bCs/>
                <w:color w:val="000000"/>
                <w:highlight w:val="none"/>
              </w:rPr>
              <w:t xml:space="preserve">保证保险 </w:t>
            </w:r>
            <w:r>
              <w:rPr>
                <w:rFonts w:hint="eastAsia" w:hAnsi="宋体"/>
                <w:color w:val="000000"/>
                <w:highlight w:val="none"/>
              </w:rPr>
              <w:t>□</w:t>
            </w:r>
            <w:r>
              <w:rPr>
                <w:rFonts w:hint="eastAsia" w:ascii="宋体" w:hAnsi="宋体"/>
                <w:bCs/>
                <w:color w:val="000000"/>
                <w:highlight w:val="none"/>
              </w:rPr>
              <w:t>担保机构担保</w:t>
            </w:r>
          </w:p>
          <w:p>
            <w:pPr>
              <w:pStyle w:val="31"/>
              <w:spacing w:line="500" w:lineRule="exact"/>
              <w:rPr>
                <w:rFonts w:ascii="宋体" w:hAnsi="宋体"/>
                <w:bCs/>
                <w:color w:val="000000"/>
                <w:highlight w:val="none"/>
              </w:rPr>
            </w:pPr>
            <w:r>
              <w:rPr>
                <w:rFonts w:ascii="宋体" w:hAnsi="宋体"/>
                <w:bCs/>
                <w:color w:val="000000"/>
                <w:highlight w:val="none"/>
              </w:rPr>
              <w:t>3.</w:t>
            </w:r>
            <w:r>
              <w:rPr>
                <w:rFonts w:hint="eastAsia" w:ascii="宋体" w:hAnsi="宋体"/>
                <w:bCs/>
                <w:color w:val="000000"/>
                <w:highlight w:val="none"/>
              </w:rPr>
              <w:t>收受人为</w:t>
            </w:r>
            <w:r>
              <w:rPr>
                <w:rFonts w:ascii="宋体" w:hAnsi="宋体"/>
                <w:bCs/>
                <w:color w:val="000000"/>
                <w:highlight w:val="none"/>
              </w:rPr>
              <w:t>：</w:t>
            </w:r>
            <w:r>
              <w:rPr>
                <w:rFonts w:hint="eastAsia" w:hAnsi="宋体"/>
                <w:color w:val="000000"/>
                <w:highlight w:val="none"/>
              </w:rPr>
              <w:t>□</w:t>
            </w:r>
            <w:r>
              <w:rPr>
                <w:rFonts w:hint="eastAsia" w:ascii="宋体" w:hAnsi="宋体"/>
                <w:bCs/>
                <w:color w:val="000000"/>
                <w:highlight w:val="none"/>
              </w:rPr>
              <w:t>招标人</w:t>
            </w:r>
          </w:p>
          <w:p>
            <w:pPr>
              <w:pStyle w:val="31"/>
              <w:spacing w:line="500" w:lineRule="exact"/>
              <w:rPr>
                <w:rFonts w:ascii="宋体" w:hAnsi="宋体"/>
                <w:bCs/>
                <w:color w:val="000000"/>
                <w:highlight w:val="none"/>
              </w:rPr>
            </w:pPr>
            <w:r>
              <w:rPr>
                <w:rFonts w:hint="eastAsia" w:ascii="宋体" w:hAnsi="宋体"/>
                <w:bCs/>
                <w:color w:val="000000"/>
                <w:highlight w:val="none"/>
              </w:rPr>
              <w:t>4.提交时限：合同签订前按规定提交履约保证金，若中标人在规定时限内未提交履约保证金的，招标人有权取消其中标资格。</w:t>
            </w:r>
          </w:p>
          <w:p>
            <w:pPr>
              <w:pStyle w:val="31"/>
              <w:spacing w:line="500" w:lineRule="exact"/>
              <w:rPr>
                <w:rFonts w:ascii="宋体" w:hAnsi="宋体"/>
                <w:bCs/>
                <w:color w:val="000000"/>
                <w:highlight w:val="none"/>
                <w:u w:val="single"/>
              </w:rPr>
            </w:pPr>
            <w:r>
              <w:rPr>
                <w:rFonts w:hint="eastAsia" w:ascii="宋体" w:hAnsi="宋体"/>
                <w:bCs/>
                <w:color w:val="000000"/>
                <w:highlight w:val="none"/>
              </w:rPr>
              <w:t>5.退还：</w:t>
            </w:r>
            <w:r>
              <w:rPr>
                <w:rFonts w:hint="eastAsia" w:ascii="宋体" w:hAnsi="宋体"/>
                <w:b/>
                <w:color w:val="000000"/>
                <w:highlight w:val="none"/>
                <w:u w:val="single"/>
              </w:rPr>
              <w:t xml:space="preserve">          ∕            </w:t>
            </w:r>
          </w:p>
          <w:p>
            <w:pPr>
              <w:pStyle w:val="31"/>
              <w:spacing w:line="500" w:lineRule="exact"/>
              <w:rPr>
                <w:rFonts w:ascii="宋体" w:hAnsi="宋体"/>
                <w:bCs/>
                <w:color w:val="000000"/>
                <w:highlight w:val="none"/>
              </w:rPr>
            </w:pPr>
            <w:r>
              <w:rPr>
                <w:rFonts w:hint="eastAsia" w:ascii="宋体" w:hAnsi="宋体"/>
                <w:bCs/>
                <w:color w:val="000000"/>
                <w:highlight w:val="none"/>
              </w:rPr>
              <w:t>6.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pPr>
              <w:pStyle w:val="31"/>
              <w:spacing w:line="500" w:lineRule="exact"/>
              <w:rPr>
                <w:rFonts w:ascii="宋体" w:hAnsi="宋体"/>
                <w:bCs/>
                <w:color w:val="000000"/>
                <w:highlight w:val="none"/>
              </w:rPr>
            </w:pPr>
            <w:r>
              <w:rPr>
                <w:rFonts w:hint="eastAsia" w:ascii="宋体" w:hAnsi="宋体"/>
                <w:bCs/>
                <w:color w:val="000000"/>
                <w:highlight w:val="none"/>
              </w:rPr>
              <w:t>7.如采用担保机构担保，应为注册地在合肥行政区域（含四县一市）范围内的融资担保机构或经安徽省地方金融监督管理局备案的融资担保机构出具的无条件担保。</w:t>
            </w:r>
          </w:p>
          <w:p>
            <w:pPr>
              <w:spacing w:line="360" w:lineRule="auto"/>
              <w:rPr>
                <w:rFonts w:hAnsi="宋体"/>
                <w:snapToGrid w:val="0"/>
                <w:szCs w:val="21"/>
                <w:highlight w:val="none"/>
              </w:rPr>
            </w:pPr>
            <w:r>
              <w:rPr>
                <w:rFonts w:hint="eastAsia" w:hAnsi="宋体"/>
                <w:bCs/>
                <w:color w:val="000000"/>
                <w:highlight w:val="none"/>
              </w:rPr>
              <w:t>8.以上各类机构出具的以担保函、保证保险承担责任的方式均须满足无条件见索即付条件。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A8"/>
            </w:r>
            <w:r>
              <w:rPr>
                <w:rFonts w:hint="eastAsia" w:hAnsi="宋体"/>
                <w:color w:val="000000"/>
                <w:highlight w:val="none"/>
              </w:rPr>
              <w:t>要求</w:t>
            </w:r>
            <w:r>
              <w:rPr>
                <w:b/>
                <w:bCs/>
                <w:color w:val="000000"/>
                <w:highlight w:val="none"/>
              </w:rPr>
              <w:sym w:font="Wingdings" w:char="00FE"/>
            </w:r>
            <w:r>
              <w:rPr>
                <w:rFonts w:hint="eastAsia" w:hAnsi="宋体"/>
                <w:color w:val="000000"/>
                <w:highlight w:val="none"/>
              </w:rPr>
              <w:t>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21</w:t>
            </w:r>
          </w:p>
        </w:tc>
        <w:tc>
          <w:tcPr>
            <w:tcW w:w="1447" w:type="dxa"/>
            <w:vAlign w:val="center"/>
          </w:tcPr>
          <w:p>
            <w:pPr>
              <w:ind w:firstLine="210" w:firstLineChars="100"/>
              <w:rPr>
                <w:color w:val="000000"/>
                <w:highlight w:val="none"/>
              </w:rPr>
            </w:pPr>
            <w:r>
              <w:rPr>
                <w:rFonts w:hint="eastAsia"/>
                <w:color w:val="000000"/>
                <w:highlight w:val="none"/>
              </w:rPr>
              <w:t>业绩</w:t>
            </w:r>
          </w:p>
        </w:tc>
        <w:tc>
          <w:tcPr>
            <w:tcW w:w="7223" w:type="dxa"/>
            <w:vAlign w:val="center"/>
          </w:tcPr>
          <w:p>
            <w:pPr>
              <w:rPr>
                <w:highlight w:val="none"/>
              </w:rPr>
            </w:pPr>
            <w:r>
              <w:rPr>
                <w:rFonts w:hint="eastAsia"/>
                <w:bCs/>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0"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r>
              <w:rPr>
                <w:rFonts w:hint="eastAsia"/>
                <w:color w:val="000000"/>
                <w:highlight w:val="none"/>
              </w:rPr>
              <w:t>无</w:t>
            </w:r>
          </w:p>
        </w:tc>
      </w:tr>
    </w:tbl>
    <w:p/>
    <w:p/>
    <w:p>
      <w:pPr>
        <w:pStyle w:val="2"/>
      </w:pPr>
    </w:p>
    <w:p>
      <w:pPr>
        <w:pStyle w:val="2"/>
      </w:pPr>
    </w:p>
    <w:p>
      <w:pPr>
        <w:pStyle w:val="2"/>
      </w:pPr>
    </w:p>
    <w:p>
      <w:pPr>
        <w:pStyle w:val="2"/>
      </w:pPr>
    </w:p>
    <w:p>
      <w:pPr>
        <w:pStyle w:val="2"/>
      </w:pPr>
    </w:p>
    <w:p>
      <w:pPr>
        <w:pStyle w:val="2"/>
      </w:pPr>
    </w:p>
    <w:p>
      <w:pPr>
        <w:pStyle w:val="2"/>
      </w:pPr>
      <w:bookmarkStart w:id="13" w:name="_GoBack"/>
      <w:bookmarkEnd w:id="13"/>
    </w:p>
    <w:p>
      <w:pPr>
        <w:pStyle w:val="4"/>
        <w:numPr>
          <w:numId w:val="0"/>
        </w:numPr>
        <w:spacing w:before="260" w:after="260" w:line="500" w:lineRule="exact"/>
        <w:jc w:val="center"/>
        <w:rPr>
          <w:rFonts w:hAnsi="宋体"/>
          <w:color w:val="000000"/>
          <w:highlight w:val="yellow"/>
        </w:rPr>
      </w:pPr>
      <w:bookmarkStart w:id="11" w:name="_Toc527117258"/>
      <w:bookmarkStart w:id="12" w:name="_Toc527131323"/>
      <w:r>
        <w:rPr>
          <w:rFonts w:hint="eastAsia" w:hAnsi="宋体"/>
          <w:color w:val="000000"/>
        </w:rPr>
        <w:t>采购需求</w:t>
      </w:r>
      <w:bookmarkEnd w:id="11"/>
      <w:bookmarkEnd w:id="12"/>
    </w:p>
    <w:tbl>
      <w:tblPr>
        <w:tblStyle w:val="17"/>
        <w:tblpPr w:leftFromText="180" w:rightFromText="180" w:vertAnchor="text" w:horzAnchor="margin" w:tblpXSpec="center" w:tblpY="418"/>
        <w:tblW w:w="8897" w:type="dxa"/>
        <w:tblInd w:w="0" w:type="dxa"/>
        <w:tblLayout w:type="autofit"/>
        <w:tblCellMar>
          <w:top w:w="0" w:type="dxa"/>
          <w:left w:w="108" w:type="dxa"/>
          <w:bottom w:w="0" w:type="dxa"/>
          <w:right w:w="108" w:type="dxa"/>
        </w:tblCellMar>
      </w:tblPr>
      <w:tblGrid>
        <w:gridCol w:w="397"/>
        <w:gridCol w:w="704"/>
        <w:gridCol w:w="846"/>
        <w:gridCol w:w="713"/>
        <w:gridCol w:w="846"/>
        <w:gridCol w:w="846"/>
        <w:gridCol w:w="434"/>
        <w:gridCol w:w="709"/>
        <w:gridCol w:w="759"/>
        <w:gridCol w:w="1124"/>
        <w:gridCol w:w="1519"/>
      </w:tblGrid>
      <w:tr>
        <w:tblPrEx>
          <w:tblCellMar>
            <w:top w:w="0" w:type="dxa"/>
            <w:left w:w="108" w:type="dxa"/>
            <w:bottom w:w="0" w:type="dxa"/>
            <w:right w:w="108" w:type="dxa"/>
          </w:tblCellMar>
        </w:tblPrEx>
        <w:trPr>
          <w:trHeight w:val="360" w:hRule="atLeast"/>
        </w:trPr>
        <w:tc>
          <w:tcPr>
            <w:tcW w:w="39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Ansi="宋体" w:cs="宋体"/>
                <w:b/>
                <w:bCs/>
                <w:sz w:val="18"/>
                <w:szCs w:val="18"/>
              </w:rPr>
            </w:pPr>
            <w:r>
              <w:rPr>
                <w:rFonts w:hint="eastAsia" w:hAnsi="宋体" w:cs="宋体"/>
                <w:b/>
                <w:bCs/>
                <w:sz w:val="18"/>
                <w:szCs w:val="18"/>
              </w:rPr>
              <w:t>序号</w:t>
            </w:r>
          </w:p>
        </w:tc>
        <w:tc>
          <w:tcPr>
            <w:tcW w:w="70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Ansi="宋体" w:cs="宋体"/>
                <w:b/>
                <w:bCs/>
                <w:sz w:val="18"/>
                <w:szCs w:val="18"/>
              </w:rPr>
            </w:pPr>
            <w:r>
              <w:rPr>
                <w:rFonts w:hint="eastAsia" w:hAnsi="宋体" w:cs="宋体"/>
                <w:b/>
                <w:bCs/>
                <w:sz w:val="18"/>
                <w:szCs w:val="18"/>
              </w:rPr>
              <w:t>树木种类</w:t>
            </w:r>
          </w:p>
        </w:tc>
        <w:tc>
          <w:tcPr>
            <w:tcW w:w="3251" w:type="dxa"/>
            <w:gridSpan w:val="4"/>
            <w:tcBorders>
              <w:top w:val="single" w:color="auto" w:sz="4" w:space="0"/>
              <w:left w:val="nil"/>
              <w:bottom w:val="single" w:color="auto" w:sz="4" w:space="0"/>
              <w:right w:val="nil"/>
            </w:tcBorders>
            <w:shd w:val="clear" w:color="auto" w:fill="auto"/>
            <w:vAlign w:val="center"/>
          </w:tcPr>
          <w:p>
            <w:pPr>
              <w:widowControl/>
              <w:jc w:val="center"/>
              <w:rPr>
                <w:rFonts w:hAnsi="宋体" w:cs="宋体"/>
                <w:b/>
                <w:bCs/>
                <w:sz w:val="18"/>
                <w:szCs w:val="18"/>
              </w:rPr>
            </w:pPr>
            <w:r>
              <w:rPr>
                <w:rFonts w:hint="eastAsia" w:hAnsi="宋体" w:cs="宋体"/>
                <w:b/>
                <w:bCs/>
                <w:sz w:val="18"/>
                <w:szCs w:val="18"/>
              </w:rPr>
              <w:t>规格（CM）</w:t>
            </w:r>
          </w:p>
        </w:tc>
        <w:tc>
          <w:tcPr>
            <w:tcW w:w="4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Ansi="宋体" w:cs="宋体"/>
                <w:b/>
                <w:bCs/>
                <w:sz w:val="18"/>
                <w:szCs w:val="18"/>
              </w:rPr>
            </w:pPr>
            <w:r>
              <w:rPr>
                <w:rFonts w:hint="eastAsia" w:hAnsi="宋体" w:cs="宋体"/>
                <w:b/>
                <w:bCs/>
                <w:sz w:val="18"/>
                <w:szCs w:val="18"/>
              </w:rPr>
              <w:t>单位</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Ansi="宋体" w:cs="宋体"/>
                <w:b/>
                <w:bCs/>
                <w:sz w:val="18"/>
                <w:szCs w:val="18"/>
              </w:rPr>
            </w:pPr>
            <w:r>
              <w:rPr>
                <w:rFonts w:hint="eastAsia" w:hAnsi="宋体" w:cs="宋体"/>
                <w:b/>
                <w:bCs/>
                <w:sz w:val="18"/>
                <w:szCs w:val="18"/>
              </w:rPr>
              <w:t>暂估量</w:t>
            </w:r>
          </w:p>
        </w:tc>
        <w:tc>
          <w:tcPr>
            <w:tcW w:w="75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Ansi="宋体" w:cs="宋体"/>
                <w:b/>
                <w:bCs/>
                <w:color w:val="000000"/>
                <w:sz w:val="18"/>
                <w:szCs w:val="18"/>
              </w:rPr>
            </w:pPr>
            <w:r>
              <w:rPr>
                <w:rFonts w:hint="eastAsia" w:hAnsi="宋体" w:cs="宋体"/>
                <w:b/>
                <w:bCs/>
                <w:color w:val="000000"/>
                <w:sz w:val="18"/>
                <w:szCs w:val="18"/>
              </w:rPr>
              <w:t>控制单价（元）</w:t>
            </w:r>
          </w:p>
        </w:tc>
        <w:tc>
          <w:tcPr>
            <w:tcW w:w="112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hAnsi="宋体" w:cs="宋体"/>
                <w:b/>
                <w:bCs/>
                <w:color w:val="000000"/>
                <w:sz w:val="18"/>
                <w:szCs w:val="18"/>
              </w:rPr>
            </w:pPr>
            <w:r>
              <w:rPr>
                <w:rFonts w:hint="eastAsia" w:hAnsi="宋体" w:cs="宋体"/>
                <w:b/>
                <w:bCs/>
                <w:color w:val="000000"/>
                <w:sz w:val="18"/>
                <w:szCs w:val="18"/>
              </w:rPr>
              <w:t>小计（元）</w:t>
            </w:r>
          </w:p>
        </w:tc>
        <w:tc>
          <w:tcPr>
            <w:tcW w:w="151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hAnsi="宋体" w:cs="宋体"/>
                <w:b/>
                <w:bCs/>
                <w:color w:val="000000"/>
                <w:sz w:val="18"/>
                <w:szCs w:val="18"/>
              </w:rPr>
            </w:pPr>
            <w:r>
              <w:rPr>
                <w:rFonts w:hint="eastAsia" w:hAnsi="宋体" w:cs="宋体"/>
                <w:b/>
                <w:bCs/>
                <w:color w:val="000000"/>
                <w:sz w:val="18"/>
                <w:szCs w:val="18"/>
              </w:rPr>
              <w:t>备注</w:t>
            </w:r>
          </w:p>
        </w:tc>
      </w:tr>
      <w:tr>
        <w:tblPrEx>
          <w:tblCellMar>
            <w:top w:w="0" w:type="dxa"/>
            <w:left w:w="108" w:type="dxa"/>
            <w:bottom w:w="0" w:type="dxa"/>
            <w:right w:w="108" w:type="dxa"/>
          </w:tblCellMar>
        </w:tblPrEx>
        <w:trPr>
          <w:trHeight w:val="360" w:hRule="atLeast"/>
        </w:trPr>
        <w:tc>
          <w:tcPr>
            <w:tcW w:w="39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Ansi="宋体" w:cs="宋体"/>
                <w:b/>
                <w:bCs/>
                <w:sz w:val="18"/>
                <w:szCs w:val="18"/>
              </w:rPr>
            </w:pPr>
          </w:p>
        </w:tc>
        <w:tc>
          <w:tcPr>
            <w:tcW w:w="70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Ansi="宋体" w:cs="宋体"/>
                <w:b/>
                <w:bCs/>
                <w:sz w:val="18"/>
                <w:szCs w:val="18"/>
              </w:rPr>
            </w:pP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hAnsi="宋体" w:cs="宋体"/>
                <w:b/>
                <w:bCs/>
                <w:sz w:val="18"/>
                <w:szCs w:val="18"/>
              </w:rPr>
            </w:pPr>
            <w:r>
              <w:rPr>
                <w:rFonts w:hint="eastAsia" w:hAnsi="宋体" w:cs="宋体"/>
                <w:b/>
                <w:bCs/>
                <w:sz w:val="18"/>
                <w:szCs w:val="18"/>
              </w:rPr>
              <w:t>树高</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hAnsi="宋体" w:cs="宋体"/>
                <w:b/>
                <w:bCs/>
                <w:sz w:val="18"/>
                <w:szCs w:val="18"/>
              </w:rPr>
            </w:pPr>
            <w:r>
              <w:rPr>
                <w:rFonts w:hint="eastAsia" w:hAnsi="宋体" w:cs="宋体"/>
                <w:b/>
                <w:bCs/>
                <w:sz w:val="18"/>
                <w:szCs w:val="18"/>
              </w:rPr>
              <w:t>胸径</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hAnsi="宋体" w:cs="宋体"/>
                <w:b/>
                <w:bCs/>
                <w:sz w:val="18"/>
                <w:szCs w:val="18"/>
              </w:rPr>
            </w:pPr>
            <w:r>
              <w:rPr>
                <w:rFonts w:hint="eastAsia" w:hAnsi="宋体" w:cs="宋体"/>
                <w:b/>
                <w:bCs/>
                <w:sz w:val="18"/>
                <w:szCs w:val="18"/>
              </w:rPr>
              <w:t>冠幅</w:t>
            </w:r>
          </w:p>
        </w:tc>
        <w:tc>
          <w:tcPr>
            <w:tcW w:w="846" w:type="dxa"/>
            <w:tcBorders>
              <w:top w:val="nil"/>
              <w:left w:val="nil"/>
              <w:bottom w:val="single" w:color="auto" w:sz="4" w:space="0"/>
              <w:right w:val="single" w:color="auto" w:sz="4" w:space="0"/>
            </w:tcBorders>
            <w:shd w:val="clear" w:color="auto" w:fill="auto"/>
            <w:vAlign w:val="center"/>
          </w:tcPr>
          <w:p>
            <w:pPr>
              <w:widowControl/>
              <w:jc w:val="center"/>
              <w:rPr>
                <w:rFonts w:hAnsi="宋体" w:cs="宋体"/>
                <w:b/>
                <w:bCs/>
                <w:sz w:val="18"/>
                <w:szCs w:val="18"/>
              </w:rPr>
            </w:pPr>
            <w:r>
              <w:rPr>
                <w:rFonts w:hint="eastAsia" w:hAnsi="宋体" w:cs="宋体"/>
                <w:b/>
                <w:bCs/>
                <w:sz w:val="18"/>
                <w:szCs w:val="18"/>
              </w:rPr>
              <w:t>枝下高</w:t>
            </w:r>
          </w:p>
        </w:tc>
        <w:tc>
          <w:tcPr>
            <w:tcW w:w="4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Ansi="宋体" w:cs="宋体"/>
                <w:b/>
                <w:bCs/>
                <w:sz w:val="18"/>
                <w:szCs w:val="18"/>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Ansi="宋体" w:cs="宋体"/>
                <w:b/>
                <w:bCs/>
                <w:sz w:val="18"/>
                <w:szCs w:val="18"/>
              </w:rPr>
            </w:pPr>
          </w:p>
        </w:tc>
        <w:tc>
          <w:tcPr>
            <w:tcW w:w="7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Ansi="宋体" w:cs="宋体"/>
                <w:b/>
                <w:bCs/>
                <w:color w:val="000000"/>
                <w:sz w:val="18"/>
                <w:szCs w:val="18"/>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Ansi="宋体" w:cs="宋体"/>
                <w:b/>
                <w:bCs/>
                <w:color w:val="000000"/>
                <w:sz w:val="18"/>
                <w:szCs w:val="18"/>
              </w:rPr>
            </w:pPr>
          </w:p>
        </w:tc>
        <w:tc>
          <w:tcPr>
            <w:tcW w:w="151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Ansi="宋体" w:cs="宋体"/>
                <w:b/>
                <w:bCs/>
                <w:color w:val="000000"/>
                <w:sz w:val="18"/>
                <w:szCs w:val="18"/>
              </w:rPr>
            </w:pPr>
          </w:p>
        </w:tc>
      </w:tr>
      <w:tr>
        <w:tblPrEx>
          <w:tblCellMar>
            <w:top w:w="0" w:type="dxa"/>
            <w:left w:w="108" w:type="dxa"/>
            <w:bottom w:w="0" w:type="dxa"/>
            <w:right w:w="108" w:type="dxa"/>
          </w:tblCellMar>
        </w:tblPrEx>
        <w:trPr>
          <w:trHeight w:val="900" w:hRule="atLeast"/>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sz w:val="18"/>
                <w:szCs w:val="18"/>
              </w:rPr>
            </w:pPr>
            <w:r>
              <w:rPr>
                <w:rFonts w:hint="eastAsia" w:hAnsi="宋体" w:cs="宋体"/>
                <w:sz w:val="18"/>
                <w:szCs w:val="18"/>
              </w:rPr>
              <w:t>1</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香樟</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500-550</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12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300-350</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200-250</w:t>
            </w:r>
          </w:p>
        </w:tc>
        <w:tc>
          <w:tcPr>
            <w:tcW w:w="43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71</w:t>
            </w: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380.00 </w:t>
            </w:r>
          </w:p>
        </w:tc>
        <w:tc>
          <w:tcPr>
            <w:tcW w:w="112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26,980.00 </w:t>
            </w:r>
          </w:p>
        </w:tc>
        <w:tc>
          <w:tcPr>
            <w:tcW w:w="1519" w:type="dxa"/>
            <w:tcBorders>
              <w:top w:val="nil"/>
              <w:left w:val="nil"/>
              <w:bottom w:val="single" w:color="auto" w:sz="4" w:space="0"/>
              <w:right w:val="single" w:color="auto" w:sz="4" w:space="0"/>
            </w:tcBorders>
            <w:shd w:val="clear" w:color="auto" w:fill="auto"/>
            <w:vAlign w:val="center"/>
          </w:tcPr>
          <w:p>
            <w:pPr>
              <w:widowControl/>
              <w:jc w:val="left"/>
              <w:rPr>
                <w:rFonts w:hAnsi="宋体" w:cs="宋体"/>
                <w:color w:val="000000"/>
                <w:sz w:val="16"/>
                <w:szCs w:val="16"/>
              </w:rPr>
            </w:pPr>
            <w:r>
              <w:rPr>
                <w:rFonts w:hint="eastAsia" w:hAnsi="宋体" w:cs="宋体"/>
                <w:color w:val="000000"/>
                <w:sz w:val="16"/>
                <w:szCs w:val="16"/>
              </w:rPr>
              <w:t>自然全冠，主干通直，树形优美，三级分枝，一级分枝不少于3-4个</w:t>
            </w:r>
          </w:p>
        </w:tc>
      </w:tr>
      <w:tr>
        <w:tblPrEx>
          <w:tblCellMar>
            <w:top w:w="0" w:type="dxa"/>
            <w:left w:w="108" w:type="dxa"/>
            <w:bottom w:w="0" w:type="dxa"/>
            <w:right w:w="108" w:type="dxa"/>
          </w:tblCellMar>
        </w:tblPrEx>
        <w:trPr>
          <w:trHeight w:val="900" w:hRule="atLeast"/>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sz w:val="18"/>
                <w:szCs w:val="18"/>
              </w:rPr>
            </w:pPr>
            <w:r>
              <w:rPr>
                <w:rFonts w:hint="eastAsia" w:hAnsi="宋体" w:cs="宋体"/>
                <w:sz w:val="18"/>
                <w:szCs w:val="18"/>
              </w:rPr>
              <w:t>2</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香樟</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500-550</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10-11</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300-350</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200-250</w:t>
            </w:r>
          </w:p>
        </w:tc>
        <w:tc>
          <w:tcPr>
            <w:tcW w:w="43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30</w:t>
            </w: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350.00 </w:t>
            </w:r>
          </w:p>
        </w:tc>
        <w:tc>
          <w:tcPr>
            <w:tcW w:w="112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10,500.00 </w:t>
            </w:r>
          </w:p>
        </w:tc>
        <w:tc>
          <w:tcPr>
            <w:tcW w:w="1519" w:type="dxa"/>
            <w:tcBorders>
              <w:top w:val="nil"/>
              <w:left w:val="nil"/>
              <w:bottom w:val="single" w:color="auto" w:sz="4" w:space="0"/>
              <w:right w:val="single" w:color="auto" w:sz="4" w:space="0"/>
            </w:tcBorders>
            <w:shd w:val="clear" w:color="auto" w:fill="auto"/>
            <w:vAlign w:val="center"/>
          </w:tcPr>
          <w:p>
            <w:pPr>
              <w:widowControl/>
              <w:jc w:val="left"/>
              <w:rPr>
                <w:rFonts w:hAnsi="宋体" w:cs="宋体"/>
                <w:color w:val="000000"/>
                <w:sz w:val="16"/>
                <w:szCs w:val="16"/>
              </w:rPr>
            </w:pPr>
            <w:r>
              <w:rPr>
                <w:rFonts w:hint="eastAsia" w:hAnsi="宋体" w:cs="宋体"/>
                <w:color w:val="000000"/>
                <w:sz w:val="16"/>
                <w:szCs w:val="16"/>
              </w:rPr>
              <w:t>自然全冠，主干通直，树形优美，三级分枝，一级分枝不少于3-4个</w:t>
            </w:r>
          </w:p>
        </w:tc>
      </w:tr>
      <w:tr>
        <w:tblPrEx>
          <w:tblCellMar>
            <w:top w:w="0" w:type="dxa"/>
            <w:left w:w="108" w:type="dxa"/>
            <w:bottom w:w="0" w:type="dxa"/>
            <w:right w:w="108" w:type="dxa"/>
          </w:tblCellMar>
        </w:tblPrEx>
        <w:trPr>
          <w:trHeight w:val="900" w:hRule="atLeast"/>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sz w:val="18"/>
                <w:szCs w:val="18"/>
              </w:rPr>
            </w:pPr>
            <w:r>
              <w:rPr>
                <w:rFonts w:hint="eastAsia" w:hAnsi="宋体" w:cs="宋体"/>
                <w:sz w:val="18"/>
                <w:szCs w:val="18"/>
              </w:rPr>
              <w:t>3</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枫香</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500-550</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12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300-350</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200-250</w:t>
            </w:r>
          </w:p>
        </w:tc>
        <w:tc>
          <w:tcPr>
            <w:tcW w:w="43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33</w:t>
            </w: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460.00 </w:t>
            </w:r>
          </w:p>
        </w:tc>
        <w:tc>
          <w:tcPr>
            <w:tcW w:w="112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15,180.00 </w:t>
            </w:r>
          </w:p>
        </w:tc>
        <w:tc>
          <w:tcPr>
            <w:tcW w:w="1519" w:type="dxa"/>
            <w:tcBorders>
              <w:top w:val="nil"/>
              <w:left w:val="nil"/>
              <w:bottom w:val="single" w:color="auto" w:sz="4" w:space="0"/>
              <w:right w:val="single" w:color="auto" w:sz="4" w:space="0"/>
            </w:tcBorders>
            <w:shd w:val="clear" w:color="auto" w:fill="auto"/>
            <w:vAlign w:val="center"/>
          </w:tcPr>
          <w:p>
            <w:pPr>
              <w:widowControl/>
              <w:jc w:val="left"/>
              <w:rPr>
                <w:rFonts w:hAnsi="宋体" w:cs="宋体"/>
                <w:color w:val="000000"/>
                <w:sz w:val="16"/>
                <w:szCs w:val="16"/>
              </w:rPr>
            </w:pPr>
            <w:r>
              <w:rPr>
                <w:rFonts w:hint="eastAsia" w:hAnsi="宋体" w:cs="宋体"/>
                <w:color w:val="000000"/>
                <w:sz w:val="16"/>
                <w:szCs w:val="16"/>
              </w:rPr>
              <w:t>自然全冠，主干通直，树形优美，三级分枝，一级分枝不少于3-4个</w:t>
            </w:r>
          </w:p>
        </w:tc>
      </w:tr>
      <w:tr>
        <w:tblPrEx>
          <w:tblCellMar>
            <w:top w:w="0" w:type="dxa"/>
            <w:left w:w="108" w:type="dxa"/>
            <w:bottom w:w="0" w:type="dxa"/>
            <w:right w:w="108" w:type="dxa"/>
          </w:tblCellMar>
        </w:tblPrEx>
        <w:trPr>
          <w:trHeight w:val="900" w:hRule="atLeast"/>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sz w:val="18"/>
                <w:szCs w:val="18"/>
              </w:rPr>
            </w:pPr>
            <w:r>
              <w:rPr>
                <w:rFonts w:hint="eastAsia" w:hAnsi="宋体" w:cs="宋体"/>
                <w:sz w:val="18"/>
                <w:szCs w:val="18"/>
              </w:rPr>
              <w:t>4</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二乔玉兰</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400-450</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12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280-300</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180-220</w:t>
            </w:r>
          </w:p>
        </w:tc>
        <w:tc>
          <w:tcPr>
            <w:tcW w:w="43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4</w:t>
            </w: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700.00 </w:t>
            </w:r>
          </w:p>
        </w:tc>
        <w:tc>
          <w:tcPr>
            <w:tcW w:w="112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2,800.00 </w:t>
            </w:r>
          </w:p>
        </w:tc>
        <w:tc>
          <w:tcPr>
            <w:tcW w:w="1519" w:type="dxa"/>
            <w:tcBorders>
              <w:top w:val="nil"/>
              <w:left w:val="nil"/>
              <w:bottom w:val="single" w:color="auto" w:sz="4" w:space="0"/>
              <w:right w:val="single" w:color="auto" w:sz="4" w:space="0"/>
            </w:tcBorders>
            <w:shd w:val="clear" w:color="auto" w:fill="auto"/>
            <w:vAlign w:val="center"/>
          </w:tcPr>
          <w:p>
            <w:pPr>
              <w:widowControl/>
              <w:jc w:val="left"/>
              <w:rPr>
                <w:rFonts w:hAnsi="宋体" w:cs="宋体"/>
                <w:color w:val="000000"/>
                <w:sz w:val="16"/>
                <w:szCs w:val="16"/>
              </w:rPr>
            </w:pPr>
            <w:r>
              <w:rPr>
                <w:rFonts w:hint="eastAsia" w:hAnsi="宋体" w:cs="宋体"/>
                <w:color w:val="000000"/>
                <w:sz w:val="16"/>
                <w:szCs w:val="16"/>
              </w:rPr>
              <w:t>自然全冠，主干通直，树形优美，三级分枝，一级分枝不少于3-4个，容器苗</w:t>
            </w:r>
          </w:p>
        </w:tc>
      </w:tr>
      <w:tr>
        <w:tblPrEx>
          <w:tblCellMar>
            <w:top w:w="0" w:type="dxa"/>
            <w:left w:w="108" w:type="dxa"/>
            <w:bottom w:w="0" w:type="dxa"/>
            <w:right w:w="108" w:type="dxa"/>
          </w:tblCellMar>
        </w:tblPrEx>
        <w:trPr>
          <w:trHeight w:val="900" w:hRule="atLeast"/>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sz w:val="18"/>
                <w:szCs w:val="18"/>
              </w:rPr>
            </w:pPr>
            <w:r>
              <w:rPr>
                <w:rFonts w:hint="eastAsia" w:hAnsi="宋体" w:cs="宋体"/>
                <w:sz w:val="18"/>
                <w:szCs w:val="18"/>
              </w:rPr>
              <w:t>5</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白蜡</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550-600</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12</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250-300</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250-300</w:t>
            </w:r>
          </w:p>
        </w:tc>
        <w:tc>
          <w:tcPr>
            <w:tcW w:w="43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44</w:t>
            </w: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360.00 </w:t>
            </w:r>
          </w:p>
        </w:tc>
        <w:tc>
          <w:tcPr>
            <w:tcW w:w="112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15,840.00 </w:t>
            </w:r>
          </w:p>
        </w:tc>
        <w:tc>
          <w:tcPr>
            <w:tcW w:w="1519" w:type="dxa"/>
            <w:tcBorders>
              <w:top w:val="nil"/>
              <w:left w:val="nil"/>
              <w:bottom w:val="single" w:color="auto" w:sz="4" w:space="0"/>
              <w:right w:val="single" w:color="auto" w:sz="4" w:space="0"/>
            </w:tcBorders>
            <w:shd w:val="clear" w:color="auto" w:fill="auto"/>
            <w:vAlign w:val="center"/>
          </w:tcPr>
          <w:p>
            <w:pPr>
              <w:widowControl/>
              <w:jc w:val="left"/>
              <w:rPr>
                <w:rFonts w:hAnsi="宋体" w:cs="宋体"/>
                <w:color w:val="000000"/>
                <w:sz w:val="16"/>
                <w:szCs w:val="16"/>
              </w:rPr>
            </w:pPr>
            <w:r>
              <w:rPr>
                <w:rFonts w:hint="eastAsia" w:hAnsi="宋体" w:cs="宋体"/>
                <w:color w:val="000000"/>
                <w:sz w:val="16"/>
                <w:szCs w:val="16"/>
              </w:rPr>
              <w:t>自然全冠，主干通直，树形优美，三级分枝，一级分枝不少于3-4个</w:t>
            </w:r>
          </w:p>
        </w:tc>
      </w:tr>
      <w:tr>
        <w:tblPrEx>
          <w:tblCellMar>
            <w:top w:w="0" w:type="dxa"/>
            <w:left w:w="108" w:type="dxa"/>
            <w:bottom w:w="0" w:type="dxa"/>
            <w:right w:w="108" w:type="dxa"/>
          </w:tblCellMar>
        </w:tblPrEx>
        <w:trPr>
          <w:trHeight w:val="730" w:hRule="atLeast"/>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sz w:val="18"/>
                <w:szCs w:val="18"/>
              </w:rPr>
            </w:pPr>
            <w:r>
              <w:rPr>
                <w:rFonts w:hint="eastAsia" w:hAnsi="宋体" w:cs="宋体"/>
                <w:sz w:val="18"/>
                <w:szCs w:val="18"/>
              </w:rPr>
              <w:t>6</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金桂</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250-300</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hAnsi="宋体" w:cs="宋体"/>
                <w:color w:val="000000"/>
                <w:sz w:val="18"/>
                <w:szCs w:val="18"/>
              </w:rPr>
            </w:pPr>
            <w:r>
              <w:rPr>
                <w:rFonts w:hint="eastAsia" w:hAnsi="宋体" w:cs="宋体"/>
                <w:color w:val="000000"/>
                <w:sz w:val="18"/>
                <w:szCs w:val="18"/>
              </w:rPr>
              <w:t>8（地径）</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200-250</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40-60</w:t>
            </w:r>
          </w:p>
        </w:tc>
        <w:tc>
          <w:tcPr>
            <w:tcW w:w="43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95</w:t>
            </w: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260.00 </w:t>
            </w:r>
          </w:p>
        </w:tc>
        <w:tc>
          <w:tcPr>
            <w:tcW w:w="112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24,700.00 </w:t>
            </w:r>
          </w:p>
        </w:tc>
        <w:tc>
          <w:tcPr>
            <w:tcW w:w="1519" w:type="dxa"/>
            <w:tcBorders>
              <w:top w:val="nil"/>
              <w:left w:val="nil"/>
              <w:bottom w:val="single" w:color="auto" w:sz="4" w:space="0"/>
              <w:right w:val="single" w:color="auto" w:sz="4" w:space="0"/>
            </w:tcBorders>
            <w:shd w:val="clear" w:color="auto" w:fill="auto"/>
            <w:vAlign w:val="center"/>
          </w:tcPr>
          <w:p>
            <w:pPr>
              <w:widowControl/>
              <w:jc w:val="left"/>
              <w:rPr>
                <w:rFonts w:hAnsi="宋体" w:cs="宋体"/>
                <w:color w:val="000000"/>
                <w:sz w:val="16"/>
                <w:szCs w:val="16"/>
              </w:rPr>
            </w:pPr>
            <w:r>
              <w:rPr>
                <w:rFonts w:hint="eastAsia" w:hAnsi="宋体" w:cs="宋体"/>
                <w:color w:val="000000"/>
                <w:sz w:val="16"/>
                <w:szCs w:val="16"/>
              </w:rPr>
              <w:t>树形丰满匀称，不偏冠</w:t>
            </w:r>
          </w:p>
        </w:tc>
      </w:tr>
      <w:tr>
        <w:tblPrEx>
          <w:tblCellMar>
            <w:top w:w="0" w:type="dxa"/>
            <w:left w:w="108" w:type="dxa"/>
            <w:bottom w:w="0" w:type="dxa"/>
            <w:right w:w="108" w:type="dxa"/>
          </w:tblCellMar>
        </w:tblPrEx>
        <w:trPr>
          <w:trHeight w:val="684" w:hRule="atLeast"/>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sz w:val="18"/>
                <w:szCs w:val="18"/>
              </w:rPr>
            </w:pPr>
            <w:r>
              <w:rPr>
                <w:rFonts w:hint="eastAsia" w:hAnsi="宋体" w:cs="宋体"/>
                <w:sz w:val="18"/>
                <w:szCs w:val="18"/>
              </w:rPr>
              <w:t>7</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日本晚樱</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250-300</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hAnsi="宋体" w:cs="宋体"/>
                <w:color w:val="000000"/>
                <w:sz w:val="18"/>
                <w:szCs w:val="18"/>
              </w:rPr>
            </w:pPr>
            <w:r>
              <w:rPr>
                <w:rFonts w:hint="eastAsia" w:hAnsi="宋体" w:cs="宋体"/>
                <w:color w:val="000000"/>
                <w:sz w:val="18"/>
                <w:szCs w:val="18"/>
              </w:rPr>
              <w:t>8（地径）</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250-300</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60-100</w:t>
            </w:r>
          </w:p>
        </w:tc>
        <w:tc>
          <w:tcPr>
            <w:tcW w:w="43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52</w:t>
            </w: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220.00 </w:t>
            </w:r>
          </w:p>
        </w:tc>
        <w:tc>
          <w:tcPr>
            <w:tcW w:w="112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11,440.00 </w:t>
            </w:r>
          </w:p>
        </w:tc>
        <w:tc>
          <w:tcPr>
            <w:tcW w:w="1519" w:type="dxa"/>
            <w:tcBorders>
              <w:top w:val="nil"/>
              <w:left w:val="nil"/>
              <w:bottom w:val="single" w:color="auto" w:sz="4" w:space="0"/>
              <w:right w:val="single" w:color="auto" w:sz="4" w:space="0"/>
            </w:tcBorders>
            <w:shd w:val="clear" w:color="auto" w:fill="auto"/>
            <w:vAlign w:val="center"/>
          </w:tcPr>
          <w:p>
            <w:pPr>
              <w:widowControl/>
              <w:jc w:val="left"/>
              <w:rPr>
                <w:rFonts w:hAnsi="宋体" w:cs="宋体"/>
                <w:color w:val="000000"/>
                <w:sz w:val="16"/>
                <w:szCs w:val="16"/>
              </w:rPr>
            </w:pPr>
            <w:r>
              <w:rPr>
                <w:rFonts w:hint="eastAsia" w:hAnsi="宋体" w:cs="宋体"/>
                <w:color w:val="000000"/>
                <w:sz w:val="16"/>
                <w:szCs w:val="16"/>
              </w:rPr>
              <w:t>树形丰满匀称，不偏冠</w:t>
            </w:r>
          </w:p>
        </w:tc>
      </w:tr>
      <w:tr>
        <w:tblPrEx>
          <w:tblCellMar>
            <w:top w:w="0" w:type="dxa"/>
            <w:left w:w="108" w:type="dxa"/>
            <w:bottom w:w="0" w:type="dxa"/>
            <w:right w:w="108" w:type="dxa"/>
          </w:tblCellMar>
        </w:tblPrEx>
        <w:trPr>
          <w:trHeight w:val="722" w:hRule="atLeast"/>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sz w:val="18"/>
                <w:szCs w:val="18"/>
              </w:rPr>
            </w:pPr>
            <w:r>
              <w:rPr>
                <w:rFonts w:hint="eastAsia" w:hAnsi="宋体" w:cs="宋体"/>
                <w:sz w:val="18"/>
                <w:szCs w:val="18"/>
              </w:rPr>
              <w:t>8</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垂丝海棠</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250-300</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hAnsi="宋体" w:cs="宋体"/>
                <w:color w:val="000000"/>
                <w:sz w:val="18"/>
                <w:szCs w:val="18"/>
              </w:rPr>
            </w:pPr>
            <w:r>
              <w:rPr>
                <w:rFonts w:hint="eastAsia" w:hAnsi="宋体" w:cs="宋体"/>
                <w:color w:val="000000"/>
                <w:sz w:val="18"/>
                <w:szCs w:val="18"/>
              </w:rPr>
              <w:t>8（地径）</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220-280</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60-100</w:t>
            </w:r>
          </w:p>
        </w:tc>
        <w:tc>
          <w:tcPr>
            <w:tcW w:w="43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40</w:t>
            </w: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500.00 </w:t>
            </w:r>
          </w:p>
        </w:tc>
        <w:tc>
          <w:tcPr>
            <w:tcW w:w="112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20,000.00 </w:t>
            </w:r>
          </w:p>
        </w:tc>
        <w:tc>
          <w:tcPr>
            <w:tcW w:w="1519" w:type="dxa"/>
            <w:tcBorders>
              <w:top w:val="nil"/>
              <w:left w:val="nil"/>
              <w:bottom w:val="single" w:color="auto" w:sz="4" w:space="0"/>
              <w:right w:val="single" w:color="auto" w:sz="4" w:space="0"/>
            </w:tcBorders>
            <w:shd w:val="clear" w:color="auto" w:fill="auto"/>
            <w:vAlign w:val="center"/>
          </w:tcPr>
          <w:p>
            <w:pPr>
              <w:widowControl/>
              <w:jc w:val="left"/>
              <w:rPr>
                <w:rFonts w:hAnsi="宋体" w:cs="宋体"/>
                <w:color w:val="000000"/>
                <w:sz w:val="16"/>
                <w:szCs w:val="16"/>
              </w:rPr>
            </w:pPr>
            <w:r>
              <w:rPr>
                <w:rFonts w:hint="eastAsia" w:hAnsi="宋体" w:cs="宋体"/>
                <w:color w:val="000000"/>
                <w:sz w:val="16"/>
                <w:szCs w:val="16"/>
              </w:rPr>
              <w:t>树形丰满匀称，不偏冠，容器苗</w:t>
            </w:r>
          </w:p>
        </w:tc>
      </w:tr>
      <w:tr>
        <w:tblPrEx>
          <w:tblCellMar>
            <w:top w:w="0" w:type="dxa"/>
            <w:left w:w="108" w:type="dxa"/>
            <w:bottom w:w="0" w:type="dxa"/>
            <w:right w:w="108" w:type="dxa"/>
          </w:tblCellMar>
        </w:tblPrEx>
        <w:trPr>
          <w:trHeight w:val="691" w:hRule="atLeast"/>
        </w:trPr>
        <w:tc>
          <w:tcPr>
            <w:tcW w:w="3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sz w:val="18"/>
                <w:szCs w:val="18"/>
              </w:rPr>
            </w:pPr>
            <w:r>
              <w:rPr>
                <w:rFonts w:hint="eastAsia" w:hAnsi="宋体" w:cs="宋体"/>
                <w:sz w:val="18"/>
                <w:szCs w:val="18"/>
              </w:rPr>
              <w:t>9</w:t>
            </w:r>
          </w:p>
        </w:tc>
        <w:tc>
          <w:tcPr>
            <w:tcW w:w="70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臭牡丹</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40-50</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25-30</w:t>
            </w:r>
          </w:p>
        </w:tc>
        <w:tc>
          <w:tcPr>
            <w:tcW w:w="846"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w:t>
            </w:r>
          </w:p>
        </w:tc>
        <w:tc>
          <w:tcPr>
            <w:tcW w:w="43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78000</w:t>
            </w: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1.10 </w:t>
            </w:r>
          </w:p>
        </w:tc>
        <w:tc>
          <w:tcPr>
            <w:tcW w:w="1124" w:type="dxa"/>
            <w:tcBorders>
              <w:top w:val="nil"/>
              <w:left w:val="nil"/>
              <w:bottom w:val="single" w:color="auto" w:sz="4" w:space="0"/>
              <w:right w:val="single" w:color="auto" w:sz="4" w:space="0"/>
            </w:tcBorders>
            <w:shd w:val="clear" w:color="auto" w:fill="auto"/>
            <w:noWrap/>
            <w:vAlign w:val="center"/>
          </w:tcPr>
          <w:p>
            <w:pPr>
              <w:widowControl/>
              <w:jc w:val="center"/>
              <w:rPr>
                <w:rFonts w:hAnsi="宋体" w:cs="宋体"/>
                <w:color w:val="000000"/>
                <w:sz w:val="18"/>
                <w:szCs w:val="18"/>
              </w:rPr>
            </w:pPr>
            <w:r>
              <w:rPr>
                <w:rFonts w:hint="eastAsia" w:hAnsi="宋体" w:cs="宋体"/>
                <w:color w:val="000000"/>
                <w:sz w:val="18"/>
                <w:szCs w:val="18"/>
              </w:rPr>
              <w:t xml:space="preserve">85,800.00 </w:t>
            </w:r>
          </w:p>
        </w:tc>
        <w:tc>
          <w:tcPr>
            <w:tcW w:w="1519" w:type="dxa"/>
            <w:tcBorders>
              <w:top w:val="nil"/>
              <w:left w:val="nil"/>
              <w:bottom w:val="single" w:color="auto" w:sz="4" w:space="0"/>
              <w:right w:val="single" w:color="auto" w:sz="4" w:space="0"/>
            </w:tcBorders>
            <w:shd w:val="clear" w:color="auto" w:fill="auto"/>
            <w:vAlign w:val="center"/>
          </w:tcPr>
          <w:p>
            <w:pPr>
              <w:widowControl/>
              <w:jc w:val="left"/>
              <w:rPr>
                <w:rFonts w:hAnsi="宋体" w:cs="宋体"/>
                <w:color w:val="000000"/>
                <w:sz w:val="16"/>
                <w:szCs w:val="16"/>
              </w:rPr>
            </w:pPr>
            <w:r>
              <w:rPr>
                <w:rFonts w:hint="eastAsia" w:hAnsi="宋体" w:cs="宋体"/>
                <w:color w:val="000000"/>
                <w:sz w:val="16"/>
                <w:szCs w:val="16"/>
              </w:rPr>
              <w:t>36株/㎡，满栽，不露黄土</w:t>
            </w:r>
          </w:p>
        </w:tc>
      </w:tr>
      <w:tr>
        <w:tblPrEx>
          <w:tblCellMar>
            <w:top w:w="0" w:type="dxa"/>
            <w:left w:w="108" w:type="dxa"/>
            <w:bottom w:w="0" w:type="dxa"/>
            <w:right w:w="108" w:type="dxa"/>
          </w:tblCellMar>
        </w:tblPrEx>
        <w:trPr>
          <w:trHeight w:val="492" w:hRule="atLeast"/>
        </w:trPr>
        <w:tc>
          <w:tcPr>
            <w:tcW w:w="6254"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b/>
                <w:bCs/>
                <w:color w:val="000000"/>
                <w:sz w:val="18"/>
                <w:szCs w:val="18"/>
              </w:rPr>
            </w:pPr>
            <w:r>
              <w:rPr>
                <w:rFonts w:hint="eastAsia" w:hAnsi="宋体" w:cs="宋体"/>
                <w:b/>
                <w:bCs/>
                <w:color w:val="000000"/>
                <w:sz w:val="18"/>
                <w:szCs w:val="18"/>
              </w:rPr>
              <w:t>合同控制总价</w:t>
            </w:r>
          </w:p>
        </w:tc>
        <w:tc>
          <w:tcPr>
            <w:tcW w:w="11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b/>
                <w:bCs/>
                <w:color w:val="000000"/>
                <w:sz w:val="18"/>
                <w:szCs w:val="18"/>
              </w:rPr>
            </w:pPr>
            <w:r>
              <w:rPr>
                <w:rFonts w:hint="eastAsia" w:hAnsi="宋体" w:cs="宋体"/>
                <w:b/>
                <w:bCs/>
                <w:color w:val="000000"/>
                <w:sz w:val="18"/>
                <w:szCs w:val="18"/>
              </w:rPr>
              <w:t xml:space="preserve">213,240.00 </w:t>
            </w:r>
          </w:p>
        </w:tc>
        <w:tc>
          <w:tcPr>
            <w:tcW w:w="1519" w:type="dxa"/>
            <w:tcBorders>
              <w:top w:val="nil"/>
              <w:left w:val="nil"/>
              <w:bottom w:val="single" w:color="auto" w:sz="4" w:space="0"/>
              <w:right w:val="single" w:color="auto" w:sz="4" w:space="0"/>
            </w:tcBorders>
            <w:shd w:val="clear" w:color="auto" w:fill="auto"/>
            <w:noWrap/>
            <w:vAlign w:val="center"/>
          </w:tcPr>
          <w:p>
            <w:pPr>
              <w:widowControl/>
              <w:jc w:val="left"/>
              <w:rPr>
                <w:rFonts w:hAnsi="宋体" w:cs="宋体"/>
                <w:color w:val="000000"/>
                <w:sz w:val="18"/>
                <w:szCs w:val="18"/>
              </w:rPr>
            </w:pPr>
            <w:r>
              <w:rPr>
                <w:rFonts w:hint="eastAsia" w:hAnsi="宋体" w:cs="宋体"/>
                <w:color w:val="000000"/>
                <w:sz w:val="18"/>
                <w:szCs w:val="18"/>
              </w:rPr>
              <w:t>　</w:t>
            </w:r>
          </w:p>
        </w:tc>
      </w:tr>
    </w:tbl>
    <w:p>
      <w:pPr>
        <w:numPr>
          <w:ilvl w:val="0"/>
          <w:numId w:val="2"/>
        </w:numPr>
        <w:rPr>
          <w:rFonts w:hAnsi="宋体"/>
          <w:b/>
          <w:bCs/>
          <w:color w:val="000000"/>
        </w:rPr>
      </w:pPr>
      <w:r>
        <w:rPr>
          <w:rFonts w:hint="eastAsia" w:hAnsi="宋体"/>
          <w:b/>
          <w:bCs/>
          <w:color w:val="000000"/>
        </w:rPr>
        <w:t>清单</w:t>
      </w:r>
    </w:p>
    <w:p>
      <w:pPr>
        <w:spacing w:line="440" w:lineRule="exact"/>
        <w:ind w:firstLine="420" w:firstLineChars="200"/>
      </w:pPr>
      <w:r>
        <w:rPr>
          <w:rFonts w:hint="eastAsia"/>
        </w:rPr>
        <w:t>备注：以上单价包括运抵采购单位的运输、保险、包装、装货、检验、税金等所有费用。本项目单个品种采购量为暂估量，最终以验收合格的实际供货量为准，按实结算，总结算价不超过合同总额的110%。</w:t>
      </w:r>
    </w:p>
    <w:p>
      <w:pPr>
        <w:spacing w:line="440" w:lineRule="exact"/>
        <w:rPr>
          <w:b/>
        </w:rPr>
      </w:pPr>
    </w:p>
    <w:p>
      <w:pPr>
        <w:spacing w:line="440" w:lineRule="exact"/>
        <w:rPr>
          <w:b/>
        </w:rPr>
      </w:pPr>
      <w:r>
        <w:rPr>
          <w:rFonts w:hint="eastAsia"/>
          <w:b/>
        </w:rPr>
        <w:t>第二条、质量保证</w:t>
      </w:r>
    </w:p>
    <w:p>
      <w:pPr>
        <w:spacing w:line="440" w:lineRule="exact"/>
        <w:ind w:firstLine="420" w:firstLineChars="200"/>
      </w:pPr>
      <w:r>
        <w:rPr>
          <w:rFonts w:hint="eastAsia"/>
        </w:rPr>
        <w:t>1、苗木必须符合第一条清单中的参数指标要求规定。</w:t>
      </w:r>
    </w:p>
    <w:p>
      <w:pPr>
        <w:spacing w:line="440" w:lineRule="exact"/>
        <w:ind w:firstLine="420" w:firstLineChars="200"/>
      </w:pPr>
      <w:r>
        <w:rPr>
          <w:rFonts w:hint="eastAsia"/>
        </w:rPr>
        <w:t>2、苗木为圃地栽植苗，植株健壮，苗干通直圆满，具有完整健壮的顶芽，冠形丰满，枝条茁壮，组织充实，木质化程度高。乔木树主干明确；花灌木分枝均匀；绿篱个体上下一致，下部不脱裸；球形苗木枝叶茂密。苗木无机械损伤，无病虫害，苗木新鲜，不失水，有旺盛的生命力。</w:t>
      </w:r>
    </w:p>
    <w:p>
      <w:pPr>
        <w:spacing w:line="440" w:lineRule="exact"/>
        <w:ind w:firstLine="420" w:firstLineChars="200"/>
      </w:pPr>
      <w:r>
        <w:rPr>
          <w:rFonts w:hint="eastAsia"/>
        </w:rPr>
        <w:t>3、根系发达而完整，有较多的侧根和须根，根系无劈裂。苗木土球完整，苹果形，直径应为苗木干径或地径的7-8倍，用草绳等包裹物包扎密实完整。</w:t>
      </w:r>
    </w:p>
    <w:p>
      <w:pPr>
        <w:spacing w:line="440" w:lineRule="exact"/>
        <w:ind w:firstLine="420" w:firstLineChars="200"/>
      </w:pPr>
      <w:r>
        <w:rPr>
          <w:rFonts w:hint="eastAsia"/>
        </w:rPr>
        <w:t>4、苗木运输需采用覆盖、放置冰块等保护措施，以防止苗木失水或发热枯萎，确保苗木新鲜安全无损运抵指定地点。</w:t>
      </w:r>
    </w:p>
    <w:p>
      <w:pPr>
        <w:spacing w:line="440" w:lineRule="exact"/>
        <w:rPr>
          <w:b/>
        </w:rPr>
      </w:pPr>
      <w:r>
        <w:rPr>
          <w:rFonts w:hint="eastAsia"/>
          <w:b/>
        </w:rPr>
        <w:t>第三条：交货时间、地点及验收</w:t>
      </w:r>
    </w:p>
    <w:p>
      <w:pPr>
        <w:spacing w:line="440" w:lineRule="exact"/>
        <w:ind w:firstLine="420" w:firstLineChars="200"/>
      </w:pPr>
      <w:r>
        <w:rPr>
          <w:rFonts w:hint="eastAsia"/>
        </w:rPr>
        <w:t>在合同执行期间，成交供应商在接到采购人提出供货要求通知后48小时内将采购人所需苗木送达采购人指定地点。在所供苗木交货的同时，成交供应商必须向采购人提供苗木检疫证或苗木出圃合格证等相关资料。</w:t>
      </w:r>
    </w:p>
    <w:p>
      <w:pPr>
        <w:spacing w:line="440" w:lineRule="exact"/>
        <w:ind w:firstLine="420" w:firstLineChars="200"/>
      </w:pPr>
      <w:r>
        <w:rPr>
          <w:rFonts w:hint="eastAsia"/>
        </w:rPr>
        <w:t>苗木到达指定地点后，采购人按苗木质量要求进行验收，并做好验收记录。不合格的苗木当日由成交供应商负责清离现场，否则视同绿化垃圾处理。</w:t>
      </w:r>
    </w:p>
    <w:p>
      <w:pPr>
        <w:spacing w:line="440" w:lineRule="exact"/>
        <w:rPr>
          <w:b/>
        </w:rPr>
      </w:pPr>
      <w:r>
        <w:rPr>
          <w:rFonts w:hint="eastAsia"/>
          <w:b/>
        </w:rPr>
        <w:t>第四条：</w:t>
      </w:r>
      <w:r>
        <w:rPr>
          <w:b/>
        </w:rPr>
        <w:t xml:space="preserve"> </w:t>
      </w:r>
      <w:r>
        <w:rPr>
          <w:rFonts w:hint="eastAsia"/>
          <w:b/>
        </w:rPr>
        <w:t>其它要求</w:t>
      </w:r>
    </w:p>
    <w:p>
      <w:pPr>
        <w:spacing w:line="360" w:lineRule="auto"/>
        <w:ind w:firstLine="420" w:firstLineChars="200"/>
        <w:rPr>
          <w:rFonts w:hAnsi="宋体"/>
        </w:rPr>
      </w:pPr>
      <w:r>
        <w:rPr>
          <w:rFonts w:hint="eastAsia" w:hAnsi="宋体"/>
        </w:rPr>
        <w:t>1.成交供应商需安排指定人员，负责与采购人的对接工作。</w:t>
      </w:r>
    </w:p>
    <w:p>
      <w:pPr>
        <w:spacing w:line="360" w:lineRule="auto"/>
        <w:ind w:firstLine="420" w:firstLineChars="200"/>
        <w:rPr>
          <w:rFonts w:hAnsi="宋体"/>
        </w:rPr>
      </w:pPr>
      <w:r>
        <w:rPr>
          <w:rFonts w:hint="eastAsia" w:hAnsi="宋体"/>
        </w:rPr>
        <w:t>2.成交供应商将货物送至采购人指定地点后，需要按照采购人要求进行卸货、搬运、码放，无条件服从采购人的现场管理，否则采购人有权拒收，由此产生的一切损失由成交供应商自行承担。</w:t>
      </w:r>
    </w:p>
    <w:p>
      <w:pPr>
        <w:jc w:val="both"/>
        <w:rPr>
          <w:rFonts w:hint="eastAsia" w:ascii="Times New Roman" w:hAnsi="Times New Roman" w:eastAsia="宋体" w:cs="Times New Roman"/>
          <w:b/>
          <w:color w:val="auto"/>
          <w:sz w:val="44"/>
          <w:szCs w:val="44"/>
          <w:highlight w:val="none"/>
          <w:lang w:val="en-US" w:eastAsia="zh-CN"/>
        </w:rPr>
      </w:pPr>
      <w:r>
        <w:rPr>
          <w:rFonts w:hint="eastAsia" w:hAnsi="宋体"/>
        </w:rPr>
        <w:t>3. 所有苗木为带土球苗木,苗木保质保量，不符合苗木质量标准的，采购人有权拒收。</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F5C00"/>
    <w:multiLevelType w:val="singleLevel"/>
    <w:tmpl w:val="9C6F5C00"/>
    <w:lvl w:ilvl="0" w:tentative="0">
      <w:start w:val="1"/>
      <w:numFmt w:val="decimal"/>
      <w:lvlText w:val="%1."/>
      <w:lvlJc w:val="left"/>
      <w:pPr>
        <w:tabs>
          <w:tab w:val="left" w:pos="312"/>
        </w:tabs>
      </w:pPr>
    </w:lvl>
  </w:abstractNum>
  <w:abstractNum w:abstractNumId="1">
    <w:nsid w:val="48F30B5A"/>
    <w:multiLevelType w:val="singleLevel"/>
    <w:tmpl w:val="48F30B5A"/>
    <w:lvl w:ilvl="0" w:tentative="0">
      <w:start w:val="1"/>
      <w:numFmt w:val="chineseCounting"/>
      <w:suff w:val="nothing"/>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1742A2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qFormat/>
    <w:uiPriority w:val="1"/>
    <w:pPr>
      <w:ind w:left="577"/>
      <w:outlineLvl w:val="6"/>
    </w:pPr>
    <w:rPr>
      <w:rFonts w:ascii="宋体" w:hAnsi="宋体"/>
      <w:b/>
      <w:bCs/>
      <w:sz w:val="21"/>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5"/>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3"/>
    <w:autoRedefine/>
    <w:unhideWhenUsed/>
    <w:qFormat/>
    <w:uiPriority w:val="99"/>
    <w:pPr>
      <w:tabs>
        <w:tab w:val="center" w:pos="4153"/>
        <w:tab w:val="right" w:pos="8306"/>
      </w:tabs>
      <w:snapToGrid w:val="0"/>
      <w:jc w:val="left"/>
    </w:pPr>
    <w:rPr>
      <w:sz w:val="18"/>
      <w:szCs w:val="18"/>
    </w:rPr>
  </w:style>
  <w:style w:type="paragraph" w:styleId="12">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7"/>
    <w:next w:val="7"/>
    <w:link w:val="26"/>
    <w:autoRedefine/>
    <w:semiHidden/>
    <w:unhideWhenUsed/>
    <w:qFormat/>
    <w:uiPriority w:val="99"/>
    <w:rPr>
      <w:b/>
      <w:bCs/>
    </w:r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annotation reference"/>
    <w:basedOn w:val="19"/>
    <w:autoRedefine/>
    <w:semiHidden/>
    <w:unhideWhenUsed/>
    <w:qFormat/>
    <w:uiPriority w:val="99"/>
    <w:rPr>
      <w:sz w:val="21"/>
      <w:szCs w:val="21"/>
    </w:rPr>
  </w:style>
  <w:style w:type="paragraph" w:customStyle="1" w:styleId="21">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2">
    <w:name w:val="页眉 Char"/>
    <w:basedOn w:val="19"/>
    <w:link w:val="12"/>
    <w:autoRedefine/>
    <w:qFormat/>
    <w:uiPriority w:val="99"/>
    <w:rPr>
      <w:sz w:val="18"/>
      <w:szCs w:val="18"/>
    </w:rPr>
  </w:style>
  <w:style w:type="character" w:customStyle="1" w:styleId="23">
    <w:name w:val="页脚 Char"/>
    <w:basedOn w:val="19"/>
    <w:link w:val="11"/>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19"/>
    <w:link w:val="7"/>
    <w:autoRedefine/>
    <w:semiHidden/>
    <w:qFormat/>
    <w:uiPriority w:val="99"/>
  </w:style>
  <w:style w:type="character" w:customStyle="1" w:styleId="26">
    <w:name w:val="批注主题 Char"/>
    <w:basedOn w:val="25"/>
    <w:link w:val="16"/>
    <w:autoRedefine/>
    <w:semiHidden/>
    <w:qFormat/>
    <w:uiPriority w:val="99"/>
    <w:rPr>
      <w:b/>
      <w:bCs/>
    </w:rPr>
  </w:style>
  <w:style w:type="character" w:customStyle="1" w:styleId="27">
    <w:name w:val="批注框文本 Char"/>
    <w:basedOn w:val="19"/>
    <w:link w:val="10"/>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19"/>
    <w:autoRedefine/>
    <w:qFormat/>
    <w:uiPriority w:val="0"/>
    <w:rPr>
      <w:rFonts w:hint="eastAsia" w:ascii="宋体" w:hAnsi="宋体" w:eastAsia="宋体" w:cs="宋体"/>
      <w:b/>
      <w:bCs/>
      <w:color w:val="000000"/>
      <w:sz w:val="40"/>
      <w:szCs w:val="40"/>
      <w:u w:val="none"/>
    </w:rPr>
  </w:style>
  <w:style w:type="character" w:customStyle="1" w:styleId="33">
    <w:name w:val="font71"/>
    <w:basedOn w:val="19"/>
    <w:autoRedefine/>
    <w:qFormat/>
    <w:uiPriority w:val="0"/>
    <w:rPr>
      <w:rFonts w:hint="eastAsia" w:ascii="宋体" w:hAnsi="宋体" w:eastAsia="宋体" w:cs="宋体"/>
      <w:b/>
      <w:bCs/>
      <w:color w:val="000000"/>
      <w:sz w:val="40"/>
      <w:szCs w:val="40"/>
      <w:u w:val="single"/>
    </w:rPr>
  </w:style>
  <w:style w:type="character" w:customStyle="1" w:styleId="34">
    <w:name w:val="font91"/>
    <w:basedOn w:val="19"/>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19"/>
    <w:autoRedefine/>
    <w:qFormat/>
    <w:uiPriority w:val="0"/>
    <w:rPr>
      <w:rFonts w:hint="eastAsia" w:ascii="宋体" w:hAnsi="宋体" w:eastAsia="宋体" w:cs="宋体"/>
      <w:color w:val="000000"/>
      <w:sz w:val="40"/>
      <w:szCs w:val="40"/>
      <w:u w:val="single"/>
    </w:rPr>
  </w:style>
  <w:style w:type="character" w:customStyle="1" w:styleId="36">
    <w:name w:val="font141"/>
    <w:basedOn w:val="19"/>
    <w:autoRedefine/>
    <w:qFormat/>
    <w:uiPriority w:val="0"/>
    <w:rPr>
      <w:rFonts w:hint="eastAsia" w:ascii="宋体" w:hAnsi="宋体" w:eastAsia="宋体" w:cs="宋体"/>
      <w:color w:val="000000"/>
      <w:sz w:val="20"/>
      <w:szCs w:val="20"/>
      <w:u w:val="single"/>
    </w:rPr>
  </w:style>
  <w:style w:type="character" w:customStyle="1" w:styleId="37">
    <w:name w:val="font151"/>
    <w:basedOn w:val="19"/>
    <w:autoRedefine/>
    <w:qFormat/>
    <w:uiPriority w:val="0"/>
    <w:rPr>
      <w:rFonts w:hint="eastAsia" w:ascii="宋体" w:hAnsi="宋体" w:eastAsia="宋体" w:cs="宋体"/>
      <w:color w:val="000000"/>
      <w:sz w:val="20"/>
      <w:szCs w:val="20"/>
      <w:u w:val="single"/>
    </w:rPr>
  </w:style>
  <w:style w:type="paragraph" w:customStyle="1" w:styleId="38">
    <w:name w:val="xl31"/>
    <w:basedOn w:val="1"/>
    <w:autoRedefine/>
    <w:qFormat/>
    <w:uiPriority w:val="0"/>
    <w:pPr>
      <w:widowControl/>
      <w:spacing w:before="100" w:beforeAutospacing="1" w:after="100" w:afterAutospacing="1"/>
      <w:jc w:val="center"/>
    </w:pPr>
    <w:rPr>
      <w:rFonts w:hAnsi="宋体"/>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5</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2025-04-24T03:21:37Z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