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1"/>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17"/>
        <w:tblpPr w:vertAnchor="text" w:tblpXSpec="center"/>
        <w:tblW w:w="8243" w:type="dxa"/>
        <w:jc w:val="center"/>
        <w:tblCellSpacing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CellMar>
          <w:top w:w="0" w:type="dxa"/>
          <w:left w:w="0" w:type="dxa"/>
          <w:bottom w:w="0" w:type="dxa"/>
          <w:right w:w="0" w:type="dxa"/>
        </w:tblCellMar>
      </w:tblPr>
      <w:tblGrid>
        <w:gridCol w:w="2175"/>
        <w:gridCol w:w="4403"/>
        <w:gridCol w:w="166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CellMar>
            <w:top w:w="0" w:type="dxa"/>
            <w:left w:w="0" w:type="dxa"/>
            <w:bottom w:w="0" w:type="dxa"/>
            <w:right w:w="0" w:type="dxa"/>
          </w:tblCellMar>
        </w:tblPrEx>
        <w:trPr>
          <w:trHeight w:val="524" w:hRule="atLeast"/>
          <w:tblCellSpacing w:w="0" w:type="dxa"/>
          <w:jc w:val="center"/>
        </w:trPr>
        <w:tc>
          <w:tcPr>
            <w:tcW w:w="2175"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eastAsia" w:ascii="宋体" w:hAnsi="宋体" w:eastAsia="宋体" w:cs="宋体"/>
              </w:rPr>
            </w:pPr>
            <w:r>
              <w:rPr>
                <w:rFonts w:hint="eastAsia" w:ascii="宋体" w:hAnsi="宋体" w:eastAsia="宋体" w:cs="宋体"/>
                <w:i w:val="0"/>
                <w:iCs w:val="0"/>
                <w:caps w:val="0"/>
                <w:color w:val="333333"/>
                <w:spacing w:val="15"/>
                <w:sz w:val="24"/>
                <w:szCs w:val="24"/>
              </w:rPr>
              <w:t>项目地点</w:t>
            </w:r>
          </w:p>
        </w:tc>
        <w:tc>
          <w:tcPr>
            <w:tcW w:w="4403"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eastAsia" w:ascii="宋体" w:hAnsi="宋体" w:eastAsia="宋体" w:cs="宋体"/>
              </w:rPr>
            </w:pPr>
            <w:r>
              <w:rPr>
                <w:rFonts w:hint="eastAsia" w:ascii="宋体" w:hAnsi="宋体" w:eastAsia="宋体" w:cs="宋体"/>
                <w:i w:val="0"/>
                <w:iCs w:val="0"/>
                <w:caps w:val="0"/>
                <w:color w:val="333333"/>
                <w:spacing w:val="15"/>
                <w:sz w:val="24"/>
                <w:szCs w:val="24"/>
              </w:rPr>
              <w:t>报价</w:t>
            </w:r>
          </w:p>
        </w:tc>
        <w:tc>
          <w:tcPr>
            <w:tcW w:w="1665"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eastAsia" w:ascii="宋体" w:hAnsi="宋体" w:eastAsia="宋体" w:cs="宋体"/>
              </w:rPr>
            </w:pPr>
            <w:r>
              <w:rPr>
                <w:rFonts w:hint="eastAsia" w:ascii="宋体" w:hAnsi="宋体" w:eastAsia="宋体" w:cs="宋体"/>
                <w:i w:val="0"/>
                <w:iCs w:val="0"/>
                <w:caps w:val="0"/>
                <w:color w:val="333333"/>
                <w:spacing w:val="15"/>
                <w:sz w:val="24"/>
                <w:szCs w:val="24"/>
                <w:lang w:val="en-US" w:eastAsia="zh-CN"/>
              </w:rPr>
              <w:t>备注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CellMar>
            <w:top w:w="0" w:type="dxa"/>
            <w:left w:w="0" w:type="dxa"/>
            <w:bottom w:w="0" w:type="dxa"/>
            <w:right w:w="0" w:type="dxa"/>
          </w:tblCellMar>
        </w:tblPrEx>
        <w:trPr>
          <w:trHeight w:val="767" w:hRule="atLeast"/>
          <w:tblCellSpacing w:w="0" w:type="dxa"/>
          <w:jc w:val="center"/>
        </w:trPr>
        <w:tc>
          <w:tcPr>
            <w:tcW w:w="2175"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eastAsia" w:ascii="宋体" w:hAnsi="宋体" w:eastAsia="宋体" w:cs="宋体"/>
              </w:rPr>
            </w:pPr>
            <w:r>
              <w:rPr>
                <w:rFonts w:hint="eastAsia" w:ascii="宋体" w:hAnsi="宋体" w:eastAsia="宋体" w:cs="宋体"/>
                <w:i w:val="0"/>
                <w:iCs w:val="0"/>
                <w:caps w:val="0"/>
                <w:color w:val="333333"/>
                <w:spacing w:val="15"/>
                <w:sz w:val="24"/>
                <w:szCs w:val="24"/>
              </w:rPr>
              <w:t>海恒大厦</w:t>
            </w:r>
          </w:p>
        </w:tc>
        <w:tc>
          <w:tcPr>
            <w:tcW w:w="4403"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default" w:ascii="宋体" w:hAnsi="宋体" w:eastAsia="宋体" w:cs="宋体"/>
                <w:lang w:val="en-US" w:eastAsia="zh-CN"/>
              </w:rPr>
            </w:pPr>
            <w:r>
              <w:rPr>
                <w:rFonts w:hint="eastAsia" w:ascii="宋体" w:hAnsi="宋体" w:eastAsia="宋体" w:cs="宋体"/>
                <w:i w:val="0"/>
                <w:iCs w:val="0"/>
                <w:caps w:val="0"/>
                <w:color w:val="333333"/>
                <w:spacing w:val="15"/>
                <w:sz w:val="24"/>
                <w:szCs w:val="24"/>
                <w:u w:val="single"/>
                <w:lang w:val="en-US" w:eastAsia="zh-CN"/>
              </w:rPr>
              <w:t xml:space="preserve">        </w:t>
            </w:r>
            <w:r>
              <w:rPr>
                <w:rFonts w:hint="eastAsia" w:ascii="宋体" w:hAnsi="宋体" w:eastAsia="宋体" w:cs="宋体"/>
                <w:sz w:val="24"/>
                <w:szCs w:val="24"/>
                <w:lang w:val="en-US" w:eastAsia="zh-CN"/>
              </w:rPr>
              <w:t>元（4次）</w:t>
            </w:r>
          </w:p>
        </w:tc>
        <w:tc>
          <w:tcPr>
            <w:tcW w:w="1665" w:type="dxa"/>
            <w:vMerge w:val="restart"/>
            <w:tcBorders>
              <w:tl2br w:val="nil"/>
              <w:tr2bl w:val="nil"/>
            </w:tcBorders>
            <w:shd w:val="clear" w:color="auto" w:fill="FFFFFF"/>
            <w:tcMar>
              <w:left w:w="105" w:type="dxa"/>
              <w:right w:w="105" w:type="dxa"/>
            </w:tcMar>
            <w:vAlign w:val="center"/>
          </w:tcPr>
          <w:p>
            <w:pPr>
              <w:pStyle w:val="14"/>
              <w:keepNext w:val="0"/>
              <w:keepLines w:val="0"/>
              <w:widowControl/>
              <w:suppressLineNumbers w:val="0"/>
              <w:rPr>
                <w:rFonts w:hint="eastAsia" w:ascii="宋体" w:hAnsi="宋体" w:eastAsia="宋体" w:cs="宋体"/>
              </w:rPr>
            </w:pPr>
            <w:r>
              <w:rPr>
                <w:rFonts w:hint="eastAsia" w:ascii="宋体" w:hAnsi="宋体" w:eastAsia="宋体" w:cs="宋体"/>
                <w:i w:val="0"/>
                <w:iCs w:val="0"/>
                <w:caps w:val="0"/>
                <w:color w:val="333333"/>
                <w:spacing w:val="15"/>
                <w:sz w:val="24"/>
                <w:szCs w:val="24"/>
              </w:rPr>
              <w:t>报价包含人工、清洗、消毒、水质检测并出具报告、税金以及安全风险等一切费用</w:t>
            </w:r>
            <w:r>
              <w:rPr>
                <w:rFonts w:hint="eastAsia" w:ascii="宋体" w:hAnsi="宋体" w:eastAsia="宋体" w:cs="宋体"/>
                <w:i w:val="0"/>
                <w:iCs w:val="0"/>
                <w:caps w:val="0"/>
                <w:color w:val="333333"/>
                <w:spacing w:val="15"/>
                <w:sz w:val="24"/>
                <w:szCs w:val="24"/>
                <w:lang w:eastAsia="zh-CN"/>
              </w:rPr>
              <w:t>，</w:t>
            </w:r>
            <w:r>
              <w:rPr>
                <w:rFonts w:hint="eastAsia" w:ascii="宋体" w:hAnsi="宋体" w:eastAsia="宋体" w:cs="宋体"/>
                <w:b w:val="0"/>
                <w:bCs/>
                <w:sz w:val="24"/>
                <w:szCs w:val="24"/>
                <w:lang w:val="en-US" w:eastAsia="zh-CN"/>
              </w:rPr>
              <w:t>请谨慎投标。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CellMar>
            <w:top w:w="0" w:type="dxa"/>
            <w:left w:w="0" w:type="dxa"/>
            <w:bottom w:w="0" w:type="dxa"/>
            <w:right w:w="0" w:type="dxa"/>
          </w:tblCellMar>
        </w:tblPrEx>
        <w:trPr>
          <w:trHeight w:val="726" w:hRule="atLeast"/>
          <w:tblCellSpacing w:w="0" w:type="dxa"/>
          <w:jc w:val="center"/>
        </w:trPr>
        <w:tc>
          <w:tcPr>
            <w:tcW w:w="2175"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eastAsia" w:ascii="宋体" w:hAnsi="宋体" w:eastAsia="宋体" w:cs="宋体"/>
              </w:rPr>
            </w:pPr>
            <w:r>
              <w:rPr>
                <w:rFonts w:hint="eastAsia" w:ascii="宋体" w:hAnsi="宋体" w:cs="宋体"/>
                <w:i w:val="0"/>
                <w:iCs w:val="0"/>
                <w:caps w:val="0"/>
                <w:color w:val="333333"/>
                <w:spacing w:val="15"/>
                <w:sz w:val="24"/>
                <w:szCs w:val="24"/>
                <w:lang w:eastAsia="zh-CN"/>
              </w:rPr>
              <w:t>海恒党群服务中心</w:t>
            </w:r>
          </w:p>
        </w:tc>
        <w:tc>
          <w:tcPr>
            <w:tcW w:w="4403"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default" w:ascii="宋体" w:hAnsi="宋体" w:eastAsia="宋体" w:cs="宋体"/>
                <w:lang w:val="en-US" w:eastAsia="zh-CN"/>
              </w:rPr>
            </w:pPr>
            <w:r>
              <w:rPr>
                <w:rFonts w:hint="eastAsia" w:ascii="宋体" w:hAnsi="宋体" w:eastAsia="宋体" w:cs="宋体"/>
                <w:i w:val="0"/>
                <w:iCs w:val="0"/>
                <w:caps w:val="0"/>
                <w:color w:val="333333"/>
                <w:spacing w:val="15"/>
                <w:sz w:val="24"/>
                <w:szCs w:val="24"/>
                <w:u w:val="single"/>
                <w:lang w:val="en-US" w:eastAsia="zh-CN"/>
              </w:rPr>
              <w:t xml:space="preserve">        </w:t>
            </w:r>
            <w:r>
              <w:rPr>
                <w:rFonts w:hint="eastAsia" w:ascii="宋体" w:hAnsi="宋体" w:eastAsia="宋体" w:cs="宋体"/>
                <w:sz w:val="24"/>
                <w:szCs w:val="24"/>
                <w:lang w:val="en-US" w:eastAsia="zh-CN"/>
              </w:rPr>
              <w:t>元（4次）</w:t>
            </w:r>
          </w:p>
        </w:tc>
        <w:tc>
          <w:tcPr>
            <w:tcW w:w="1665" w:type="dxa"/>
            <w:vMerge w:val="continue"/>
            <w:tcBorders>
              <w:tl2br w:val="nil"/>
              <w:tr2bl w:val="nil"/>
            </w:tcBorders>
            <w:shd w:val="clear" w:color="auto" w:fill="FFFFFF"/>
            <w:tcMar>
              <w:left w:w="105" w:type="dxa"/>
              <w:right w:w="105" w:type="dxa"/>
            </w:tcMar>
            <w:vAlign w:val="center"/>
          </w:tcPr>
          <w:p>
            <w:pPr>
              <w:rPr>
                <w:rFonts w:hint="eastAsia" w:ascii="宋体" w:hAnsi="宋体" w:eastAsia="宋体" w:cs="宋体"/>
                <w:i w:val="0"/>
                <w:iCs w:val="0"/>
                <w:caps w:val="0"/>
                <w:color w:val="333333"/>
                <w:spacing w:val="15"/>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CellMar>
            <w:top w:w="0" w:type="dxa"/>
            <w:left w:w="0" w:type="dxa"/>
            <w:bottom w:w="0" w:type="dxa"/>
            <w:right w:w="0" w:type="dxa"/>
          </w:tblCellMar>
        </w:tblPrEx>
        <w:trPr>
          <w:trHeight w:val="466" w:hRule="atLeast"/>
          <w:tblCellSpacing w:w="0" w:type="dxa"/>
          <w:jc w:val="center"/>
        </w:trPr>
        <w:tc>
          <w:tcPr>
            <w:tcW w:w="2175"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eastAsia" w:ascii="宋体" w:hAnsi="宋体" w:eastAsia="宋体" w:cs="宋体"/>
              </w:rPr>
            </w:pPr>
            <w:r>
              <w:rPr>
                <w:rFonts w:hint="eastAsia" w:ascii="宋体" w:hAnsi="宋体" w:cs="宋体"/>
                <w:lang w:eastAsia="zh-CN"/>
              </w:rPr>
              <w:t>恒创公寓</w:t>
            </w:r>
          </w:p>
        </w:tc>
        <w:tc>
          <w:tcPr>
            <w:tcW w:w="4403"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default" w:ascii="宋体" w:hAnsi="宋体" w:eastAsia="宋体" w:cs="宋体"/>
                <w:lang w:val="en-US"/>
              </w:rPr>
            </w:pPr>
            <w:r>
              <w:rPr>
                <w:rFonts w:hint="eastAsia" w:ascii="宋体" w:hAnsi="宋体" w:eastAsia="宋体" w:cs="宋体"/>
                <w:i w:val="0"/>
                <w:iCs w:val="0"/>
                <w:caps w:val="0"/>
                <w:color w:val="333333"/>
                <w:spacing w:val="15"/>
                <w:sz w:val="24"/>
                <w:szCs w:val="24"/>
                <w:u w:val="single"/>
                <w:lang w:val="en-US" w:eastAsia="zh-CN"/>
              </w:rPr>
              <w:t xml:space="preserve">        </w:t>
            </w:r>
            <w:r>
              <w:rPr>
                <w:rFonts w:hint="eastAsia" w:ascii="宋体" w:hAnsi="宋体" w:eastAsia="宋体" w:cs="宋体"/>
                <w:sz w:val="24"/>
                <w:szCs w:val="24"/>
                <w:lang w:val="en-US" w:eastAsia="zh-CN"/>
              </w:rPr>
              <w:t>元（4次）</w:t>
            </w:r>
          </w:p>
        </w:tc>
        <w:tc>
          <w:tcPr>
            <w:tcW w:w="1665" w:type="dxa"/>
            <w:vMerge w:val="continue"/>
            <w:tcBorders>
              <w:tl2br w:val="nil"/>
              <w:tr2bl w:val="nil"/>
            </w:tcBorders>
            <w:shd w:val="clear" w:color="auto" w:fill="FFFFFF"/>
            <w:tcMar>
              <w:left w:w="105" w:type="dxa"/>
              <w:right w:w="105" w:type="dxa"/>
            </w:tcMar>
            <w:vAlign w:val="center"/>
          </w:tcPr>
          <w:p>
            <w:pPr>
              <w:rPr>
                <w:rFonts w:hint="eastAsia" w:ascii="宋体" w:hAnsi="宋体" w:eastAsia="宋体" w:cs="宋体"/>
                <w:i w:val="0"/>
                <w:iCs w:val="0"/>
                <w:caps w:val="0"/>
                <w:color w:val="333333"/>
                <w:spacing w:val="15"/>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CellMar>
            <w:top w:w="0" w:type="dxa"/>
            <w:left w:w="0" w:type="dxa"/>
            <w:bottom w:w="0" w:type="dxa"/>
            <w:right w:w="0" w:type="dxa"/>
          </w:tblCellMar>
        </w:tblPrEx>
        <w:trPr>
          <w:trHeight w:val="1135" w:hRule="atLeast"/>
          <w:tblCellSpacing w:w="0" w:type="dxa"/>
          <w:jc w:val="center"/>
        </w:trPr>
        <w:tc>
          <w:tcPr>
            <w:tcW w:w="2175"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eastAsia" w:ascii="宋体" w:hAnsi="宋体" w:eastAsia="宋体" w:cs="宋体"/>
                <w:b/>
                <w:bCs/>
              </w:rPr>
            </w:pPr>
            <w:r>
              <w:rPr>
                <w:rFonts w:hint="eastAsia" w:ascii="宋体" w:hAnsi="宋体" w:eastAsia="宋体" w:cs="宋体"/>
                <w:b/>
                <w:bCs/>
                <w:i w:val="0"/>
                <w:iCs w:val="0"/>
                <w:caps w:val="0"/>
                <w:color w:val="333333"/>
                <w:spacing w:val="15"/>
                <w:sz w:val="24"/>
                <w:szCs w:val="24"/>
              </w:rPr>
              <w:t>4次清洗总费用</w:t>
            </w:r>
            <w:r>
              <w:rPr>
                <w:rFonts w:hint="eastAsia" w:ascii="宋体" w:hAnsi="宋体" w:cs="宋体"/>
                <w:b/>
                <w:bCs/>
                <w:i w:val="0"/>
                <w:iCs w:val="0"/>
                <w:caps w:val="0"/>
                <w:color w:val="333333"/>
                <w:spacing w:val="15"/>
                <w:sz w:val="24"/>
                <w:szCs w:val="24"/>
                <w:lang w:eastAsia="zh-CN"/>
              </w:rPr>
              <w:t>（</w:t>
            </w:r>
            <w:r>
              <w:rPr>
                <w:rFonts w:hint="eastAsia" w:ascii="宋体" w:hAnsi="宋体" w:eastAsia="宋体" w:cs="宋体"/>
                <w:b/>
                <w:bCs/>
                <w:i w:val="0"/>
                <w:iCs w:val="0"/>
                <w:caps w:val="0"/>
                <w:color w:val="333333"/>
                <w:spacing w:val="15"/>
                <w:sz w:val="24"/>
                <w:szCs w:val="24"/>
              </w:rPr>
              <w:t>总计</w:t>
            </w:r>
            <w:r>
              <w:rPr>
                <w:rFonts w:hint="eastAsia" w:ascii="宋体" w:hAnsi="宋体" w:cs="宋体"/>
                <w:b/>
                <w:bCs/>
                <w:i w:val="0"/>
                <w:iCs w:val="0"/>
                <w:caps w:val="0"/>
                <w:color w:val="333333"/>
                <w:spacing w:val="15"/>
                <w:sz w:val="24"/>
                <w:szCs w:val="24"/>
                <w:lang w:eastAsia="zh-CN"/>
              </w:rPr>
              <w:t>）</w:t>
            </w:r>
          </w:p>
        </w:tc>
        <w:tc>
          <w:tcPr>
            <w:tcW w:w="4403" w:type="dxa"/>
            <w:tcBorders>
              <w:tl2br w:val="nil"/>
              <w:tr2bl w:val="nil"/>
            </w:tcBorders>
            <w:shd w:val="clear" w:color="auto" w:fill="FFFFFF"/>
            <w:tcMar>
              <w:left w:w="105" w:type="dxa"/>
              <w:right w:w="105" w:type="dxa"/>
            </w:tcMar>
            <w:vAlign w:val="center"/>
          </w:tcPr>
          <w:p>
            <w:pPr>
              <w:pStyle w:val="14"/>
              <w:keepNext w:val="0"/>
              <w:keepLines w:val="0"/>
              <w:widowControl/>
              <w:suppressLineNumbers w:val="0"/>
              <w:ind w:left="0" w:leftChars="0" w:right="0" w:rightChars="0"/>
              <w:jc w:val="center"/>
              <w:rPr>
                <w:rFonts w:hint="eastAsia" w:ascii="宋体" w:hAnsi="宋体" w:eastAsia="宋体" w:cs="宋体"/>
                <w:b/>
                <w:bCs/>
              </w:rPr>
            </w:pPr>
            <w:r>
              <w:rPr>
                <w:rFonts w:hint="eastAsia" w:ascii="宋体" w:hAnsi="宋体" w:eastAsia="宋体" w:cs="宋体"/>
                <w:b/>
                <w:bCs/>
                <w:i w:val="0"/>
                <w:iCs w:val="0"/>
                <w:caps w:val="0"/>
                <w:color w:val="333333"/>
                <w:spacing w:val="15"/>
                <w:sz w:val="24"/>
                <w:szCs w:val="24"/>
                <w:u w:val="single"/>
                <w:lang w:val="en-US" w:eastAsia="zh-CN"/>
              </w:rPr>
              <w:t xml:space="preserve">              </w:t>
            </w:r>
            <w:r>
              <w:rPr>
                <w:rFonts w:hint="eastAsia" w:ascii="宋体" w:hAnsi="宋体" w:eastAsia="宋体" w:cs="宋体"/>
                <w:b/>
                <w:bCs/>
                <w:sz w:val="24"/>
                <w:szCs w:val="24"/>
                <w:lang w:val="en-US" w:eastAsia="zh-CN"/>
              </w:rPr>
              <w:t>元</w:t>
            </w:r>
          </w:p>
        </w:tc>
        <w:tc>
          <w:tcPr>
            <w:tcW w:w="1665" w:type="dxa"/>
            <w:vMerge w:val="continue"/>
            <w:tcBorders>
              <w:tl2br w:val="nil"/>
              <w:tr2bl w:val="nil"/>
            </w:tcBorders>
            <w:shd w:val="clear" w:color="auto" w:fill="FFFFFF"/>
            <w:tcMar>
              <w:left w:w="105" w:type="dxa"/>
              <w:right w:w="105" w:type="dxa"/>
            </w:tcMar>
            <w:vAlign w:val="center"/>
          </w:tcPr>
          <w:p>
            <w:pPr>
              <w:rPr>
                <w:rFonts w:hint="eastAsia" w:ascii="宋体" w:hAnsi="宋体" w:eastAsia="宋体" w:cs="宋体"/>
                <w:i w:val="0"/>
                <w:iCs w:val="0"/>
                <w:caps w:val="0"/>
                <w:color w:val="333333"/>
                <w:spacing w:val="15"/>
                <w:sz w:val="21"/>
                <w:szCs w:val="21"/>
              </w:rPr>
            </w:pPr>
          </w:p>
        </w:tc>
      </w:tr>
    </w:tbl>
    <w:p>
      <w:pPr>
        <w:snapToGrid w:val="0"/>
        <w:spacing w:after="156" w:afterLines="50" w:line="360" w:lineRule="auto"/>
        <w:jc w:val="left"/>
        <w:rPr>
          <w:rFonts w:hAnsi="宋体"/>
          <w:b/>
          <w:bCs/>
          <w:color w:val="000000"/>
          <w:szCs w:val="28"/>
          <w:u w:val="single"/>
        </w:rPr>
      </w:pPr>
    </w:p>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bookmarkStart w:id="8" w:name="_GoBack"/>
      <w:bookmarkEnd w:id="8"/>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服务需求</w:t>
      </w:r>
    </w:p>
    <w:p>
      <w:pPr>
        <w:jc w:val="both"/>
        <w:rPr>
          <w:rFonts w:hint="eastAsia" w:ascii="宋体" w:hAnsi="宋体" w:eastAsia="宋体" w:cs="宋体"/>
          <w:sz w:val="24"/>
          <w:szCs w:val="24"/>
          <w:lang w:eastAsia="zh-CN"/>
        </w:rPr>
      </w:pPr>
    </w:p>
    <w:p>
      <w:pPr>
        <w:numPr>
          <w:ilvl w:val="0"/>
          <w:numId w:val="1"/>
        </w:numPr>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项目概况</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物业管理中心现有3个管理处二次供水水箱属于自管，共有4个。根据《合肥市二次供水管理办法》，水箱应定期进行清理、消毒、水质检测，每季度不得少于1次。现需一家有资质的单位对三个管理处的4个二次供水水箱每季度进行清洗、消毒，并将水样送检，取得水质检测合格报告。</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二、项目明细</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对物业管理中心现有的三个管理处二次供水水箱（共4个，数量、尺寸分别为：海恒大厦1个，尺寸为4m×4m×2m；海恒党群服务中心1个，尺寸为1.5m×1.5m×2.5m；恒创公寓2个，尺寸分别为7m×5m×2.5m、4m×3m×2.5m）进行清洗、消毒，并将水样送检，每个管理处取得纸质版水质检测合格报告7份。</w:t>
      </w:r>
    </w:p>
    <w:p>
      <w:pPr>
        <w:numPr>
          <w:ilvl w:val="0"/>
          <w:numId w:val="0"/>
        </w:numPr>
        <w:spacing w:line="360" w:lineRule="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三、工期要求</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1、清洗消毒频次为每季度一次，具体时间由采购方确定。</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2、接到采购方通知后，服务单位在3天内完成该批次清洗、消毒工作。</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四、施工联系人</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海恒大厦:          联系人汪小红，电话17756076035</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海恒党群服务中心： 联系人范晓燕，电话15956937688</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恒创公寓：         联系人胡章恒，电话15305609988</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统筹负责：         联系人祁兵，  电话13514979944</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五、投标单位资格要求</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1、需具备有效的营业执照或事业单位法人证书，经营范围需含有二次供水设施清洗消毒。</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2、清洗、消毒从业人员的健康检查合格证明。</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3、2022年4月以来的成功案例(以合同签订日期为准，不少于3份)。</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六、服务单位具体要求</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1、严禁串标。</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2、要求按包工、包料、包设备、包人员安全、包质量、包工期、包风险等所有费用全部承包的方式为采购方服务。</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3、水箱清洗、</w:t>
      </w:r>
      <w:r>
        <w:rPr>
          <w:rFonts w:hint="eastAsia" w:ascii="宋体" w:hAnsi="宋体" w:cs="宋体"/>
          <w:sz w:val="24"/>
        </w:rPr>
        <w:t>消毒</w:t>
      </w:r>
      <w:r>
        <w:rPr>
          <w:rFonts w:hint="eastAsia" w:ascii="宋体" w:hAnsi="宋体" w:cs="宋体"/>
          <w:sz w:val="24"/>
          <w:lang w:eastAsia="zh-CN"/>
        </w:rPr>
        <w:t>的</w:t>
      </w:r>
      <w:r>
        <w:rPr>
          <w:rFonts w:hint="eastAsia" w:ascii="宋体" w:hAnsi="宋体" w:cs="宋体"/>
          <w:sz w:val="24"/>
        </w:rPr>
        <w:t>药械</w:t>
      </w:r>
      <w:r>
        <w:rPr>
          <w:rFonts w:hint="eastAsia" w:ascii="宋体" w:hAnsi="宋体" w:cs="宋体"/>
          <w:sz w:val="24"/>
          <w:lang w:eastAsia="zh-CN"/>
        </w:rPr>
        <w:t>使用和消毒剂配置需符合国家规定</w:t>
      </w:r>
      <w:r>
        <w:rPr>
          <w:rFonts w:hint="eastAsia" w:ascii="宋体" w:hAnsi="宋体" w:eastAsia="宋体" w:cs="宋体"/>
          <w:b w:val="0"/>
          <w:bCs/>
          <w:sz w:val="24"/>
          <w:szCs w:val="24"/>
          <w:lang w:val="en-US" w:eastAsia="zh-CN"/>
        </w:rPr>
        <w:t>。</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4、服务单位必须接受采购方的验收认定，如采购方对服务单位清洗施工验收不合格的，服务单位必须立即组织整改，并达到采购方的要求。</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5、服务单位的清洗消毒工作不符合要求时，采购方有权要求服务单位限期保质整改完成，如服务单位未在采购方限定期限内整改完成的，采购方有权安排其他单位进行施工，所发生费用由服务单位全部承担</w:t>
      </w:r>
      <w:r>
        <w:rPr>
          <w:rFonts w:hint="eastAsia" w:ascii="宋体" w:hAnsi="宋体" w:cs="宋体"/>
          <w:sz w:val="24"/>
          <w:lang w:eastAsia="zh-CN"/>
        </w:rPr>
        <w:t>（从采购方应支付的费用中扣除）</w:t>
      </w:r>
      <w:r>
        <w:rPr>
          <w:rFonts w:hint="eastAsia" w:ascii="宋体" w:hAnsi="宋体" w:eastAsia="宋体" w:cs="宋体"/>
          <w:b w:val="0"/>
          <w:bCs/>
          <w:sz w:val="24"/>
          <w:szCs w:val="24"/>
          <w:lang w:val="en-US" w:eastAsia="zh-CN"/>
        </w:rPr>
        <w:t>。</w:t>
      </w:r>
    </w:p>
    <w:p>
      <w:pPr>
        <w:numPr>
          <w:ilvl w:val="0"/>
          <w:numId w:val="0"/>
        </w:numPr>
        <w:spacing w:line="360" w:lineRule="auto"/>
        <w:ind w:firstLine="480"/>
        <w:rPr>
          <w:rFonts w:hint="eastAsia" w:ascii="宋体" w:hAnsi="宋体" w:cs="宋体" w:eastAsiaTheme="minorEastAsia"/>
          <w:b w:val="0"/>
          <w:bCs/>
          <w:sz w:val="24"/>
          <w:szCs w:val="24"/>
          <w:lang w:val="en-US" w:eastAsia="zh-CN"/>
        </w:rPr>
      </w:pPr>
      <w:r>
        <w:rPr>
          <w:rFonts w:hint="eastAsia" w:ascii="宋体" w:hAnsi="宋体" w:eastAsia="宋体" w:cs="宋体"/>
          <w:b w:val="0"/>
          <w:bCs/>
          <w:sz w:val="24"/>
          <w:szCs w:val="24"/>
          <w:lang w:val="en-US" w:eastAsia="zh-CN"/>
        </w:rPr>
        <w:t>6、</w:t>
      </w:r>
      <w:r>
        <w:rPr>
          <w:rFonts w:hint="eastAsia" w:ascii="宋体" w:hAnsi="宋体" w:cs="宋体"/>
          <w:sz w:val="24"/>
          <w:u w:val="none"/>
        </w:rPr>
        <w:t>如因清洗</w:t>
      </w:r>
      <w:r>
        <w:rPr>
          <w:rFonts w:hint="eastAsia" w:ascii="宋体" w:hAnsi="宋体" w:cs="宋体"/>
          <w:sz w:val="24"/>
          <w:u w:val="none"/>
          <w:lang w:eastAsia="zh-CN"/>
        </w:rPr>
        <w:t>、消毒</w:t>
      </w:r>
      <w:r>
        <w:rPr>
          <w:rFonts w:hint="eastAsia" w:ascii="宋体" w:hAnsi="宋体" w:cs="宋体"/>
          <w:sz w:val="24"/>
          <w:u w:val="none"/>
        </w:rPr>
        <w:t>未达到卫生标准（包括药物毒素超标等）给</w:t>
      </w:r>
      <w:r>
        <w:rPr>
          <w:rFonts w:hint="eastAsia" w:ascii="宋体" w:hAnsi="宋体" w:cs="宋体"/>
          <w:sz w:val="24"/>
          <w:u w:val="none"/>
          <w:lang w:eastAsia="zh-CN"/>
        </w:rPr>
        <w:t>采购方</w:t>
      </w:r>
      <w:r>
        <w:rPr>
          <w:rFonts w:hint="eastAsia" w:ascii="宋体" w:hAnsi="宋体" w:cs="宋体"/>
          <w:sz w:val="24"/>
          <w:u w:val="none"/>
        </w:rPr>
        <w:t>及第三方造成损失的，由</w:t>
      </w:r>
      <w:r>
        <w:rPr>
          <w:rFonts w:hint="eastAsia" w:ascii="宋体" w:hAnsi="宋体" w:cs="宋体"/>
          <w:sz w:val="24"/>
          <w:u w:val="none"/>
          <w:lang w:eastAsia="zh-CN"/>
        </w:rPr>
        <w:t>服务单位</w:t>
      </w:r>
      <w:r>
        <w:rPr>
          <w:rFonts w:hint="eastAsia" w:ascii="宋体" w:hAnsi="宋体" w:cs="宋体"/>
          <w:sz w:val="24"/>
          <w:u w:val="none"/>
        </w:rPr>
        <w:t>负全部的赔偿责任，包括直接和间接损失</w:t>
      </w:r>
      <w:r>
        <w:rPr>
          <w:rFonts w:hint="eastAsia" w:ascii="宋体" w:hAnsi="宋体" w:cs="宋体"/>
          <w:sz w:val="24"/>
          <w:u w:val="none"/>
          <w:lang w:eastAsia="zh-CN"/>
        </w:rPr>
        <w:t>。</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七、服务单位服务范围及内容</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（一）清洗</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1、确定清洗、消毒时间后，应提前一天告知采购方作业所需要的时间和停水时间，便于采购方通知用户做好储水准备。</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2、应提前了解供水系统的运转情况，掌握水箱的数量、材质和贮水吨位，确定接电部位及清洗所需的人力、物力与设备，并相应做好一切准备工作。</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3、进入现场后接好电源，检查是否通电或漏电，有无安全隐患;按时间停止水箱进水，然后放置水泵抽水、排水、并随时观察排水情况。</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待水箱的余水在12cm—20cm时，清洗人员须做缺氧试验、穿戴好安全防护用品、安装通风及照明装置（照明采用锂电充电头灯）进入箱内（严禁赤脚和穿自己的衣服），依次从水箱顶部→四周箱壁(尤其是箱壁结合有折隙的地方)→箱底→箱底水槽进行刷洗和除锈，直至水箱壁达到用手触摸无腻滑感为止，抽干脏水。</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（二）消毒</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1、清洗干净后，撤出水泵，断开电源，做好消毒准备工作。</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2、依据水箱储水量</w:t>
      </w:r>
      <w:r>
        <w:rPr>
          <w:rFonts w:hint="eastAsia" w:ascii="宋体" w:hAnsi="宋体" w:cs="宋体"/>
          <w:b w:val="0"/>
          <w:bCs/>
          <w:sz w:val="24"/>
          <w:szCs w:val="24"/>
          <w:lang w:val="en-US" w:eastAsia="zh-CN"/>
        </w:rPr>
        <w:t>配置消毒剂</w:t>
      </w:r>
      <w:r>
        <w:rPr>
          <w:rFonts w:hint="eastAsia" w:ascii="宋体" w:hAnsi="宋体" w:eastAsia="宋体" w:cs="宋体"/>
          <w:b w:val="0"/>
          <w:bCs/>
          <w:sz w:val="24"/>
          <w:szCs w:val="24"/>
          <w:lang w:val="en-US" w:eastAsia="zh-CN"/>
        </w:rPr>
        <w:t>，罐装</w:t>
      </w:r>
      <w:r>
        <w:rPr>
          <w:rFonts w:hint="eastAsia" w:ascii="宋体" w:hAnsi="宋体" w:cs="宋体"/>
          <w:b w:val="0"/>
          <w:bCs/>
          <w:sz w:val="24"/>
          <w:szCs w:val="24"/>
          <w:lang w:val="en-US" w:eastAsia="zh-CN"/>
        </w:rPr>
        <w:t>到</w:t>
      </w:r>
      <w:r>
        <w:rPr>
          <w:rFonts w:hint="eastAsia" w:ascii="宋体" w:hAnsi="宋体" w:eastAsia="宋体" w:cs="宋体"/>
          <w:b w:val="0"/>
          <w:bCs/>
          <w:sz w:val="24"/>
          <w:szCs w:val="24"/>
          <w:lang w:val="en-US" w:eastAsia="zh-CN"/>
        </w:rPr>
        <w:t>压缩式喷雾器内，消毒员穿戴好安全防护用品进入箱内依次从顶部→四周箱壁→箱底→箱底水槽进行从上至下均匀喷洒消毒，退出水箱(不能涉足已消毒的地方)。</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3、盖好进出孔盖消毒 30分钟后，再放水入箱，清洗干净残留药物。</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4、开进水阀送水，对饮用水进行消毒。</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5、对水箱周围卫生进行清扫。</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（三）水质检测：</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1、水箱清洗消毒后7日内取水送检，采样点应包括水箱进水、出水、水箱末梢水（1-2个采样点）。</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将水样</w:t>
      </w:r>
      <w:r>
        <w:rPr>
          <w:rFonts w:hint="eastAsia" w:ascii="宋体" w:hAnsi="宋体" w:eastAsia="宋体" w:cs="宋体"/>
          <w:b w:val="0"/>
          <w:bCs/>
          <w:sz w:val="24"/>
          <w:szCs w:val="24"/>
          <w:lang w:val="en-US" w:eastAsia="zh-CN"/>
        </w:rPr>
        <w:t>送交疾病预防控制中心或有CMA认证的第三方检测机构进行水质检测。</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3、疾病预防控制中心或第三方检测机构</w:t>
      </w:r>
      <w:r>
        <w:rPr>
          <w:rFonts w:hint="eastAsia" w:ascii="宋体" w:hAnsi="宋体" w:cs="宋体"/>
          <w:b w:val="0"/>
          <w:bCs/>
          <w:sz w:val="24"/>
          <w:szCs w:val="24"/>
          <w:lang w:val="en-US" w:eastAsia="zh-CN"/>
        </w:rPr>
        <w:t>出具水质检测报告后2个工作日内，</w:t>
      </w:r>
      <w:r>
        <w:rPr>
          <w:rFonts w:hint="eastAsia" w:ascii="宋体" w:hAnsi="宋体" w:eastAsia="宋体" w:cs="宋体"/>
          <w:b w:val="0"/>
          <w:bCs/>
          <w:sz w:val="24"/>
          <w:szCs w:val="24"/>
          <w:lang w:val="en-US" w:eastAsia="zh-CN"/>
        </w:rPr>
        <w:t>取化验合格报告送交</w:t>
      </w:r>
      <w:r>
        <w:rPr>
          <w:rFonts w:hint="eastAsia" w:ascii="宋体" w:hAnsi="宋体" w:cs="宋体"/>
          <w:b w:val="0"/>
          <w:bCs/>
          <w:sz w:val="24"/>
          <w:szCs w:val="24"/>
          <w:lang w:val="en-US" w:eastAsia="zh-CN"/>
        </w:rPr>
        <w:t xml:space="preserve">甲方 </w:t>
      </w:r>
      <w:r>
        <w:rPr>
          <w:rFonts w:hint="eastAsia" w:ascii="宋体" w:hAnsi="宋体" w:eastAsia="宋体" w:cs="宋体"/>
          <w:b w:val="0"/>
          <w:bCs/>
          <w:sz w:val="24"/>
          <w:szCs w:val="24"/>
          <w:lang w:val="en-US" w:eastAsia="zh-CN"/>
        </w:rPr>
        <w:t>。</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4、水质检测需符合《二次供水设施卫生规范》，</w:t>
      </w:r>
      <w:r>
        <w:rPr>
          <w:rFonts w:hint="eastAsia" w:ascii="宋体" w:hAnsi="宋体" w:eastAsia="宋体" w:cs="宋体"/>
          <w:b/>
          <w:bCs w:val="0"/>
          <w:sz w:val="24"/>
          <w:szCs w:val="24"/>
          <w:lang w:val="en-US" w:eastAsia="zh-CN"/>
        </w:rPr>
        <w:t>必测项目需在水质检测报告中明确体现，包括：色度、浊度、嗅味及肉眼可见物、pH值、大肠菌群、细菌总数、余氯、氨氮、亚硝酸盐氮、耗氧量。</w:t>
      </w:r>
    </w:p>
    <w:p>
      <w:pPr>
        <w:numPr>
          <w:ilvl w:val="0"/>
          <w:numId w:val="0"/>
        </w:numPr>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八、预算金额</w:t>
      </w:r>
    </w:p>
    <w:p>
      <w:pPr>
        <w:numPr>
          <w:ilvl w:val="0"/>
          <w:numId w:val="0"/>
        </w:numPr>
        <w:ind w:leftChars="0"/>
        <w:jc w:val="center"/>
        <w:rPr>
          <w:rFonts w:hint="eastAsia" w:ascii="宋体" w:hAnsi="宋体" w:eastAsia="宋体" w:cs="宋体"/>
          <w:b w:val="0"/>
          <w:bCs/>
          <w:sz w:val="24"/>
          <w:szCs w:val="24"/>
          <w:lang w:val="en-US" w:eastAsia="zh-CN"/>
        </w:rPr>
      </w:pPr>
    </w:p>
    <w:p>
      <w:pPr>
        <w:numPr>
          <w:ilvl w:val="0"/>
          <w:numId w:val="0"/>
        </w:numPr>
        <w:ind w:leftChars="0"/>
        <w:jc w:val="center"/>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单次</w:t>
      </w:r>
      <w:r>
        <w:rPr>
          <w:rFonts w:hint="eastAsia" w:ascii="宋体" w:hAnsi="宋体" w:eastAsia="宋体" w:cs="宋体"/>
          <w:b w:val="0"/>
          <w:bCs/>
          <w:sz w:val="24"/>
          <w:szCs w:val="24"/>
          <w:lang w:val="en-US" w:eastAsia="zh-CN"/>
        </w:rPr>
        <w:t>水箱清洗消毒检测</w:t>
      </w:r>
      <w:r>
        <w:rPr>
          <w:rFonts w:hint="eastAsia" w:ascii="宋体" w:hAnsi="宋体" w:eastAsia="宋体" w:cs="宋体"/>
          <w:b/>
          <w:bCs w:val="0"/>
          <w:sz w:val="24"/>
          <w:szCs w:val="24"/>
          <w:lang w:val="en-US" w:eastAsia="zh-CN"/>
        </w:rPr>
        <w:t>预算</w:t>
      </w:r>
      <w:r>
        <w:rPr>
          <w:rFonts w:hint="eastAsia" w:ascii="宋体" w:hAnsi="宋体" w:eastAsia="宋体" w:cs="宋体"/>
          <w:b w:val="0"/>
          <w:bCs/>
          <w:sz w:val="24"/>
          <w:szCs w:val="24"/>
          <w:lang w:val="en-US" w:eastAsia="zh-CN"/>
        </w:rPr>
        <w:t>费用</w:t>
      </w:r>
    </w:p>
    <w:tbl>
      <w:tblPr>
        <w:tblStyle w:val="18"/>
        <w:tblpPr w:leftFromText="180" w:rightFromText="180" w:vertAnchor="text" w:horzAnchor="page" w:tblpXSpec="center" w:tblpY="210"/>
        <w:tblOverlap w:val="never"/>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266"/>
        <w:gridCol w:w="1815"/>
        <w:gridCol w:w="1119"/>
        <w:gridCol w:w="15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项目地点</w:t>
            </w:r>
          </w:p>
        </w:tc>
        <w:tc>
          <w:tcPr>
            <w:tcW w:w="1266"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水箱数量（个）</w:t>
            </w:r>
          </w:p>
        </w:tc>
        <w:tc>
          <w:tcPr>
            <w:tcW w:w="1815"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水箱尺寸</w:t>
            </w:r>
          </w:p>
        </w:tc>
        <w:tc>
          <w:tcPr>
            <w:tcW w:w="1119"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水箱体积（m³）</w:t>
            </w:r>
          </w:p>
        </w:tc>
        <w:tc>
          <w:tcPr>
            <w:tcW w:w="1534"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清洗单价（元/m³）</w:t>
            </w:r>
          </w:p>
        </w:tc>
        <w:tc>
          <w:tcPr>
            <w:tcW w:w="1605"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18"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海恒大厦</w:t>
            </w:r>
          </w:p>
        </w:tc>
        <w:tc>
          <w:tcPr>
            <w:tcW w:w="1266"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815"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4m×4m×2m</w:t>
            </w:r>
          </w:p>
        </w:tc>
        <w:tc>
          <w:tcPr>
            <w:tcW w:w="1119"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32</w:t>
            </w:r>
          </w:p>
        </w:tc>
        <w:tc>
          <w:tcPr>
            <w:tcW w:w="1534" w:type="dxa"/>
            <w:vAlign w:val="center"/>
          </w:tcPr>
          <w:p>
            <w:pPr>
              <w:numPr>
                <w:ilvl w:val="0"/>
                <w:numId w:val="0"/>
              </w:numPr>
              <w:ind w:left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w:t>
            </w:r>
          </w:p>
        </w:tc>
        <w:tc>
          <w:tcPr>
            <w:tcW w:w="1605" w:type="dxa"/>
            <w:vAlign w:val="center"/>
          </w:tcPr>
          <w:p>
            <w:pPr>
              <w:numPr>
                <w:ilvl w:val="0"/>
                <w:numId w:val="0"/>
              </w:numPr>
              <w:ind w:left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8"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海恒党群服务中心</w:t>
            </w:r>
          </w:p>
        </w:tc>
        <w:tc>
          <w:tcPr>
            <w:tcW w:w="1266"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815"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1.5m×1.5m×2.5m</w:t>
            </w:r>
          </w:p>
        </w:tc>
        <w:tc>
          <w:tcPr>
            <w:tcW w:w="1119"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5.625</w:t>
            </w:r>
          </w:p>
        </w:tc>
        <w:tc>
          <w:tcPr>
            <w:tcW w:w="1534" w:type="dxa"/>
            <w:vAlign w:val="center"/>
          </w:tcPr>
          <w:p>
            <w:pPr>
              <w:numPr>
                <w:ilvl w:val="0"/>
                <w:numId w:val="0"/>
              </w:numPr>
              <w:ind w:left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w:t>
            </w:r>
          </w:p>
        </w:tc>
        <w:tc>
          <w:tcPr>
            <w:tcW w:w="1605" w:type="dxa"/>
            <w:vAlign w:val="center"/>
          </w:tcPr>
          <w:p>
            <w:pPr>
              <w:numPr>
                <w:ilvl w:val="0"/>
                <w:numId w:val="0"/>
              </w:numPr>
              <w:ind w:left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151.875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恒创公寓</w:t>
            </w:r>
          </w:p>
        </w:tc>
        <w:tc>
          <w:tcPr>
            <w:tcW w:w="1266"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1815"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7m×5m×2.5m</w:t>
            </w:r>
          </w:p>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4m×3m×2.5m</w:t>
            </w:r>
          </w:p>
        </w:tc>
        <w:tc>
          <w:tcPr>
            <w:tcW w:w="1119"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117.5</w:t>
            </w:r>
          </w:p>
        </w:tc>
        <w:tc>
          <w:tcPr>
            <w:tcW w:w="1534" w:type="dxa"/>
            <w:vAlign w:val="center"/>
          </w:tcPr>
          <w:p>
            <w:pPr>
              <w:numPr>
                <w:ilvl w:val="0"/>
                <w:numId w:val="0"/>
              </w:numPr>
              <w:ind w:left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w:t>
            </w:r>
          </w:p>
        </w:tc>
        <w:tc>
          <w:tcPr>
            <w:tcW w:w="1605" w:type="dxa"/>
            <w:vAlign w:val="center"/>
          </w:tcPr>
          <w:p>
            <w:pPr>
              <w:numPr>
                <w:ilvl w:val="0"/>
                <w:numId w:val="0"/>
              </w:numPr>
              <w:ind w:left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3172.50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18"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合计</w:t>
            </w:r>
          </w:p>
        </w:tc>
        <w:tc>
          <w:tcPr>
            <w:tcW w:w="1266"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1815" w:type="dxa"/>
            <w:vAlign w:val="center"/>
          </w:tcPr>
          <w:p>
            <w:pPr>
              <w:numPr>
                <w:ilvl w:val="0"/>
                <w:numId w:val="0"/>
              </w:numPr>
              <w:ind w:leftChars="0"/>
              <w:jc w:val="center"/>
              <w:rPr>
                <w:rFonts w:hint="eastAsia" w:ascii="宋体" w:hAnsi="宋体" w:eastAsia="宋体" w:cs="宋体"/>
                <w:b w:val="0"/>
                <w:bCs/>
                <w:sz w:val="24"/>
                <w:szCs w:val="24"/>
                <w:lang w:val="en-US" w:eastAsia="zh-CN"/>
              </w:rPr>
            </w:pPr>
          </w:p>
        </w:tc>
        <w:tc>
          <w:tcPr>
            <w:tcW w:w="1119" w:type="dxa"/>
            <w:vAlign w:val="center"/>
          </w:tcPr>
          <w:p>
            <w:pPr>
              <w:numPr>
                <w:ilvl w:val="0"/>
                <w:numId w:val="0"/>
              </w:numPr>
              <w:ind w:left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155.125</w:t>
            </w:r>
          </w:p>
        </w:tc>
        <w:tc>
          <w:tcPr>
            <w:tcW w:w="1534" w:type="dxa"/>
            <w:vAlign w:val="center"/>
          </w:tcPr>
          <w:p>
            <w:pPr>
              <w:numPr>
                <w:ilvl w:val="0"/>
                <w:numId w:val="0"/>
              </w:numPr>
              <w:ind w:leftChars="0"/>
              <w:jc w:val="center"/>
              <w:rPr>
                <w:rFonts w:hint="eastAsia" w:ascii="宋体" w:hAnsi="宋体" w:eastAsia="宋体" w:cs="宋体"/>
                <w:b w:val="0"/>
                <w:bCs/>
                <w:sz w:val="24"/>
                <w:szCs w:val="24"/>
                <w:lang w:val="en-US" w:eastAsia="zh-CN"/>
              </w:rPr>
            </w:pPr>
          </w:p>
        </w:tc>
        <w:tc>
          <w:tcPr>
            <w:tcW w:w="1605" w:type="dxa"/>
            <w:vAlign w:val="center"/>
          </w:tcPr>
          <w:p>
            <w:pPr>
              <w:numPr>
                <w:ilvl w:val="0"/>
                <w:numId w:val="0"/>
              </w:numPr>
              <w:ind w:left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4188.375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71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c>
          <w:tcPr>
            <w:tcW w:w="7339" w:type="dxa"/>
            <w:gridSpan w:val="5"/>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此价格包含水样送检及水质检测报告费用</w:t>
            </w:r>
          </w:p>
        </w:tc>
      </w:tr>
    </w:tbl>
    <w:p>
      <w:pPr>
        <w:widowControl w:val="0"/>
        <w:numPr>
          <w:ilvl w:val="0"/>
          <w:numId w:val="0"/>
        </w:numPr>
        <w:ind w:firstLine="480" w:firstLineChars="200"/>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eastAsia" w:ascii="宋体" w:hAnsi="宋体" w:eastAsia="宋体" w:cs="宋体"/>
          <w:sz w:val="24"/>
          <w:szCs w:val="24"/>
          <w:lang w:val="en-US" w:eastAsia="zh-CN"/>
        </w:rPr>
      </w:pPr>
    </w:p>
    <w:p>
      <w:pPr>
        <w:numPr>
          <w:ilvl w:val="0"/>
          <w:numId w:val="0"/>
        </w:numPr>
        <w:ind w:leftChars="0"/>
        <w:jc w:val="center"/>
        <w:rPr>
          <w:rFonts w:hint="eastAsia" w:ascii="宋体" w:hAnsi="宋体" w:eastAsia="宋体" w:cs="宋体"/>
          <w:sz w:val="24"/>
          <w:szCs w:val="24"/>
          <w:lang w:val="en-US" w:eastAsia="zh-CN"/>
        </w:rPr>
      </w:pPr>
    </w:p>
    <w:p>
      <w:pPr>
        <w:numPr>
          <w:ilvl w:val="0"/>
          <w:numId w:val="0"/>
        </w:numPr>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合同期内4次水箱清洗消毒检测预算费用</w:t>
      </w:r>
    </w:p>
    <w:tbl>
      <w:tblPr>
        <w:tblStyle w:val="18"/>
        <w:tblpPr w:leftFromText="180" w:rightFromText="180" w:vertAnchor="text" w:horzAnchor="page" w:tblpX="2302" w:tblpY="210"/>
        <w:tblOverlap w:val="never"/>
        <w:tblW w:w="8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8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第一次清洗消毒费用（含检测）</w:t>
            </w:r>
          </w:p>
        </w:tc>
        <w:tc>
          <w:tcPr>
            <w:tcW w:w="612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single"/>
                <w:lang w:val="en-US" w:eastAsia="zh-CN"/>
              </w:rPr>
              <w:t>¥4188.375</w:t>
            </w:r>
            <w:r>
              <w:rPr>
                <w:rFonts w:hint="eastAsia" w:ascii="宋体" w:hAnsi="宋体" w:eastAsia="宋体" w:cs="宋体"/>
                <w:sz w:val="24"/>
                <w:szCs w:val="24"/>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第二次清洗消毒费用（含检测）</w:t>
            </w:r>
          </w:p>
        </w:tc>
        <w:tc>
          <w:tcPr>
            <w:tcW w:w="612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single"/>
                <w:lang w:val="en-US" w:eastAsia="zh-CN"/>
              </w:rPr>
              <w:t>¥4188.375</w:t>
            </w:r>
            <w:r>
              <w:rPr>
                <w:rFonts w:hint="eastAsia" w:ascii="宋体" w:hAnsi="宋体" w:eastAsia="宋体" w:cs="宋体"/>
                <w:sz w:val="24"/>
                <w:szCs w:val="24"/>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第三次清洗消毒费用（含检测）</w:t>
            </w:r>
          </w:p>
        </w:tc>
        <w:tc>
          <w:tcPr>
            <w:tcW w:w="612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single"/>
                <w:lang w:val="en-US" w:eastAsia="zh-CN"/>
              </w:rPr>
              <w:t>¥4188.375</w:t>
            </w:r>
            <w:r>
              <w:rPr>
                <w:rFonts w:hint="eastAsia" w:ascii="宋体" w:hAnsi="宋体" w:eastAsia="宋体" w:cs="宋体"/>
                <w:sz w:val="24"/>
                <w:szCs w:val="24"/>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第四次清洗消毒费用（含检测）</w:t>
            </w:r>
          </w:p>
        </w:tc>
        <w:tc>
          <w:tcPr>
            <w:tcW w:w="612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single"/>
                <w:lang w:val="en-US" w:eastAsia="zh-CN"/>
              </w:rPr>
              <w:t>¥4188.375</w:t>
            </w:r>
            <w:r>
              <w:rPr>
                <w:rFonts w:hint="eastAsia" w:ascii="宋体" w:hAnsi="宋体" w:eastAsia="宋体" w:cs="宋体"/>
                <w:sz w:val="24"/>
                <w:szCs w:val="24"/>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总计（4次水箱清洗消毒检测总费用）</w:t>
            </w:r>
          </w:p>
        </w:tc>
        <w:tc>
          <w:tcPr>
            <w:tcW w:w="6120" w:type="dxa"/>
            <w:vAlign w:val="center"/>
          </w:tcPr>
          <w:p>
            <w:pPr>
              <w:widowControl w:val="0"/>
              <w:numPr>
                <w:ilvl w:val="0"/>
                <w:numId w:val="0"/>
              </w:numPr>
              <w:jc w:val="center"/>
              <w:rPr>
                <w:rFonts w:hint="eastAsia" w:ascii="宋体" w:hAnsi="宋体" w:eastAsia="宋体" w:cs="宋体"/>
                <w:sz w:val="24"/>
                <w:szCs w:val="24"/>
                <w:u w:val="single"/>
                <w:lang w:val="en-US" w:eastAsia="zh-CN"/>
              </w:rPr>
            </w:pPr>
            <w:r>
              <w:rPr>
                <w:rFonts w:hint="eastAsia" w:ascii="宋体" w:hAnsi="宋体" w:eastAsia="宋体" w:cs="宋体"/>
                <w:b/>
                <w:bCs/>
                <w:sz w:val="28"/>
                <w:szCs w:val="28"/>
                <w:u w:val="single"/>
                <w:lang w:val="en-US" w:eastAsia="zh-CN"/>
              </w:rPr>
              <w:t>¥16753.5元（大写：壹万陆仟柒佰伍拾叁元伍角）</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注：本项目年度预算1.67535万元，投标人报价不得超过年度预算。未按要求报价的投标无效。</w:t>
      </w:r>
    </w:p>
    <w:p>
      <w:pPr>
        <w:numPr>
          <w:ilvl w:val="0"/>
          <w:numId w:val="0"/>
        </w:numPr>
        <w:spacing w:line="360" w:lineRule="auto"/>
        <w:ind w:left="0" w:leftChars="0" w:firstLine="480" w:firstLineChars="200"/>
        <w:jc w:val="left"/>
        <w:rPr>
          <w:rFonts w:hint="eastAsia" w:ascii="宋体" w:hAnsi="宋体" w:eastAsia="宋体" w:cs="宋体"/>
          <w:sz w:val="24"/>
          <w:szCs w:val="24"/>
        </w:rPr>
      </w:pPr>
    </w:p>
    <w:p>
      <w:pPr>
        <w:numPr>
          <w:ilvl w:val="0"/>
          <w:numId w:val="0"/>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验收标准</w:t>
      </w:r>
    </w:p>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验收标准、方法：</w:t>
      </w:r>
    </w:p>
    <w:p>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cs="宋体"/>
          <w:sz w:val="24"/>
          <w:szCs w:val="24"/>
          <w:lang w:eastAsia="zh-CN"/>
        </w:rPr>
        <w:t>水箱清洗、消毒</w:t>
      </w:r>
      <w:r>
        <w:rPr>
          <w:rFonts w:hint="eastAsia" w:ascii="宋体" w:hAnsi="宋体" w:eastAsia="宋体" w:cs="宋体"/>
          <w:sz w:val="24"/>
          <w:szCs w:val="24"/>
        </w:rPr>
        <w:t>完工后</w:t>
      </w:r>
      <w:r>
        <w:rPr>
          <w:rFonts w:hint="eastAsia" w:ascii="宋体" w:hAnsi="宋体" w:cs="宋体"/>
          <w:sz w:val="24"/>
          <w:szCs w:val="24"/>
          <w:lang w:eastAsia="zh-CN"/>
        </w:rPr>
        <w:t>，服务单位</w:t>
      </w:r>
      <w:r>
        <w:rPr>
          <w:rFonts w:hint="eastAsia" w:ascii="宋体" w:hAnsi="宋体" w:eastAsia="宋体" w:cs="宋体"/>
          <w:sz w:val="24"/>
          <w:szCs w:val="24"/>
        </w:rPr>
        <w:t>出具书面验收通知，</w:t>
      </w:r>
      <w:r>
        <w:rPr>
          <w:rFonts w:hint="eastAsia" w:ascii="宋体" w:hAnsi="宋体" w:cs="宋体"/>
          <w:sz w:val="24"/>
          <w:szCs w:val="24"/>
          <w:lang w:eastAsia="zh-CN"/>
        </w:rPr>
        <w:t>采购方</w:t>
      </w:r>
      <w:r>
        <w:rPr>
          <w:rFonts w:hint="eastAsia" w:ascii="宋体" w:hAnsi="宋体" w:eastAsia="宋体" w:cs="宋体"/>
          <w:sz w:val="24"/>
          <w:szCs w:val="24"/>
        </w:rPr>
        <w:t>收到通知后组织初步验收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并在验收单签字</w:t>
      </w:r>
      <w:r>
        <w:rPr>
          <w:rFonts w:hint="eastAsia" w:ascii="宋体" w:hAnsi="宋体" w:eastAsia="宋体" w:cs="宋体"/>
          <w:sz w:val="24"/>
          <w:szCs w:val="24"/>
        </w:rPr>
        <w:t>。</w:t>
      </w:r>
      <w:r>
        <w:rPr>
          <w:rFonts w:hint="eastAsia" w:ascii="宋体" w:hAnsi="宋体" w:eastAsia="宋体" w:cs="宋体"/>
          <w:sz w:val="24"/>
          <w:szCs w:val="24"/>
          <w:lang w:eastAsia="zh-CN"/>
        </w:rPr>
        <w:t>在</w:t>
      </w:r>
      <w:r>
        <w:rPr>
          <w:rFonts w:hint="eastAsia" w:ascii="宋体" w:hAnsi="宋体" w:eastAsia="宋体" w:cs="宋体"/>
          <w:sz w:val="24"/>
          <w:szCs w:val="24"/>
        </w:rPr>
        <w:t>水箱清洗</w:t>
      </w:r>
      <w:r>
        <w:rPr>
          <w:rFonts w:hint="eastAsia" w:ascii="宋体" w:hAnsi="宋体" w:eastAsia="宋体" w:cs="宋体"/>
          <w:sz w:val="24"/>
          <w:szCs w:val="24"/>
          <w:lang w:eastAsia="zh-CN"/>
        </w:rPr>
        <w:t>消毒，</w:t>
      </w:r>
      <w:r>
        <w:rPr>
          <w:rFonts w:hint="eastAsia" w:ascii="宋体" w:hAnsi="宋体" w:eastAsia="宋体" w:cs="宋体"/>
          <w:sz w:val="24"/>
          <w:szCs w:val="24"/>
          <w:lang w:val="en-US" w:eastAsia="zh-CN"/>
        </w:rPr>
        <w:t>取得</w:t>
      </w:r>
      <w:r>
        <w:rPr>
          <w:rFonts w:hint="eastAsia" w:ascii="宋体" w:hAnsi="宋体" w:eastAsia="宋体" w:cs="宋体"/>
          <w:sz w:val="24"/>
          <w:szCs w:val="24"/>
        </w:rPr>
        <w:t>水质合格检测报告</w:t>
      </w:r>
      <w:r>
        <w:rPr>
          <w:rFonts w:hint="eastAsia" w:ascii="宋体" w:hAnsi="宋体" w:eastAsia="宋体" w:cs="宋体"/>
          <w:sz w:val="24"/>
          <w:szCs w:val="24"/>
          <w:lang w:eastAsia="zh-CN"/>
        </w:rPr>
        <w:t>后（</w:t>
      </w:r>
      <w:r>
        <w:rPr>
          <w:rFonts w:hint="eastAsia" w:ascii="宋体" w:hAnsi="宋体" w:eastAsia="宋体" w:cs="宋体"/>
          <w:sz w:val="24"/>
          <w:szCs w:val="24"/>
          <w:lang w:val="en-US" w:eastAsia="zh-CN"/>
        </w:rPr>
        <w:t>检测单位必须有CMA资质</w:t>
      </w:r>
      <w:r>
        <w:rPr>
          <w:rFonts w:hint="eastAsia" w:ascii="宋体" w:hAnsi="宋体" w:eastAsia="宋体" w:cs="宋体"/>
          <w:sz w:val="24"/>
          <w:szCs w:val="24"/>
          <w:lang w:eastAsia="zh-CN"/>
        </w:rPr>
        <w:t>）</w:t>
      </w:r>
      <w:r>
        <w:rPr>
          <w:rFonts w:hint="eastAsia" w:ascii="宋体" w:hAnsi="宋体" w:eastAsia="宋体" w:cs="宋体"/>
          <w:sz w:val="24"/>
          <w:szCs w:val="24"/>
        </w:rPr>
        <w:t>，视为验收合格。</w:t>
      </w:r>
    </w:p>
    <w:p>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如果管理处现场工作人员拒绝签字，采购方有权拒绝付款。</w:t>
      </w:r>
    </w:p>
    <w:p>
      <w:pPr>
        <w:numPr>
          <w:ilvl w:val="0"/>
          <w:numId w:val="0"/>
        </w:numPr>
        <w:spacing w:line="36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十、付款方式</w:t>
      </w:r>
    </w:p>
    <w:p>
      <w:pPr>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每清洗一次付款一次。服务单位清洗消毒结束并取得水质检测合格证明（7份）、出具合法的增值专用发票（含税）后，采购方在当月或下月转账支付。</w:t>
      </w:r>
    </w:p>
    <w:p>
      <w:pPr>
        <w:numPr>
          <w:ilvl w:val="0"/>
          <w:numId w:val="0"/>
        </w:numPr>
        <w:spacing w:line="36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十一、报价</w:t>
      </w:r>
    </w:p>
    <w:p>
      <w:pPr>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1、以三个管理处4次清洗消毒费用的总报价进行招标，价低者得。报价包含人工、清洗、消毒、水质检测并出具报告、税金以及安全风险等一切费用。</w:t>
      </w:r>
    </w:p>
    <w:p>
      <w:pPr>
        <w:numPr>
          <w:ilvl w:val="0"/>
          <w:numId w:val="0"/>
        </w:num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kern w:val="2"/>
          <w:sz w:val="24"/>
          <w:szCs w:val="24"/>
          <w:lang w:val="en-US" w:eastAsia="zh-CN" w:bidi="ar-SA"/>
        </w:rPr>
        <w:t>2、合同期内如有水箱增加，费用据实结算，结算标准为报价书中4次清洗总费用换算出的单价金额（总费用（元）÷155.125（</w:t>
      </w:r>
      <w:r>
        <w:rPr>
          <w:rFonts w:hint="eastAsia" w:ascii="宋体" w:hAnsi="宋体" w:eastAsia="宋体" w:cs="宋体"/>
          <w:b w:val="0"/>
          <w:bCs/>
          <w:sz w:val="24"/>
          <w:szCs w:val="24"/>
          <w:lang w:val="en-US" w:eastAsia="zh-CN"/>
        </w:rPr>
        <w:t>m³</w:t>
      </w:r>
      <w:r>
        <w:rPr>
          <w:rFonts w:hint="eastAsia" w:ascii="宋体" w:hAnsi="宋体" w:eastAsia="宋体" w:cs="宋体"/>
          <w:kern w:val="2"/>
          <w:sz w:val="24"/>
          <w:szCs w:val="24"/>
          <w:lang w:val="en-US" w:eastAsia="zh-CN" w:bidi="ar-SA"/>
        </w:rPr>
        <w:t>）÷4（次））。</w:t>
      </w:r>
      <w:r>
        <w:rPr>
          <w:rFonts w:hint="eastAsia" w:ascii="宋体" w:hAnsi="宋体" w:eastAsia="宋体" w:cs="宋体"/>
          <w:b w:val="0"/>
          <w:bCs/>
          <w:sz w:val="24"/>
          <w:szCs w:val="24"/>
          <w:lang w:val="en-US" w:eastAsia="zh-CN"/>
        </w:rPr>
        <w:t>合同期内如有物业项目退出，该项目相应服务自动终止。</w:t>
      </w:r>
    </w:p>
    <w:p>
      <w:pPr>
        <w:numPr>
          <w:ilvl w:val="0"/>
          <w:numId w:val="0"/>
        </w:numPr>
        <w:spacing w:line="360" w:lineRule="auto"/>
        <w:jc w:val="left"/>
        <w:rPr>
          <w:rFonts w:hint="default" w:ascii="宋体" w:hAnsi="宋体" w:eastAsia="宋体" w:cs="宋体"/>
          <w:b w:val="0"/>
          <w:bCs/>
          <w:sz w:val="24"/>
          <w:szCs w:val="24"/>
          <w:lang w:val="en-US" w:eastAsia="zh-CN"/>
        </w:rPr>
      </w:pPr>
    </w:p>
    <w:p>
      <w:pPr>
        <w:numPr>
          <w:ilvl w:val="0"/>
          <w:numId w:val="0"/>
        </w:numPr>
        <w:rPr>
          <w:rFonts w:hint="eastAsia" w:ascii="宋体" w:hAnsi="宋体" w:eastAsia="宋体" w:cs="宋体"/>
          <w:sz w:val="24"/>
          <w:szCs w:val="24"/>
          <w:lang w:val="en-US" w:eastAsia="zh-CN"/>
        </w:rPr>
      </w:pP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十二、合同签订</w:t>
      </w:r>
    </w:p>
    <w:p>
      <w:pPr>
        <w:numPr>
          <w:ilvl w:val="0"/>
          <w:numId w:val="0"/>
        </w:num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1、合同期限一年。合同到期后，经采购方验收合格，在年度预算能保证的前提下，经双方同意，可续签下一年合同且续签价格保持不变，最多续签两次，合同一年一签。</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2、合同期内，若采购方增加水箱（具体数量、规格在任务单体现），服务单位根据采购方任务单要求提供服务，费用据实结算，结算单价在合同中体现；合同期内如有物业项目退出，该项目相应服务自动终止。</w:t>
      </w: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732A3"/>
    <w:multiLevelType w:val="singleLevel"/>
    <w:tmpl w:val="AAA732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FC1861"/>
    <w:rsid w:val="662E5966"/>
    <w:rsid w:val="6747066A"/>
    <w:rsid w:val="699F737A"/>
    <w:rsid w:val="6D892812"/>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ind w:firstLine="645"/>
    </w:pPr>
    <w:rPr>
      <w:rFonts w:ascii="仿宋_GB2312" w:hAnsi="Arial" w:eastAsia="仿宋_GB2312"/>
      <w:color w:val="000000"/>
      <w:sz w:val="30"/>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unhideWhenUsed/>
    <w:qFormat/>
    <w:uiPriority w:val="99"/>
    <w:pPr>
      <w:spacing w:before="100" w:beforeAutospacing="1" w:after="100" w:afterAutospacing="1"/>
      <w:jc w:val="left"/>
    </w:pPr>
    <w:rPr>
      <w:kern w:val="0"/>
      <w:sz w:val="24"/>
      <w:szCs w:val="22"/>
    </w:rPr>
  </w:style>
  <w:style w:type="paragraph" w:styleId="15">
    <w:name w:val="annotation subject"/>
    <w:basedOn w:val="5"/>
    <w:next w:val="5"/>
    <w:link w:val="26"/>
    <w:autoRedefine/>
    <w:semiHidden/>
    <w:unhideWhenUsed/>
    <w:qFormat/>
    <w:uiPriority w:val="99"/>
    <w:rPr>
      <w:b/>
      <w:bCs/>
    </w:rPr>
  </w:style>
  <w:style w:type="paragraph" w:styleId="16">
    <w:name w:val="Body Text First Indent 2"/>
    <w:basedOn w:val="7"/>
    <w:autoRedefine/>
    <w:qFormat/>
    <w:uiPriority w:val="0"/>
    <w:pPr>
      <w:ind w:left="420" w:leftChars="200" w:firstLine="420" w:firstLineChars="200"/>
    </w:p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2">
    <w:name w:val="页眉 Char"/>
    <w:basedOn w:val="19"/>
    <w:link w:val="11"/>
    <w:autoRedefine/>
    <w:qFormat/>
    <w:uiPriority w:val="99"/>
    <w:rPr>
      <w:sz w:val="18"/>
      <w:szCs w:val="18"/>
    </w:rPr>
  </w:style>
  <w:style w:type="character" w:customStyle="1" w:styleId="23">
    <w:name w:val="页脚 Char"/>
    <w:basedOn w:val="19"/>
    <w:link w:val="10"/>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19"/>
    <w:link w:val="5"/>
    <w:autoRedefine/>
    <w:semiHidden/>
    <w:qFormat/>
    <w:uiPriority w:val="99"/>
  </w:style>
  <w:style w:type="character" w:customStyle="1" w:styleId="26">
    <w:name w:val="批注主题 Char"/>
    <w:basedOn w:val="25"/>
    <w:link w:val="15"/>
    <w:autoRedefine/>
    <w:semiHidden/>
    <w:qFormat/>
    <w:uiPriority w:val="99"/>
    <w:rPr>
      <w:b/>
      <w:bCs/>
    </w:rPr>
  </w:style>
  <w:style w:type="character" w:customStyle="1" w:styleId="27">
    <w:name w:val="批注框文本 Char"/>
    <w:basedOn w:val="19"/>
    <w:link w:val="9"/>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19"/>
    <w:autoRedefine/>
    <w:qFormat/>
    <w:uiPriority w:val="0"/>
    <w:rPr>
      <w:rFonts w:hint="eastAsia" w:ascii="宋体" w:hAnsi="宋体" w:eastAsia="宋体" w:cs="宋体"/>
      <w:b/>
      <w:bCs/>
      <w:color w:val="000000"/>
      <w:sz w:val="40"/>
      <w:szCs w:val="40"/>
      <w:u w:val="none"/>
    </w:rPr>
  </w:style>
  <w:style w:type="character" w:customStyle="1" w:styleId="33">
    <w:name w:val="font71"/>
    <w:basedOn w:val="19"/>
    <w:autoRedefine/>
    <w:qFormat/>
    <w:uiPriority w:val="0"/>
    <w:rPr>
      <w:rFonts w:hint="eastAsia" w:ascii="宋体" w:hAnsi="宋体" w:eastAsia="宋体" w:cs="宋体"/>
      <w:b/>
      <w:bCs/>
      <w:color w:val="000000"/>
      <w:sz w:val="40"/>
      <w:szCs w:val="40"/>
      <w:u w:val="single"/>
    </w:rPr>
  </w:style>
  <w:style w:type="character" w:customStyle="1" w:styleId="34">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19"/>
    <w:autoRedefine/>
    <w:qFormat/>
    <w:uiPriority w:val="0"/>
    <w:rPr>
      <w:rFonts w:hint="eastAsia" w:ascii="宋体" w:hAnsi="宋体" w:eastAsia="宋体" w:cs="宋体"/>
      <w:color w:val="000000"/>
      <w:sz w:val="40"/>
      <w:szCs w:val="40"/>
      <w:u w:val="single"/>
    </w:rPr>
  </w:style>
  <w:style w:type="character" w:customStyle="1" w:styleId="36">
    <w:name w:val="font141"/>
    <w:basedOn w:val="19"/>
    <w:autoRedefine/>
    <w:qFormat/>
    <w:uiPriority w:val="0"/>
    <w:rPr>
      <w:rFonts w:hint="eastAsia" w:ascii="宋体" w:hAnsi="宋体" w:eastAsia="宋体" w:cs="宋体"/>
      <w:color w:val="000000"/>
      <w:sz w:val="20"/>
      <w:szCs w:val="20"/>
      <w:u w:val="single"/>
    </w:rPr>
  </w:style>
  <w:style w:type="character" w:customStyle="1" w:styleId="37">
    <w:name w:val="font151"/>
    <w:basedOn w:val="19"/>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1"/>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18</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2025-04-29T01:41:59Z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