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1"/>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461053086"/>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rPr>
      </w:pPr>
      <w:r>
        <w:rPr>
          <w:rFonts w:hint="eastAsia" w:ascii="Times New Roman" w:hAnsi="Times New Roman" w:eastAsia="宋体" w:cs="Times New Roman"/>
          <w:b/>
          <w:color w:val="auto"/>
          <w:sz w:val="44"/>
          <w:szCs w:val="44"/>
          <w:highlight w:val="none"/>
        </w:rPr>
        <w:t>采购服务类项目需求表</w:t>
      </w:r>
    </w:p>
    <w:p>
      <w:pPr>
        <w:pStyle w:val="13"/>
        <w:keepNext w:val="0"/>
        <w:keepLines w:val="0"/>
        <w:widowControl/>
        <w:suppressLineNumbers w:val="0"/>
      </w:pPr>
    </w:p>
    <w:p>
      <w:pPr>
        <w:numPr>
          <w:ilvl w:val="0"/>
          <w:numId w:val="0"/>
        </w:numPr>
        <w:spacing w:line="500" w:lineRule="exact"/>
        <w:rPr>
          <w:rFonts w:hint="default" w:cs="宋体" w:asciiTheme="minorEastAsia" w:hAnsiTheme="minorEastAsia" w:eastAsiaTheme="minorEastAsia"/>
          <w:color w:val="auto"/>
          <w:szCs w:val="24"/>
          <w:highlight w:val="none"/>
          <w:lang w:val="en-US" w:eastAsia="zh-CN"/>
        </w:rPr>
      </w:pPr>
      <w:r>
        <w:rPr>
          <w:rFonts w:hint="eastAsia" w:cs="宋体" w:asciiTheme="minorEastAsia" w:hAnsiTheme="minorEastAsia" w:eastAsiaTheme="minorEastAsia"/>
          <w:color w:val="auto"/>
          <w:szCs w:val="24"/>
          <w:highlight w:val="none"/>
          <w:lang w:val="en-US" w:eastAsia="zh-CN"/>
        </w:rPr>
        <w:t>1、报价要求：项目预算34000元，为含税价。</w:t>
      </w:r>
    </w:p>
    <w:p>
      <w:pPr>
        <w:pStyle w:val="31"/>
        <w:spacing w:line="500" w:lineRule="exact"/>
        <w:rPr>
          <w:rFonts w:hint="eastAsia" w:ascii="Times New Roman" w:hAnsi="宋体" w:eastAsia="宋体" w:cs="Times New Roman"/>
          <w:color w:val="000000"/>
          <w:kern w:val="2"/>
          <w:sz w:val="21"/>
          <w:lang w:val="en-US" w:eastAsia="zh-CN" w:bidi="ar-SA"/>
        </w:rPr>
      </w:pPr>
      <w:r>
        <w:rPr>
          <w:rFonts w:hint="eastAsia" w:ascii="Times New Roman" w:hAnsi="宋体" w:cs="Times New Roman"/>
          <w:color w:val="000000"/>
          <w:kern w:val="2"/>
          <w:sz w:val="21"/>
          <w:lang w:val="en-US" w:eastAsia="zh-CN" w:bidi="ar-SA"/>
        </w:rPr>
        <w:t>2、</w:t>
      </w:r>
      <w:r>
        <w:rPr>
          <w:rFonts w:hint="eastAsia" w:ascii="Times New Roman" w:hAnsi="宋体" w:eastAsia="宋体" w:cs="Times New Roman"/>
          <w:color w:val="000000"/>
          <w:kern w:val="2"/>
          <w:sz w:val="21"/>
          <w:lang w:val="en-US" w:eastAsia="zh-CN" w:bidi="ar-SA"/>
        </w:rPr>
        <w:t>本次拟通过</w:t>
      </w:r>
      <w:r>
        <w:rPr>
          <w:rFonts w:hint="eastAsia" w:ascii="Times New Roman" w:hAnsi="宋体" w:cs="Times New Roman"/>
          <w:color w:val="000000"/>
          <w:kern w:val="2"/>
          <w:sz w:val="21"/>
          <w:lang w:val="en-US" w:eastAsia="zh-CN" w:bidi="ar-SA"/>
        </w:rPr>
        <w:t>采购</w:t>
      </w:r>
      <w:r>
        <w:rPr>
          <w:rFonts w:hint="eastAsia" w:ascii="Times New Roman" w:hAnsi="宋体" w:eastAsia="宋体" w:cs="Times New Roman"/>
          <w:color w:val="000000"/>
          <w:kern w:val="2"/>
          <w:sz w:val="21"/>
          <w:lang w:val="en-US" w:eastAsia="zh-CN" w:bidi="ar-SA"/>
        </w:rPr>
        <w:t>确定1家会计师事务所，结合既定绩效考核指标，对香怡园林公司20</w:t>
      </w:r>
      <w:r>
        <w:rPr>
          <w:rFonts w:hint="eastAsia" w:ascii="Times New Roman" w:hAnsi="宋体" w:cs="Times New Roman"/>
          <w:color w:val="000000"/>
          <w:kern w:val="2"/>
          <w:sz w:val="21"/>
          <w:lang w:val="en-US" w:eastAsia="zh-CN" w:bidi="ar-SA"/>
        </w:rPr>
        <w:t>24</w:t>
      </w:r>
      <w:r>
        <w:rPr>
          <w:rFonts w:hint="eastAsia" w:ascii="Times New Roman" w:hAnsi="宋体" w:eastAsia="宋体" w:cs="Times New Roman"/>
          <w:color w:val="000000"/>
          <w:kern w:val="2"/>
          <w:sz w:val="21"/>
          <w:lang w:val="en-US" w:eastAsia="zh-CN" w:bidi="ar-SA"/>
        </w:rPr>
        <w:t>年度绩效指标完成情况进行审计，审计机构需合理安排人员、时间，保质保量完成审计相关工作并出具报告。</w:t>
      </w:r>
    </w:p>
    <w:p>
      <w:pPr>
        <w:spacing w:line="500" w:lineRule="exact"/>
        <w:rPr>
          <w:rFonts w:hint="eastAsia" w:ascii="Times New Roman" w:hAnsi="宋体" w:eastAsia="宋体" w:cs="Times New Roman"/>
          <w:color w:val="000000"/>
          <w:kern w:val="2"/>
          <w:sz w:val="21"/>
          <w:highlight w:val="none"/>
          <w:lang w:val="en-US" w:eastAsia="zh-CN" w:bidi="ar-SA"/>
        </w:rPr>
      </w:pPr>
      <w:r>
        <w:rPr>
          <w:rFonts w:hint="eastAsia" w:ascii="Times New Roman" w:hAnsi="宋体" w:cs="Times New Roman"/>
          <w:color w:val="000000"/>
          <w:kern w:val="2"/>
          <w:sz w:val="21"/>
          <w:highlight w:val="none"/>
          <w:lang w:val="en-US" w:eastAsia="zh-CN" w:bidi="ar-SA"/>
        </w:rPr>
        <w:t>3、合同签订后</w:t>
      </w:r>
      <w:bookmarkStart w:id="8" w:name="_GoBack"/>
      <w:bookmarkEnd w:id="8"/>
      <w:r>
        <w:rPr>
          <w:rFonts w:hint="eastAsia" w:cs="宋体" w:asciiTheme="minorEastAsia" w:hAnsiTheme="minorEastAsia" w:eastAsiaTheme="minorEastAsia"/>
          <w:color w:val="auto"/>
          <w:szCs w:val="24"/>
          <w:highlight w:val="none"/>
          <w:lang w:val="en-US" w:eastAsia="zh-CN"/>
        </w:rPr>
        <w:t>进驻合肥经济技术开发区公用事业发展有限公司开展工作，现场调阅资料，内容要求客观、合规。项目组人员全程驻现场实施项目审计工作，需在30个工作日内完成，提供审核验收通过的书面审计报告。</w:t>
      </w:r>
    </w:p>
    <w:p>
      <w:pPr>
        <w:pStyle w:val="31"/>
        <w:spacing w:line="500" w:lineRule="exact"/>
        <w:rPr>
          <w:rFonts w:hint="eastAsia"/>
        </w:rPr>
      </w:pPr>
      <w:r>
        <w:rPr>
          <w:rFonts w:hint="eastAsia" w:ascii="Times New Roman" w:hAnsi="宋体" w:cs="Times New Roman"/>
          <w:color w:val="000000"/>
          <w:kern w:val="2"/>
          <w:sz w:val="21"/>
          <w:lang w:val="en-US" w:eastAsia="zh-CN" w:bidi="ar-SA"/>
        </w:rPr>
        <w:t>4、</w:t>
      </w:r>
      <w:r>
        <w:rPr>
          <w:rFonts w:hint="eastAsia" w:ascii="Times New Roman" w:hAnsi="宋体" w:eastAsia="宋体" w:cs="Times New Roman"/>
          <w:color w:val="000000"/>
          <w:kern w:val="2"/>
          <w:sz w:val="21"/>
          <w:lang w:val="en-US" w:eastAsia="zh-CN" w:bidi="ar-SA"/>
        </w:rPr>
        <w:t>人员配备要求：</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6237"/>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3" w:hRule="atLeast"/>
        </w:trPr>
        <w:tc>
          <w:tcPr>
            <w:tcW w:w="1101" w:type="dxa"/>
          </w:tcPr>
          <w:p>
            <w:pPr>
              <w:jc w:val="center"/>
              <w:rPr>
                <w:b/>
              </w:rPr>
            </w:pPr>
            <w:r>
              <w:rPr>
                <w:rFonts w:hint="eastAsia"/>
                <w:b/>
              </w:rPr>
              <w:t>岗位</w:t>
            </w:r>
          </w:p>
        </w:tc>
        <w:tc>
          <w:tcPr>
            <w:tcW w:w="6237" w:type="dxa"/>
          </w:tcPr>
          <w:p>
            <w:pPr>
              <w:jc w:val="center"/>
              <w:rPr>
                <w:b/>
              </w:rPr>
            </w:pPr>
            <w:r>
              <w:rPr>
                <w:rFonts w:hint="eastAsia"/>
                <w:b/>
              </w:rPr>
              <w:t>资格要求</w:t>
            </w:r>
          </w:p>
        </w:tc>
        <w:tc>
          <w:tcPr>
            <w:tcW w:w="1184" w:type="dxa"/>
          </w:tcPr>
          <w:p>
            <w:pPr>
              <w:jc w:val="center"/>
              <w:rPr>
                <w:b/>
              </w:rPr>
            </w:pPr>
            <w:r>
              <w:rPr>
                <w:rFonts w:hint="eastAsia"/>
                <w:b/>
              </w:rPr>
              <w:t>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4" w:hRule="atLeast"/>
        </w:trPr>
        <w:tc>
          <w:tcPr>
            <w:tcW w:w="1101" w:type="dxa"/>
            <w:vAlign w:val="center"/>
          </w:tcPr>
          <w:p>
            <w:pPr>
              <w:jc w:val="center"/>
              <w:rPr>
                <w:rFonts w:hint="eastAsia"/>
              </w:rPr>
            </w:pPr>
            <w:r>
              <w:rPr>
                <w:rFonts w:hint="eastAsia"/>
              </w:rPr>
              <w:t>项目</w:t>
            </w:r>
          </w:p>
          <w:p>
            <w:pPr>
              <w:jc w:val="center"/>
            </w:pPr>
            <w:r>
              <w:rPr>
                <w:rFonts w:hint="eastAsia"/>
              </w:rPr>
              <w:t>负责人</w:t>
            </w:r>
          </w:p>
        </w:tc>
        <w:tc>
          <w:tcPr>
            <w:tcW w:w="6237" w:type="dxa"/>
            <w:vAlign w:val="center"/>
          </w:tcPr>
          <w:p>
            <w:r>
              <w:rPr>
                <w:rFonts w:hint="eastAsia"/>
              </w:rPr>
              <w:t>具有下列资质之一：</w:t>
            </w:r>
          </w:p>
          <w:p>
            <w:r>
              <w:rPr>
                <w:rFonts w:hint="eastAsia"/>
              </w:rPr>
              <w:t>（1）注册会计师执业资格；</w:t>
            </w:r>
          </w:p>
          <w:p>
            <w:r>
              <w:rPr>
                <w:rFonts w:hint="eastAsia"/>
              </w:rPr>
              <w:t>（2）会计专业高级及以上技术职称</w:t>
            </w:r>
          </w:p>
        </w:tc>
        <w:tc>
          <w:tcPr>
            <w:tcW w:w="1184" w:type="dxa"/>
            <w:vAlign w:val="center"/>
          </w:tcPr>
          <w:p>
            <w:pPr>
              <w:jc w:val="center"/>
            </w:pPr>
            <w:r>
              <w:rPr>
                <w:rFonts w:hint="eastAsia"/>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2" w:hRule="atLeast"/>
        </w:trPr>
        <w:tc>
          <w:tcPr>
            <w:tcW w:w="1101" w:type="dxa"/>
            <w:vMerge w:val="restart"/>
            <w:vAlign w:val="center"/>
          </w:tcPr>
          <w:p>
            <w:pPr>
              <w:jc w:val="center"/>
              <w:rPr>
                <w:rFonts w:hint="eastAsia"/>
              </w:rPr>
            </w:pPr>
            <w:r>
              <w:rPr>
                <w:rFonts w:hint="eastAsia"/>
              </w:rPr>
              <w:t>项目组</w:t>
            </w:r>
          </w:p>
          <w:p>
            <w:pPr>
              <w:jc w:val="center"/>
            </w:pPr>
            <w:r>
              <w:rPr>
                <w:rFonts w:hint="eastAsia"/>
              </w:rPr>
              <w:t>其他成员</w:t>
            </w:r>
          </w:p>
        </w:tc>
        <w:tc>
          <w:tcPr>
            <w:tcW w:w="6237" w:type="dxa"/>
            <w:vAlign w:val="center"/>
          </w:tcPr>
          <w:p>
            <w:r>
              <w:rPr>
                <w:rFonts w:hint="eastAsia"/>
              </w:rPr>
              <w:t>具有会计师、审计师、经济师、统计师、工程师（其中之一即可）中级及以上专业技术职称。</w:t>
            </w:r>
          </w:p>
        </w:tc>
        <w:tc>
          <w:tcPr>
            <w:tcW w:w="1184" w:type="dxa"/>
            <w:vAlign w:val="center"/>
          </w:tcPr>
          <w:p>
            <w:pPr>
              <w:jc w:val="center"/>
              <w:rPr>
                <w:rFonts w:hint="eastAsia" w:eastAsia="宋体"/>
                <w:lang w:eastAsia="zh-CN"/>
              </w:rPr>
            </w:pPr>
            <w:r>
              <w:rPr>
                <w:rFonts w:hint="eastAsia"/>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2" w:hRule="atLeast"/>
        </w:trPr>
        <w:tc>
          <w:tcPr>
            <w:tcW w:w="1101" w:type="dxa"/>
            <w:vMerge w:val="continue"/>
          </w:tcPr>
          <w:p/>
        </w:tc>
        <w:tc>
          <w:tcPr>
            <w:tcW w:w="6237" w:type="dxa"/>
            <w:vAlign w:val="center"/>
          </w:tcPr>
          <w:p>
            <w:r>
              <w:rPr>
                <w:rFonts w:hint="eastAsia"/>
              </w:rPr>
              <w:t>具有助理会计师、助理审计师、助理经济师、助理统计师、 助理工程师（其中之一即可）初级及以上专业技术职称。</w:t>
            </w:r>
          </w:p>
        </w:tc>
        <w:tc>
          <w:tcPr>
            <w:tcW w:w="1184" w:type="dxa"/>
            <w:vAlign w:val="center"/>
          </w:tcPr>
          <w:p>
            <w:pPr>
              <w:jc w:val="center"/>
              <w:rPr>
                <w:rFonts w:hint="eastAsia" w:eastAsia="宋体"/>
                <w:lang w:eastAsia="zh-CN"/>
              </w:rPr>
            </w:pPr>
            <w:r>
              <w:rPr>
                <w:rFonts w:hint="eastAsia"/>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trPr>
        <w:tc>
          <w:tcPr>
            <w:tcW w:w="7338" w:type="dxa"/>
            <w:gridSpan w:val="2"/>
            <w:vAlign w:val="center"/>
          </w:tcPr>
          <w:p>
            <w:pPr>
              <w:jc w:val="center"/>
              <w:rPr>
                <w:b/>
              </w:rPr>
            </w:pPr>
            <w:r>
              <w:rPr>
                <w:rFonts w:hint="eastAsia"/>
                <w:b/>
              </w:rPr>
              <w:t>合计</w:t>
            </w:r>
          </w:p>
        </w:tc>
        <w:tc>
          <w:tcPr>
            <w:tcW w:w="1184" w:type="dxa"/>
            <w:vAlign w:val="center"/>
          </w:tcPr>
          <w:p>
            <w:pPr>
              <w:jc w:val="center"/>
              <w:rPr>
                <w:rFonts w:hint="eastAsia" w:eastAsia="宋体"/>
                <w:b/>
                <w:lang w:eastAsia="zh-CN"/>
              </w:rPr>
            </w:pPr>
            <w:r>
              <w:rPr>
                <w:rFonts w:hint="eastAsia"/>
                <w:b/>
                <w:lang w:val="en-US" w:eastAsia="zh-CN"/>
              </w:rPr>
              <w:t>4</w:t>
            </w:r>
          </w:p>
        </w:tc>
      </w:tr>
    </w:tbl>
    <w:p>
      <w:pPr>
        <w:numPr>
          <w:ilvl w:val="0"/>
          <w:numId w:val="0"/>
        </w:numPr>
      </w:pPr>
    </w:p>
    <w:p>
      <w:pPr>
        <w:numPr>
          <w:ilvl w:val="0"/>
          <w:numId w:val="0"/>
        </w:numPr>
        <w:spacing w:line="500" w:lineRule="exact"/>
        <w:ind w:leftChars="0"/>
        <w:rPr>
          <w:rFonts w:hint="eastAsia" w:ascii="Times New Roman" w:hAnsi="宋体" w:eastAsia="宋体" w:cs="Times New Roman"/>
          <w:b/>
          <w:bCs/>
          <w:color w:val="000000"/>
          <w:kern w:val="44"/>
          <w:sz w:val="36"/>
          <w:szCs w:val="36"/>
          <w:highlight w:val="none"/>
          <w:lang w:val="en-US" w:eastAsia="zh-CN" w:bidi="ar-SA"/>
        </w:rPr>
      </w:pPr>
      <w:r>
        <w:rPr>
          <w:rFonts w:hint="eastAsia" w:hAnsi="宋体" w:cs="Times New Roman"/>
          <w:b/>
          <w:bCs/>
          <w:color w:val="000000"/>
          <w:kern w:val="44"/>
          <w:sz w:val="36"/>
          <w:szCs w:val="36"/>
          <w:highlight w:val="none"/>
          <w:lang w:val="en-US" w:eastAsia="zh-CN" w:bidi="ar-SA"/>
        </w:rPr>
        <w:t>三、</w:t>
      </w:r>
      <w:r>
        <w:rPr>
          <w:rFonts w:hint="eastAsia" w:ascii="Times New Roman" w:hAnsi="宋体" w:eastAsia="宋体" w:cs="Times New Roman"/>
          <w:b/>
          <w:bCs/>
          <w:color w:val="000000"/>
          <w:kern w:val="44"/>
          <w:sz w:val="36"/>
          <w:szCs w:val="36"/>
          <w:highlight w:val="none"/>
          <w:lang w:val="en-US" w:eastAsia="zh-CN" w:bidi="ar-SA"/>
        </w:rPr>
        <w:t>评分方法</w:t>
      </w:r>
    </w:p>
    <w:p>
      <w:pPr>
        <w:rPr>
          <w:rFonts w:hint="eastAsia" w:ascii="宋体" w:hAnsi="宋体"/>
        </w:rPr>
      </w:pPr>
    </w:p>
    <w:p>
      <w:pPr>
        <w:rPr>
          <w:rFonts w:ascii="宋体" w:hAnsi="宋体"/>
        </w:rPr>
      </w:pPr>
      <w:r>
        <w:rPr>
          <w:rFonts w:hint="eastAsia" w:ascii="宋体" w:hAnsi="宋体"/>
        </w:rPr>
        <w:t>本项目综合评分满分为</w:t>
      </w:r>
      <w:r>
        <w:rPr>
          <w:rFonts w:hint="eastAsia" w:ascii="宋体" w:hAnsi="宋体"/>
          <w:u w:val="single"/>
        </w:rPr>
        <w:t xml:space="preserve"> 100 </w:t>
      </w:r>
      <w:r>
        <w:rPr>
          <w:rFonts w:hint="eastAsia" w:ascii="宋体" w:hAnsi="宋体"/>
        </w:rPr>
        <w:t>分，其中：技术资信分值占总分值的权重为</w:t>
      </w:r>
      <w:r>
        <w:rPr>
          <w:rFonts w:hint="eastAsia" w:ascii="宋体" w:hAnsi="宋体"/>
          <w:u w:val="single"/>
        </w:rPr>
        <w:t xml:space="preserve"> 90 </w:t>
      </w:r>
      <w:r>
        <w:rPr>
          <w:rFonts w:hint="eastAsia" w:ascii="宋体" w:hAnsi="宋体"/>
        </w:rPr>
        <w:t xml:space="preserve">%，价格分值占总分值的权重为 </w:t>
      </w:r>
      <w:r>
        <w:rPr>
          <w:rFonts w:hint="eastAsia" w:ascii="宋体" w:hAnsi="宋体"/>
          <w:u w:val="single"/>
        </w:rPr>
        <w:t xml:space="preserve"> 10 </w:t>
      </w:r>
      <w:r>
        <w:rPr>
          <w:rFonts w:hint="eastAsia" w:ascii="宋体" w:hAnsi="宋体"/>
        </w:rPr>
        <w:t>%。具体评分细则如下：</w:t>
      </w:r>
    </w:p>
    <w:tbl>
      <w:tblPr>
        <w:tblStyle w:val="18"/>
        <w:tblW w:w="8895" w:type="dxa"/>
        <w:tblInd w:w="-3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19"/>
        <w:gridCol w:w="1122"/>
        <w:gridCol w:w="5495"/>
        <w:gridCol w:w="10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219" w:type="dxa"/>
            <w:tcBorders>
              <w:top w:val="single" w:color="auto" w:sz="4" w:space="0"/>
            </w:tcBorders>
            <w:vAlign w:val="center"/>
          </w:tcPr>
          <w:p>
            <w:pPr>
              <w:spacing w:line="440" w:lineRule="exact"/>
              <w:jc w:val="center"/>
              <w:rPr>
                <w:b/>
              </w:rPr>
            </w:pPr>
            <w:r>
              <w:rPr>
                <w:rFonts w:hint="eastAsia"/>
                <w:b/>
              </w:rPr>
              <w:t>类别</w:t>
            </w:r>
          </w:p>
        </w:tc>
        <w:tc>
          <w:tcPr>
            <w:tcW w:w="1122" w:type="dxa"/>
            <w:tcBorders>
              <w:top w:val="single" w:color="auto" w:sz="4" w:space="0"/>
            </w:tcBorders>
            <w:vAlign w:val="center"/>
          </w:tcPr>
          <w:p>
            <w:pPr>
              <w:spacing w:line="440" w:lineRule="exact"/>
              <w:jc w:val="center"/>
              <w:rPr>
                <w:b/>
              </w:rPr>
            </w:pPr>
            <w:r>
              <w:rPr>
                <w:rFonts w:hint="eastAsia"/>
                <w:b/>
              </w:rPr>
              <w:t>评分</w:t>
            </w:r>
          </w:p>
          <w:p>
            <w:pPr>
              <w:spacing w:line="440" w:lineRule="exact"/>
              <w:jc w:val="center"/>
              <w:rPr>
                <w:b/>
              </w:rPr>
            </w:pPr>
            <w:r>
              <w:rPr>
                <w:rFonts w:hint="eastAsia"/>
                <w:b/>
              </w:rPr>
              <w:t>内容</w:t>
            </w:r>
          </w:p>
        </w:tc>
        <w:tc>
          <w:tcPr>
            <w:tcW w:w="5495" w:type="dxa"/>
            <w:tcBorders>
              <w:top w:val="single" w:color="auto" w:sz="4" w:space="0"/>
            </w:tcBorders>
            <w:vAlign w:val="center"/>
          </w:tcPr>
          <w:p>
            <w:pPr>
              <w:spacing w:line="440" w:lineRule="exact"/>
              <w:jc w:val="center"/>
              <w:rPr>
                <w:b/>
              </w:rPr>
            </w:pPr>
            <w:r>
              <w:rPr>
                <w:rFonts w:hint="eastAsia"/>
                <w:b/>
              </w:rPr>
              <w:t>评分标准</w:t>
            </w:r>
          </w:p>
        </w:tc>
        <w:tc>
          <w:tcPr>
            <w:tcW w:w="1059" w:type="dxa"/>
            <w:tcBorders>
              <w:top w:val="single" w:color="auto" w:sz="4" w:space="0"/>
            </w:tcBorders>
            <w:vAlign w:val="center"/>
          </w:tcPr>
          <w:p>
            <w:pPr>
              <w:spacing w:line="440" w:lineRule="exact"/>
              <w:jc w:val="center"/>
              <w:rPr>
                <w:b/>
              </w:rPr>
            </w:pPr>
            <w:r>
              <w:rPr>
                <w:rFonts w:hint="eastAsia"/>
                <w:b/>
              </w:rPr>
              <w:t>分值</w:t>
            </w:r>
          </w:p>
          <w:p>
            <w:pPr>
              <w:spacing w:line="440" w:lineRule="exact"/>
              <w:jc w:val="center"/>
              <w:rPr>
                <w:b/>
              </w:rPr>
            </w:pPr>
            <w:r>
              <w:rPr>
                <w:rFonts w:hint="eastAsia"/>
                <w:b/>
              </w:rPr>
              <w:t>范围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21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t>技术资信分(90分)</w:t>
            </w:r>
          </w:p>
        </w:tc>
        <w:tc>
          <w:tcPr>
            <w:tcW w:w="1122" w:type="dxa"/>
            <w:vMerge w:val="restart"/>
            <w:vAlign w:val="center"/>
          </w:tcPr>
          <w:p>
            <w:pPr>
              <w:spacing w:line="440" w:lineRule="exact"/>
              <w:rPr>
                <w:rFonts w:hint="default" w:eastAsia="宋体"/>
                <w:lang w:val="en-US" w:eastAsia="zh-CN"/>
              </w:rPr>
            </w:pPr>
            <w:r>
              <w:rPr>
                <w:rFonts w:hint="eastAsia"/>
                <w:lang w:val="en-US" w:eastAsia="zh-CN"/>
              </w:rPr>
              <w:t>服务方案</w:t>
            </w:r>
          </w:p>
        </w:tc>
        <w:tc>
          <w:tcPr>
            <w:tcW w:w="5495" w:type="dxa"/>
          </w:tcPr>
          <w:p>
            <w:pPr>
              <w:spacing w:line="440" w:lineRule="exact"/>
              <w:rPr>
                <w:rFonts w:ascii="Times New Roman" w:hAnsi="Times New Roman" w:eastAsia="宋体" w:cs="Times New Roman"/>
              </w:rPr>
            </w:pPr>
            <w:r>
              <w:rPr>
                <w:rFonts w:hint="eastAsia" w:ascii="Times New Roman" w:hAnsi="Times New Roman" w:eastAsia="宋体" w:cs="Times New Roman"/>
              </w:rPr>
              <w:t>服务方案内容的全面性</w:t>
            </w:r>
          </w:p>
          <w:p>
            <w:pPr>
              <w:spacing w:line="440" w:lineRule="exact"/>
              <w:rPr>
                <w:rFonts w:ascii="Times New Roman" w:hAnsi="Times New Roman" w:eastAsia="宋体" w:cs="Times New Roman"/>
              </w:rPr>
            </w:pPr>
            <w:r>
              <w:rPr>
                <w:rFonts w:hint="eastAsia" w:ascii="Times New Roman" w:hAnsi="Times New Roman" w:eastAsia="宋体" w:cs="Times New Roman"/>
              </w:rPr>
              <w:t>a、服务内容详尽细致、科学合理的，得</w:t>
            </w:r>
            <w:r>
              <w:rPr>
                <w:rFonts w:hint="eastAsia" w:ascii="Times New Roman" w:hAnsi="Times New Roman" w:eastAsia="宋体" w:cs="Times New Roman"/>
                <w:lang w:val="en-US" w:eastAsia="zh-CN"/>
              </w:rPr>
              <w:t>15</w:t>
            </w:r>
            <w:r>
              <w:rPr>
                <w:rFonts w:hint="eastAsia" w:ascii="Times New Roman" w:hAnsi="Times New Roman" w:eastAsia="宋体" w:cs="Times New Roman"/>
              </w:rPr>
              <w:t xml:space="preserve">分; </w:t>
            </w:r>
          </w:p>
          <w:p>
            <w:pPr>
              <w:spacing w:line="440" w:lineRule="exact"/>
              <w:rPr>
                <w:rFonts w:ascii="Times New Roman" w:hAnsi="Times New Roman" w:eastAsia="宋体" w:cs="Times New Roman"/>
              </w:rPr>
            </w:pPr>
            <w:r>
              <w:rPr>
                <w:rFonts w:hint="eastAsia" w:ascii="Times New Roman" w:hAnsi="Times New Roman" w:eastAsia="宋体" w:cs="Times New Roman"/>
              </w:rPr>
              <w:t>b、服务内容较为细致、较为合理的，得</w:t>
            </w:r>
            <w:r>
              <w:rPr>
                <w:rFonts w:hint="eastAsia" w:ascii="Times New Roman" w:hAnsi="Times New Roman" w:eastAsia="宋体" w:cs="Times New Roman"/>
                <w:lang w:val="en-US" w:eastAsia="zh-CN"/>
              </w:rPr>
              <w:t>10</w:t>
            </w:r>
            <w:r>
              <w:rPr>
                <w:rFonts w:hint="eastAsia" w:ascii="Times New Roman" w:hAnsi="Times New Roman" w:eastAsia="宋体" w:cs="Times New Roman"/>
              </w:rPr>
              <w:t xml:space="preserve">分; </w:t>
            </w:r>
          </w:p>
          <w:p>
            <w:pPr>
              <w:spacing w:line="440" w:lineRule="exact"/>
              <w:rPr>
                <w:rFonts w:ascii="Times New Roman" w:hAnsi="Times New Roman" w:eastAsia="宋体" w:cs="Times New Roman"/>
              </w:rPr>
            </w:pPr>
            <w:r>
              <w:rPr>
                <w:rFonts w:hint="eastAsia" w:ascii="Times New Roman" w:hAnsi="Times New Roman" w:eastAsia="宋体" w:cs="Times New Roman"/>
              </w:rPr>
              <w:t>c、服务内容有待进一步完善的，得</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分; </w:t>
            </w:r>
          </w:p>
          <w:p>
            <w:pPr>
              <w:spacing w:line="440" w:lineRule="exact"/>
            </w:pPr>
            <w:r>
              <w:rPr>
                <w:rFonts w:hint="eastAsia" w:ascii="Times New Roman" w:hAnsi="Times New Roman" w:eastAsia="宋体" w:cs="Times New Roman"/>
              </w:rPr>
              <w:t xml:space="preserve">d、未提供相关内容的不得分。 </w:t>
            </w:r>
          </w:p>
        </w:tc>
        <w:tc>
          <w:tcPr>
            <w:tcW w:w="1059" w:type="dxa"/>
            <w:vAlign w:val="center"/>
          </w:tcPr>
          <w:p>
            <w:pPr>
              <w:spacing w:line="440" w:lineRule="exact"/>
              <w:jc w:val="center"/>
            </w:pPr>
            <w:r>
              <w:t>0-</w:t>
            </w:r>
            <w:r>
              <w:rPr>
                <w:rFonts w:hint="eastAsia"/>
                <w:lang w:val="en-US" w:eastAsia="zh-CN"/>
              </w:rPr>
              <w:t>15</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219" w:type="dxa"/>
            <w:vMerge w:val="continue"/>
          </w:tcPr>
          <w:p>
            <w:pPr>
              <w:spacing w:line="440" w:lineRule="exact"/>
            </w:pPr>
          </w:p>
        </w:tc>
        <w:tc>
          <w:tcPr>
            <w:tcW w:w="1122" w:type="dxa"/>
            <w:vMerge w:val="continue"/>
            <w:vAlign w:val="center"/>
          </w:tcPr>
          <w:p>
            <w:pPr>
              <w:spacing w:line="440" w:lineRule="exact"/>
            </w:pPr>
          </w:p>
        </w:tc>
        <w:tc>
          <w:tcPr>
            <w:tcW w:w="5495" w:type="dxa"/>
          </w:tcPr>
          <w:p>
            <w:pPr>
              <w:spacing w:line="440" w:lineRule="exact"/>
              <w:rPr>
                <w:rFonts w:hint="eastAsia" w:ascii="Times New Roman" w:hAnsi="Times New Roman" w:eastAsia="宋体" w:cs="Times New Roman"/>
              </w:rPr>
            </w:pPr>
            <w:r>
              <w:rPr>
                <w:rFonts w:hint="eastAsia" w:ascii="Times New Roman" w:hAnsi="Times New Roman" w:eastAsia="宋体" w:cs="Times New Roman"/>
              </w:rPr>
              <w:t>项目组人员分工、责任划定</w:t>
            </w:r>
          </w:p>
          <w:p>
            <w:pPr>
              <w:spacing w:line="440" w:lineRule="exact"/>
              <w:rPr>
                <w:rFonts w:hint="eastAsia" w:ascii="Times New Roman" w:hAnsi="Times New Roman" w:eastAsia="宋体" w:cs="Times New Roman"/>
              </w:rPr>
            </w:pPr>
            <w:r>
              <w:rPr>
                <w:rFonts w:hint="eastAsia" w:ascii="Times New Roman" w:hAnsi="Times New Roman" w:eastAsia="宋体" w:cs="Times New Roman"/>
              </w:rPr>
              <w:t xml:space="preserve">a、分工明确，责任清晰的，得 </w:t>
            </w:r>
            <w:r>
              <w:rPr>
                <w:rFonts w:hint="eastAsia" w:ascii="Times New Roman" w:hAnsi="Times New Roman" w:eastAsia="宋体" w:cs="Times New Roman"/>
                <w:lang w:val="en-US" w:eastAsia="zh-CN"/>
              </w:rPr>
              <w:t>15</w:t>
            </w:r>
            <w:r>
              <w:rPr>
                <w:rFonts w:hint="eastAsia" w:ascii="Times New Roman" w:hAnsi="Times New Roman" w:eastAsia="宋体" w:cs="Times New Roman"/>
              </w:rPr>
              <w:t xml:space="preserve">分; </w:t>
            </w:r>
          </w:p>
          <w:p>
            <w:pPr>
              <w:spacing w:line="440" w:lineRule="exact"/>
              <w:rPr>
                <w:rFonts w:hint="eastAsia" w:ascii="Times New Roman" w:hAnsi="Times New Roman" w:eastAsia="宋体" w:cs="Times New Roman"/>
              </w:rPr>
            </w:pPr>
            <w:r>
              <w:rPr>
                <w:rFonts w:hint="eastAsia" w:ascii="Times New Roman" w:hAnsi="Times New Roman" w:eastAsia="宋体" w:cs="Times New Roman"/>
              </w:rPr>
              <w:t xml:space="preserve">b、分工较为明确，责任较为清晰的，得 </w:t>
            </w:r>
            <w:r>
              <w:rPr>
                <w:rFonts w:hint="eastAsia" w:ascii="Times New Roman" w:hAnsi="Times New Roman" w:eastAsia="宋体" w:cs="Times New Roman"/>
                <w:lang w:val="en-US" w:eastAsia="zh-CN"/>
              </w:rPr>
              <w:t>10</w:t>
            </w:r>
            <w:r>
              <w:rPr>
                <w:rFonts w:hint="eastAsia" w:ascii="Times New Roman" w:hAnsi="Times New Roman" w:eastAsia="宋体" w:cs="Times New Roman"/>
              </w:rPr>
              <w:t xml:space="preserve"> 分;</w:t>
            </w:r>
          </w:p>
          <w:p>
            <w:pPr>
              <w:spacing w:line="440" w:lineRule="exact"/>
              <w:rPr>
                <w:rFonts w:hint="eastAsia" w:ascii="Times New Roman" w:hAnsi="Times New Roman" w:eastAsia="宋体" w:cs="Times New Roman"/>
              </w:rPr>
            </w:pPr>
            <w:r>
              <w:rPr>
                <w:rFonts w:hint="eastAsia" w:ascii="Times New Roman" w:hAnsi="Times New Roman" w:eastAsia="宋体" w:cs="Times New Roman"/>
              </w:rPr>
              <w:t xml:space="preserve">c、分工及责任划分有待进一步完善的，得 </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分; </w:t>
            </w:r>
          </w:p>
          <w:p>
            <w:pPr>
              <w:spacing w:line="440" w:lineRule="exact"/>
            </w:pPr>
            <w:r>
              <w:rPr>
                <w:rFonts w:hint="eastAsia" w:ascii="Times New Roman" w:hAnsi="Times New Roman" w:eastAsia="宋体" w:cs="Times New Roman"/>
              </w:rPr>
              <w:t xml:space="preserve">d、未提供相关内容的不得分。 </w:t>
            </w:r>
          </w:p>
        </w:tc>
        <w:tc>
          <w:tcPr>
            <w:tcW w:w="1059" w:type="dxa"/>
            <w:vAlign w:val="center"/>
          </w:tcPr>
          <w:p>
            <w:pPr>
              <w:spacing w:line="440" w:lineRule="exact"/>
              <w:jc w:val="center"/>
            </w:pPr>
            <w:r>
              <w:t>0-</w:t>
            </w:r>
            <w:r>
              <w:rPr>
                <w:rFonts w:hint="eastAsia"/>
                <w:lang w:val="en-US" w:eastAsia="zh-CN"/>
              </w:rPr>
              <w:t>15</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219" w:type="dxa"/>
            <w:vMerge w:val="continue"/>
          </w:tcPr>
          <w:p>
            <w:pPr>
              <w:spacing w:line="440" w:lineRule="exact"/>
            </w:pPr>
          </w:p>
        </w:tc>
        <w:tc>
          <w:tcPr>
            <w:tcW w:w="1122" w:type="dxa"/>
            <w:vMerge w:val="continue"/>
            <w:vAlign w:val="center"/>
          </w:tcPr>
          <w:p>
            <w:pPr>
              <w:spacing w:line="440" w:lineRule="exact"/>
            </w:pPr>
          </w:p>
        </w:tc>
        <w:tc>
          <w:tcPr>
            <w:tcW w:w="5495" w:type="dxa"/>
          </w:tcPr>
          <w:p>
            <w:pPr>
              <w:spacing w:line="440" w:lineRule="exact"/>
              <w:rPr>
                <w:rFonts w:hint="eastAsia" w:ascii="Times New Roman" w:hAnsi="Times New Roman" w:eastAsia="宋体" w:cs="Times New Roman"/>
              </w:rPr>
            </w:pPr>
            <w:r>
              <w:rPr>
                <w:rFonts w:hint="eastAsia" w:ascii="Times New Roman" w:hAnsi="Times New Roman" w:eastAsia="宋体" w:cs="Times New Roman"/>
              </w:rPr>
              <w:t>审计程序、审计方法</w:t>
            </w:r>
          </w:p>
          <w:p>
            <w:pPr>
              <w:spacing w:line="440" w:lineRule="exact"/>
              <w:rPr>
                <w:rFonts w:hint="eastAsia" w:ascii="Times New Roman" w:hAnsi="Times New Roman" w:eastAsia="宋体" w:cs="Times New Roman"/>
              </w:rPr>
            </w:pPr>
            <w:r>
              <w:rPr>
                <w:rFonts w:hint="eastAsia" w:ascii="Times New Roman" w:hAnsi="Times New Roman" w:eastAsia="宋体" w:cs="Times New Roman"/>
              </w:rPr>
              <w:t>a、程序及方法科学合理，可行性强的，得 1</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 分; </w:t>
            </w:r>
          </w:p>
          <w:p>
            <w:pPr>
              <w:spacing w:line="440" w:lineRule="exact"/>
              <w:rPr>
                <w:rFonts w:hint="eastAsia" w:ascii="Times New Roman" w:hAnsi="Times New Roman" w:eastAsia="宋体" w:cs="Times New Roman"/>
              </w:rPr>
            </w:pPr>
            <w:r>
              <w:rPr>
                <w:rFonts w:hint="eastAsia" w:ascii="Times New Roman" w:hAnsi="Times New Roman" w:eastAsia="宋体" w:cs="Times New Roman"/>
              </w:rPr>
              <w:t xml:space="preserve">b、程序及方法较为合理，可行性较强的，得 </w:t>
            </w:r>
            <w:r>
              <w:rPr>
                <w:rFonts w:hint="eastAsia" w:ascii="Times New Roman" w:hAnsi="Times New Roman" w:eastAsia="宋体" w:cs="Times New Roman"/>
                <w:lang w:val="en-US" w:eastAsia="zh-CN"/>
              </w:rPr>
              <w:t>10</w:t>
            </w:r>
            <w:r>
              <w:rPr>
                <w:rFonts w:hint="eastAsia" w:ascii="Times New Roman" w:hAnsi="Times New Roman" w:eastAsia="宋体" w:cs="Times New Roman"/>
              </w:rPr>
              <w:t xml:space="preserve"> 分; </w:t>
            </w:r>
          </w:p>
          <w:p>
            <w:pPr>
              <w:spacing w:line="440" w:lineRule="exact"/>
              <w:rPr>
                <w:rFonts w:hint="eastAsia" w:ascii="Times New Roman" w:hAnsi="Times New Roman" w:eastAsia="宋体" w:cs="Times New Roman"/>
              </w:rPr>
            </w:pPr>
            <w:r>
              <w:rPr>
                <w:rFonts w:hint="eastAsia" w:ascii="Times New Roman" w:hAnsi="Times New Roman" w:eastAsia="宋体" w:cs="Times New Roman"/>
              </w:rPr>
              <w:t>c、程序及方法有待进一步提升的，得</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分; </w:t>
            </w:r>
          </w:p>
          <w:p>
            <w:pPr>
              <w:spacing w:line="440" w:lineRule="exact"/>
            </w:pPr>
            <w:r>
              <w:rPr>
                <w:rFonts w:hint="eastAsia" w:ascii="Times New Roman" w:hAnsi="Times New Roman" w:eastAsia="宋体" w:cs="Times New Roman"/>
              </w:rPr>
              <w:t xml:space="preserve">d、未提供相关内容的不得分。 </w:t>
            </w:r>
          </w:p>
        </w:tc>
        <w:tc>
          <w:tcPr>
            <w:tcW w:w="1059" w:type="dxa"/>
            <w:vAlign w:val="center"/>
          </w:tcPr>
          <w:p>
            <w:pPr>
              <w:spacing w:line="440" w:lineRule="exact"/>
              <w:jc w:val="center"/>
            </w:pPr>
            <w:r>
              <w:t>0-</w:t>
            </w:r>
            <w:r>
              <w:rPr>
                <w:rFonts w:hint="eastAsia"/>
                <w:lang w:val="en-US" w:eastAsia="zh-CN"/>
              </w:rPr>
              <w:t>15</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219" w:type="dxa"/>
            <w:vMerge w:val="continue"/>
          </w:tcPr>
          <w:p>
            <w:pPr>
              <w:spacing w:line="440" w:lineRule="exact"/>
            </w:pPr>
          </w:p>
        </w:tc>
        <w:tc>
          <w:tcPr>
            <w:tcW w:w="1122" w:type="dxa"/>
            <w:vMerge w:val="continue"/>
            <w:vAlign w:val="center"/>
          </w:tcPr>
          <w:p>
            <w:pPr>
              <w:spacing w:line="440" w:lineRule="exact"/>
            </w:pPr>
          </w:p>
        </w:tc>
        <w:tc>
          <w:tcPr>
            <w:tcW w:w="5495" w:type="dxa"/>
          </w:tcPr>
          <w:p>
            <w:pPr>
              <w:spacing w:line="440" w:lineRule="exact"/>
              <w:rPr>
                <w:rFonts w:hint="eastAsia" w:ascii="Times New Roman" w:hAnsi="Times New Roman" w:eastAsia="宋体" w:cs="Times New Roman"/>
              </w:rPr>
            </w:pPr>
            <w:r>
              <w:rPr>
                <w:rFonts w:hint="eastAsia" w:ascii="Times New Roman" w:hAnsi="Times New Roman" w:eastAsia="宋体" w:cs="Times New Roman"/>
              </w:rPr>
              <w:t>服务质量保证措施、质量控制措施(1</w:t>
            </w:r>
            <w:r>
              <w:rPr>
                <w:rFonts w:hint="eastAsia" w:ascii="Times New Roman" w:hAnsi="Times New Roman" w:eastAsia="宋体" w:cs="Times New Roman"/>
                <w:lang w:val="en-US" w:eastAsia="zh-CN"/>
              </w:rPr>
              <w:t>5</w:t>
            </w:r>
            <w:r>
              <w:rPr>
                <w:rFonts w:hint="eastAsia" w:ascii="Times New Roman" w:hAnsi="Times New Roman" w:eastAsia="宋体" w:cs="Times New Roman"/>
              </w:rPr>
              <w:t>分)</w:t>
            </w:r>
          </w:p>
          <w:p>
            <w:pPr>
              <w:spacing w:line="440" w:lineRule="exact"/>
              <w:rPr>
                <w:rFonts w:hint="eastAsia" w:ascii="Times New Roman" w:hAnsi="Times New Roman" w:eastAsia="宋体" w:cs="Times New Roman"/>
              </w:rPr>
            </w:pPr>
            <w:r>
              <w:rPr>
                <w:rFonts w:hint="eastAsia" w:ascii="Times New Roman" w:hAnsi="Times New Roman" w:eastAsia="宋体" w:cs="Times New Roman"/>
              </w:rPr>
              <w:t>a、措施详尽细致、科学合理的，得1</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分; </w:t>
            </w:r>
          </w:p>
          <w:p>
            <w:pPr>
              <w:spacing w:line="440" w:lineRule="exact"/>
              <w:rPr>
                <w:rFonts w:hint="eastAsia" w:ascii="Times New Roman" w:hAnsi="Times New Roman" w:eastAsia="宋体" w:cs="Times New Roman"/>
              </w:rPr>
            </w:pPr>
            <w:r>
              <w:rPr>
                <w:rFonts w:hint="eastAsia" w:ascii="Times New Roman" w:hAnsi="Times New Roman" w:eastAsia="宋体" w:cs="Times New Roman"/>
              </w:rPr>
              <w:t>b、措施较为细致、较为合理的，得</w:t>
            </w:r>
            <w:r>
              <w:rPr>
                <w:rFonts w:hint="eastAsia" w:ascii="Times New Roman" w:hAnsi="Times New Roman" w:eastAsia="宋体" w:cs="Times New Roman"/>
                <w:lang w:val="en-US" w:eastAsia="zh-CN"/>
              </w:rPr>
              <w:t>10</w:t>
            </w:r>
            <w:r>
              <w:rPr>
                <w:rFonts w:hint="eastAsia" w:ascii="Times New Roman" w:hAnsi="Times New Roman" w:eastAsia="宋体" w:cs="Times New Roman"/>
              </w:rPr>
              <w:t xml:space="preserve">分; </w:t>
            </w:r>
          </w:p>
          <w:p>
            <w:pPr>
              <w:spacing w:line="440" w:lineRule="exact"/>
              <w:rPr>
                <w:rFonts w:hint="eastAsia" w:ascii="Times New Roman" w:hAnsi="Times New Roman" w:eastAsia="宋体" w:cs="Times New Roman"/>
              </w:rPr>
            </w:pPr>
            <w:r>
              <w:rPr>
                <w:rFonts w:hint="eastAsia" w:ascii="Times New Roman" w:hAnsi="Times New Roman" w:eastAsia="宋体" w:cs="Times New Roman"/>
              </w:rPr>
              <w:t xml:space="preserve">c、措施有待进一步完善的，得 </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分; </w:t>
            </w:r>
          </w:p>
          <w:p>
            <w:pPr>
              <w:spacing w:line="440" w:lineRule="exact"/>
            </w:pPr>
            <w:r>
              <w:rPr>
                <w:rFonts w:hint="eastAsia" w:ascii="Times New Roman" w:hAnsi="Times New Roman" w:eastAsia="宋体" w:cs="Times New Roman"/>
              </w:rPr>
              <w:t xml:space="preserve">d、未提供相关内容的不得分。 </w:t>
            </w:r>
          </w:p>
        </w:tc>
        <w:tc>
          <w:tcPr>
            <w:tcW w:w="1059" w:type="dxa"/>
            <w:vAlign w:val="center"/>
          </w:tcPr>
          <w:p>
            <w:pPr>
              <w:spacing w:line="440" w:lineRule="exact"/>
              <w:jc w:val="center"/>
            </w:pPr>
            <w:r>
              <w:t>0-</w:t>
            </w:r>
            <w:r>
              <w:rPr>
                <w:rFonts w:hint="eastAsia"/>
                <w:lang w:val="en-US" w:eastAsia="zh-CN"/>
              </w:rPr>
              <w:t>15</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219" w:type="dxa"/>
            <w:vMerge w:val="continue"/>
          </w:tcPr>
          <w:p>
            <w:pPr>
              <w:spacing w:line="440" w:lineRule="exact"/>
            </w:pPr>
          </w:p>
        </w:tc>
        <w:tc>
          <w:tcPr>
            <w:tcW w:w="112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供应商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业绩</w:t>
            </w:r>
          </w:p>
        </w:tc>
        <w:tc>
          <w:tcPr>
            <w:tcW w:w="5495" w:type="dxa"/>
          </w:tcPr>
          <w:p>
            <w:pPr>
              <w:spacing w:line="440" w:lineRule="exact"/>
              <w:rPr>
                <w:rFonts w:hint="eastAsia" w:ascii="Times New Roman" w:hAnsi="Times New Roman" w:eastAsia="宋体" w:cs="Times New Roman"/>
              </w:rPr>
            </w:pPr>
            <w:r>
              <w:rPr>
                <w:rFonts w:hint="eastAsia" w:ascii="Times New Roman" w:hAnsi="Times New Roman" w:eastAsia="宋体" w:cs="Times New Roman"/>
              </w:rPr>
              <w:t>20</w:t>
            </w:r>
            <w:r>
              <w:rPr>
                <w:rFonts w:hint="eastAsia" w:ascii="Times New Roman" w:hAnsi="Times New Roman" w:eastAsia="宋体" w:cs="Times New Roman"/>
                <w:lang w:val="en-US" w:eastAsia="zh-CN"/>
              </w:rPr>
              <w:t>22</w:t>
            </w:r>
            <w:r>
              <w:rPr>
                <w:rFonts w:hint="eastAsia" w:ascii="Times New Roman" w:hAnsi="Times New Roman" w:eastAsia="宋体" w:cs="Times New Roman"/>
              </w:rPr>
              <w:t>年1月1日以来(以合同签订时间)，供应商具有行政事业单位经济责任审计</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绩效评价项目业绩</w:t>
            </w:r>
            <w:r>
              <w:rPr>
                <w:rFonts w:hint="eastAsia" w:ascii="Times New Roman" w:hAnsi="Times New Roman" w:eastAsia="宋体" w:cs="Times New Roman"/>
              </w:rPr>
              <w:t xml:space="preserve">或行政事业单位财政财务审计项目业绩:每提供一个得 </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 分。 满分</w:t>
            </w:r>
            <w:r>
              <w:rPr>
                <w:rFonts w:hint="eastAsia" w:cs="Times New Roman"/>
                <w:lang w:val="en-US" w:eastAsia="zh-CN"/>
              </w:rPr>
              <w:t>3</w:t>
            </w:r>
            <w:r>
              <w:rPr>
                <w:rFonts w:hint="eastAsia" w:ascii="Times New Roman" w:hAnsi="Times New Roman" w:eastAsia="宋体" w:cs="Times New Roman"/>
                <w:lang w:val="en-US" w:eastAsia="zh-CN"/>
              </w:rPr>
              <w:t>0</w:t>
            </w:r>
            <w:r>
              <w:rPr>
                <w:rFonts w:hint="eastAsia" w:ascii="Times New Roman" w:hAnsi="Times New Roman" w:eastAsia="宋体" w:cs="Times New Roman"/>
              </w:rPr>
              <w:t xml:space="preserve">分。 </w:t>
            </w:r>
          </w:p>
        </w:tc>
        <w:tc>
          <w:tcPr>
            <w:tcW w:w="1059" w:type="dxa"/>
            <w:vAlign w:val="center"/>
          </w:tcPr>
          <w:p>
            <w:pPr>
              <w:spacing w:line="440" w:lineRule="exact"/>
              <w:jc w:val="center"/>
              <w:rPr>
                <w:rFonts w:hint="eastAsia" w:ascii="Times New Roman" w:hAnsi="Times New Roman" w:eastAsia="宋体" w:cs="Times New Roman"/>
              </w:rPr>
            </w:pPr>
            <w:r>
              <w:rPr>
                <w:rFonts w:hint="eastAsia" w:ascii="Times New Roman" w:hAnsi="Times New Roman" w:eastAsia="宋体" w:cs="Times New Roman"/>
              </w:rPr>
              <w:t>0-</w:t>
            </w:r>
            <w:r>
              <w:rPr>
                <w:rFonts w:hint="eastAsia" w:cs="Times New Roman"/>
                <w:lang w:val="en-US" w:eastAsia="zh-CN"/>
              </w:rPr>
              <w:t>3</w:t>
            </w:r>
            <w:r>
              <w:rPr>
                <w:rFonts w:hint="eastAsia" w:ascii="Times New Roman" w:hAnsi="Times New Roman" w:eastAsia="宋体" w:cs="Times New Roman"/>
                <w:lang w:val="en-US" w:eastAsia="zh-CN"/>
              </w:rPr>
              <w:t>0</w:t>
            </w:r>
            <w:r>
              <w:rPr>
                <w:rFonts w:hint="eastAsia" w:ascii="Times New Roman" w:hAnsi="Times New Roman" w:eastAsia="宋体" w:cs="Times New Roman"/>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3" w:hRule="atLeast"/>
        </w:trPr>
        <w:tc>
          <w:tcPr>
            <w:tcW w:w="1219" w:type="dxa"/>
            <w:vAlign w:val="center"/>
          </w:tcPr>
          <w:p>
            <w:pPr>
              <w:spacing w:line="440" w:lineRule="exact"/>
              <w:jc w:val="center"/>
            </w:pPr>
            <w:r>
              <w:t>价格分</w:t>
            </w:r>
          </w:p>
          <w:p>
            <w:pPr>
              <w:spacing w:line="440" w:lineRule="exact"/>
              <w:jc w:val="center"/>
            </w:pPr>
            <w:r>
              <w:t>(10分)</w:t>
            </w:r>
          </w:p>
        </w:tc>
        <w:tc>
          <w:tcPr>
            <w:tcW w:w="7676" w:type="dxa"/>
            <w:gridSpan w:val="3"/>
          </w:tcPr>
          <w:p>
            <w:pPr>
              <w:spacing w:line="44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满足招标文件要求且投标价格最低的投标报价为评标基准价，投标报价得分=（评标基准价／投标报价）×</w:t>
            </w:r>
            <w:r>
              <w:rPr>
                <w:rFonts w:hint="eastAsia" w:cs="Times New Roman"/>
                <w:lang w:val="en-US" w:eastAsia="zh-CN"/>
              </w:rPr>
              <w:t>1</w:t>
            </w:r>
            <w:r>
              <w:rPr>
                <w:rFonts w:hint="eastAsia" w:ascii="Times New Roman" w:hAnsi="Times New Roman" w:eastAsia="宋体" w:cs="Times New Roman"/>
                <w:lang w:val="en-US" w:eastAsia="zh-CN"/>
              </w:rPr>
              <w:t>0％×100，计算分数时四舍五入取小数点后两位。若最高报价偏离平均报价超过30%的，则超过部分，每超一个百分点，额外扣一分，直至价格分扣完为止。</w:t>
            </w:r>
          </w:p>
          <w:p>
            <w:pPr>
              <w:spacing w:line="440" w:lineRule="exact"/>
              <w:rPr>
                <w:rFonts w:hint="eastAsia" w:ascii="Times New Roman" w:hAnsi="Times New Roman" w:eastAsia="宋体" w:cs="Times New Roman"/>
              </w:rPr>
            </w:pPr>
            <w:r>
              <w:rPr>
                <w:rFonts w:hint="eastAsia" w:ascii="Times New Roman" w:hAnsi="Times New Roman" w:eastAsia="宋体" w:cs="Times New Roman"/>
                <w:lang w:val="en-US" w:eastAsia="zh-CN"/>
              </w:rPr>
              <w:t>供应商投标报价不得超过采购预算金额，否则按无效投标处理。</w:t>
            </w:r>
          </w:p>
        </w:tc>
      </w:tr>
    </w:tbl>
    <w:p>
      <w:pPr>
        <w:spacing w:line="360" w:lineRule="auto"/>
        <w:rPr>
          <w:sz w:val="10"/>
          <w:szCs w:val="10"/>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5374BCA"/>
    <w:rsid w:val="6562740E"/>
    <w:rsid w:val="65C97585"/>
    <w:rsid w:val="65FC1861"/>
    <w:rsid w:val="662E5966"/>
    <w:rsid w:val="6747066A"/>
    <w:rsid w:val="699F737A"/>
    <w:rsid w:val="6DEB7675"/>
    <w:rsid w:val="6EAC5D22"/>
    <w:rsid w:val="6F1E00AA"/>
    <w:rsid w:val="6FE07D2F"/>
    <w:rsid w:val="73136DD6"/>
    <w:rsid w:val="73922BF0"/>
    <w:rsid w:val="73B72B30"/>
    <w:rsid w:val="76271B88"/>
    <w:rsid w:val="76C41664"/>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27"/>
    <w:autoRedefine/>
    <w:semiHidden/>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ind w:firstLine="645"/>
    </w:pPr>
    <w:rPr>
      <w:rFonts w:ascii="仿宋_GB2312" w:hAnsi="Arial" w:eastAsia="仿宋_GB2312"/>
      <w:color w:val="000000"/>
      <w:sz w:val="30"/>
    </w:rPr>
  </w:style>
  <w:style w:type="paragraph" w:styleId="13">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unhideWhenUsed/>
    <w:qFormat/>
    <w:uiPriority w:val="99"/>
    <w:pPr>
      <w:spacing w:before="100" w:beforeAutospacing="1" w:after="100" w:afterAutospacing="1"/>
      <w:jc w:val="left"/>
    </w:pPr>
    <w:rPr>
      <w:kern w:val="0"/>
      <w:sz w:val="24"/>
      <w:szCs w:val="22"/>
    </w:rPr>
  </w:style>
  <w:style w:type="paragraph" w:styleId="15">
    <w:name w:val="annotation subject"/>
    <w:basedOn w:val="5"/>
    <w:next w:val="5"/>
    <w:link w:val="26"/>
    <w:autoRedefine/>
    <w:semiHidden/>
    <w:unhideWhenUsed/>
    <w:qFormat/>
    <w:uiPriority w:val="99"/>
    <w:rPr>
      <w:b/>
      <w:bCs/>
    </w:rPr>
  </w:style>
  <w:style w:type="paragraph" w:styleId="16">
    <w:name w:val="Body Text First Indent 2"/>
    <w:basedOn w:val="7"/>
    <w:autoRedefine/>
    <w:qFormat/>
    <w:uiPriority w:val="0"/>
    <w:pPr>
      <w:ind w:left="420" w:leftChars="200" w:firstLine="420" w:firstLineChars="200"/>
    </w:p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annotation reference"/>
    <w:basedOn w:val="19"/>
    <w:autoRedefine/>
    <w:semiHidden/>
    <w:unhideWhenUsed/>
    <w:qFormat/>
    <w:uiPriority w:val="99"/>
    <w:rPr>
      <w:sz w:val="21"/>
      <w:szCs w:val="21"/>
    </w:rPr>
  </w:style>
  <w:style w:type="paragraph" w:customStyle="1" w:styleId="21">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2">
    <w:name w:val="页眉 Char"/>
    <w:basedOn w:val="19"/>
    <w:link w:val="11"/>
    <w:autoRedefine/>
    <w:qFormat/>
    <w:uiPriority w:val="99"/>
    <w:rPr>
      <w:sz w:val="18"/>
      <w:szCs w:val="18"/>
    </w:rPr>
  </w:style>
  <w:style w:type="character" w:customStyle="1" w:styleId="23">
    <w:name w:val="页脚 Char"/>
    <w:basedOn w:val="19"/>
    <w:link w:val="10"/>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19"/>
    <w:link w:val="5"/>
    <w:autoRedefine/>
    <w:semiHidden/>
    <w:qFormat/>
    <w:uiPriority w:val="99"/>
  </w:style>
  <w:style w:type="character" w:customStyle="1" w:styleId="26">
    <w:name w:val="批注主题 Char"/>
    <w:basedOn w:val="25"/>
    <w:link w:val="15"/>
    <w:autoRedefine/>
    <w:semiHidden/>
    <w:qFormat/>
    <w:uiPriority w:val="99"/>
    <w:rPr>
      <w:b/>
      <w:bCs/>
    </w:rPr>
  </w:style>
  <w:style w:type="character" w:customStyle="1" w:styleId="27">
    <w:name w:val="批注框文本 Char"/>
    <w:basedOn w:val="19"/>
    <w:link w:val="9"/>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19"/>
    <w:autoRedefine/>
    <w:qFormat/>
    <w:uiPriority w:val="0"/>
    <w:rPr>
      <w:rFonts w:hint="eastAsia" w:ascii="宋体" w:hAnsi="宋体" w:eastAsia="宋体" w:cs="宋体"/>
      <w:b/>
      <w:bCs/>
      <w:color w:val="000000"/>
      <w:sz w:val="40"/>
      <w:szCs w:val="40"/>
      <w:u w:val="none"/>
    </w:rPr>
  </w:style>
  <w:style w:type="character" w:customStyle="1" w:styleId="33">
    <w:name w:val="font71"/>
    <w:basedOn w:val="19"/>
    <w:autoRedefine/>
    <w:qFormat/>
    <w:uiPriority w:val="0"/>
    <w:rPr>
      <w:rFonts w:hint="eastAsia" w:ascii="宋体" w:hAnsi="宋体" w:eastAsia="宋体" w:cs="宋体"/>
      <w:b/>
      <w:bCs/>
      <w:color w:val="000000"/>
      <w:sz w:val="40"/>
      <w:szCs w:val="40"/>
      <w:u w:val="single"/>
    </w:rPr>
  </w:style>
  <w:style w:type="character" w:customStyle="1" w:styleId="34">
    <w:name w:val="font91"/>
    <w:basedOn w:val="19"/>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19"/>
    <w:autoRedefine/>
    <w:qFormat/>
    <w:uiPriority w:val="0"/>
    <w:rPr>
      <w:rFonts w:hint="eastAsia" w:ascii="宋体" w:hAnsi="宋体" w:eastAsia="宋体" w:cs="宋体"/>
      <w:color w:val="000000"/>
      <w:sz w:val="40"/>
      <w:szCs w:val="40"/>
      <w:u w:val="single"/>
    </w:rPr>
  </w:style>
  <w:style w:type="character" w:customStyle="1" w:styleId="36">
    <w:name w:val="font141"/>
    <w:basedOn w:val="19"/>
    <w:autoRedefine/>
    <w:qFormat/>
    <w:uiPriority w:val="0"/>
    <w:rPr>
      <w:rFonts w:hint="eastAsia" w:ascii="宋体" w:hAnsi="宋体" w:eastAsia="宋体" w:cs="宋体"/>
      <w:color w:val="000000"/>
      <w:sz w:val="20"/>
      <w:szCs w:val="20"/>
      <w:u w:val="single"/>
    </w:rPr>
  </w:style>
  <w:style w:type="character" w:customStyle="1" w:styleId="37">
    <w:name w:val="font151"/>
    <w:basedOn w:val="19"/>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4</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2025-06-03T02:07:11Z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