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2"/>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Ansi="宋体"/>
                <w:bCs/>
                <w:color w:val="000000"/>
                <w:u w:val="single"/>
              </w:rPr>
            </w:pPr>
            <w:r>
              <w:rPr>
                <w:rFonts w:hint="eastAsia" w:hAnsi="宋体"/>
                <w:bCs/>
                <w:color w:val="000000"/>
              </w:rPr>
              <w:t>总价：</w:t>
            </w:r>
            <w:r>
              <w:rPr>
                <w:rFonts w:hint="eastAsia" w:hAnsi="宋体"/>
                <w:bCs/>
                <w:color w:val="000000"/>
                <w:u w:val="single"/>
              </w:rPr>
              <w:t xml:space="preserve">          </w:t>
            </w:r>
            <w:r>
              <w:rPr>
                <w:rFonts w:hint="eastAsia" w:hAnsi="宋体"/>
                <w:bCs/>
                <w:color w:val="000000"/>
                <w:u w:val="none"/>
              </w:rPr>
              <w:t>元</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7"/>
        <w:ind w:left="0" w:leftChars="0" w:firstLine="0" w:firstLineChars="0"/>
        <w:rPr>
          <w:rFonts w:hAnsi="宋体"/>
          <w:b/>
          <w:bCs/>
          <w:color w:val="000000"/>
          <w:szCs w:val="28"/>
        </w:rPr>
      </w:pPr>
    </w:p>
    <w:p>
      <w:pPr>
        <w:pStyle w:val="17"/>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Ansi="宋体"/>
          <w:szCs w:val="24"/>
        </w:rPr>
      </w:pPr>
      <w:r>
        <w:rPr>
          <w:rFonts w:hint="eastAsia" w:hAnsi="宋体"/>
          <w:szCs w:val="24"/>
        </w:rPr>
        <w:t>1、法人代表或代理人（授权委托书）。</w:t>
      </w:r>
    </w:p>
    <w:p>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20" w:firstLineChars="200"/>
        <w:rPr>
          <w:rFonts w:hAnsi="宋体"/>
          <w:szCs w:val="24"/>
        </w:rPr>
      </w:pPr>
      <w:r>
        <w:rPr>
          <w:rFonts w:hint="eastAsia" w:hAnsi="宋体"/>
          <w:szCs w:val="24"/>
        </w:rPr>
        <w:t>3、评标文件要求及供应商认为需要提供的资料。</w:t>
      </w:r>
    </w:p>
    <w:p>
      <w:pPr>
        <w:spacing w:line="360" w:lineRule="auto"/>
        <w:ind w:firstLine="420" w:firstLineChars="200"/>
        <w:rPr>
          <w:rFonts w:hAnsi="宋体"/>
          <w:szCs w:val="24"/>
        </w:rPr>
      </w:pPr>
      <w:r>
        <w:rPr>
          <w:rFonts w:hint="eastAsia" w:hAnsi="宋体"/>
          <w:szCs w:val="24"/>
        </w:rPr>
        <w:t>4、供应商在规定时间密封送达。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pStyle w:val="12"/>
        <w:tabs>
          <w:tab w:val="right" w:leader="dot" w:pos="9628"/>
        </w:tabs>
        <w:spacing w:before="0" w:after="0" w:line="480" w:lineRule="auto"/>
        <w:jc w:val="center"/>
        <w:outlineLvl w:val="0"/>
        <w:rPr>
          <w:rFonts w:hint="eastAsia"/>
          <w:b/>
          <w:bCs/>
          <w:caps w:val="0"/>
          <w:color w:val="000000"/>
          <w:kern w:val="44"/>
          <w:sz w:val="30"/>
          <w:szCs w:val="44"/>
          <w:highlight w:val="none"/>
          <w:lang w:val="en-US" w:eastAsia="zh-CN"/>
        </w:rPr>
      </w:pPr>
      <w:r>
        <w:rPr>
          <w:rFonts w:hint="eastAsia"/>
          <w:b/>
          <w:bCs/>
          <w:caps w:val="0"/>
          <w:color w:val="000000"/>
          <w:kern w:val="44"/>
          <w:sz w:val="30"/>
          <w:szCs w:val="44"/>
          <w:highlight w:val="none"/>
          <w:lang w:val="en-US" w:eastAsia="zh-CN"/>
        </w:rPr>
        <w:t>香怡物业2025年公众责任险保险采购</w:t>
      </w:r>
    </w:p>
    <w:p>
      <w:pPr>
        <w:jc w:val="center"/>
        <w:rPr>
          <w:rFonts w:hint="eastAsia"/>
          <w:b/>
          <w:bCs/>
          <w:caps w:val="0"/>
          <w:color w:val="000000"/>
          <w:kern w:val="44"/>
          <w:sz w:val="30"/>
          <w:szCs w:val="44"/>
          <w:highlight w:val="none"/>
          <w:lang w:val="en-US" w:eastAsia="zh-CN"/>
        </w:rPr>
      </w:pPr>
      <w:r>
        <w:rPr>
          <w:rFonts w:hint="eastAsia"/>
          <w:b/>
          <w:bCs/>
          <w:caps w:val="0"/>
          <w:color w:val="000000"/>
          <w:kern w:val="44"/>
          <w:sz w:val="30"/>
          <w:szCs w:val="44"/>
          <w:highlight w:val="none"/>
          <w:lang w:val="en-US" w:eastAsia="zh-CN"/>
        </w:rPr>
        <w:t>采购需求</w:t>
      </w:r>
    </w:p>
    <w:p>
      <w:pPr>
        <w:numPr>
          <w:ilvl w:val="0"/>
          <w:numId w:val="0"/>
        </w:numPr>
        <w:rPr>
          <w:rFonts w:hint="eastAsia"/>
          <w:b/>
          <w:bCs/>
          <w:caps w:val="0"/>
          <w:color w:val="000000"/>
          <w:kern w:val="44"/>
          <w:sz w:val="30"/>
          <w:szCs w:val="44"/>
          <w:highlight w:val="none"/>
          <w:lang w:val="en-US" w:eastAsia="zh-CN"/>
        </w:rPr>
      </w:pPr>
      <w:r>
        <w:rPr>
          <w:rFonts w:hint="eastAsia" w:ascii="宋体" w:hAnsi="Times New Roman" w:eastAsia="宋体" w:cs="Times New Roman"/>
          <w:b/>
          <w:bCs/>
          <w:caps w:val="0"/>
          <w:color w:val="000000"/>
          <w:kern w:val="44"/>
          <w:sz w:val="30"/>
          <w:szCs w:val="44"/>
          <w:lang w:val="en-US" w:eastAsia="zh-CN" w:bidi="ar-SA"/>
        </w:rPr>
        <w:t>一、</w:t>
      </w:r>
      <w:r>
        <w:rPr>
          <w:rFonts w:hint="eastAsia"/>
          <w:b/>
          <w:bCs/>
          <w:caps w:val="0"/>
          <w:color w:val="000000"/>
          <w:kern w:val="44"/>
          <w:sz w:val="30"/>
          <w:szCs w:val="44"/>
          <w:highlight w:val="none"/>
          <w:lang w:val="en-US" w:eastAsia="zh-CN"/>
        </w:rPr>
        <w:t>项目名称、概况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hAnsi="宋体" w:cs="宋体"/>
          <w:color w:val="000000"/>
          <w:highlight w:val="none"/>
          <w:lang w:val="en-US" w:eastAsia="zh-CN"/>
        </w:rPr>
      </w:pPr>
      <w:r>
        <w:rPr>
          <w:rFonts w:hint="eastAsia" w:hAnsi="宋体" w:cs="宋体"/>
          <w:color w:val="000000"/>
          <w:highlight w:val="none"/>
          <w:lang w:val="en-US" w:eastAsia="zh-CN"/>
        </w:rPr>
        <w:t>1.项目名称：香怡物业2025年公众责任险保险采购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caps w:val="0"/>
          <w:color w:val="auto"/>
          <w:kern w:val="44"/>
          <w:sz w:val="30"/>
          <w:szCs w:val="44"/>
          <w:highlight w:val="none"/>
          <w:lang w:val="en-US" w:eastAsia="zh-CN"/>
        </w:rPr>
      </w:pPr>
      <w:r>
        <w:rPr>
          <w:rFonts w:hint="eastAsia" w:hAnsi="宋体" w:cs="宋体"/>
          <w:color w:val="000000"/>
          <w:highlight w:val="none"/>
          <w:lang w:val="en-US" w:eastAsia="zh-CN"/>
        </w:rPr>
        <w:t>2.项目概况：</w:t>
      </w:r>
      <w:r>
        <w:rPr>
          <w:rFonts w:hint="eastAsia" w:hAnsi="宋体" w:cs="宋体"/>
          <w:color w:val="000000"/>
          <w:highlight w:val="none"/>
          <w:lang w:eastAsia="zh-CN"/>
        </w:rPr>
        <w:t>为</w:t>
      </w:r>
      <w:r>
        <w:rPr>
          <w:rFonts w:hint="eastAsia" w:hAnsi="宋体" w:cs="宋体"/>
          <w:color w:val="000000"/>
          <w:highlight w:val="none"/>
        </w:rPr>
        <w:t>香怡物业</w:t>
      </w:r>
      <w:r>
        <w:rPr>
          <w:rFonts w:hint="eastAsia" w:hAnsi="宋体" w:cs="宋体"/>
          <w:color w:val="000000"/>
          <w:highlight w:val="none"/>
          <w:lang w:val="en-US" w:eastAsia="zh-CN"/>
        </w:rPr>
        <w:t>20</w:t>
      </w:r>
      <w:r>
        <w:rPr>
          <w:rFonts w:hint="eastAsia" w:hAnsi="宋体" w:cs="宋体"/>
          <w:color w:val="000000"/>
          <w:highlight w:val="none"/>
        </w:rPr>
        <w:t>个项目点</w:t>
      </w:r>
      <w:r>
        <w:rPr>
          <w:rFonts w:hint="eastAsia" w:hAnsi="宋体" w:cs="宋体"/>
          <w:color w:val="000000"/>
          <w:highlight w:val="none"/>
          <w:lang w:eastAsia="zh-CN"/>
        </w:rPr>
        <w:t>、新桥分公司</w:t>
      </w:r>
      <w:r>
        <w:rPr>
          <w:rFonts w:hint="eastAsia" w:hAnsi="宋体" w:cs="宋体"/>
          <w:color w:val="000000"/>
          <w:highlight w:val="none"/>
          <w:lang w:val="en-US" w:eastAsia="zh-CN"/>
        </w:rPr>
        <w:t>2个项目点</w:t>
      </w:r>
      <w:r>
        <w:rPr>
          <w:rFonts w:hint="eastAsia" w:hAnsi="宋体" w:cs="宋体"/>
          <w:color w:val="000000"/>
          <w:highlight w:val="none"/>
        </w:rPr>
        <w:t>（主要包含公租房、高校后勤、安置房、写字楼、停车场等），建筑面积</w:t>
      </w:r>
      <w:r>
        <w:rPr>
          <w:rFonts w:hint="eastAsia" w:hAnsi="宋体" w:cs="宋体"/>
          <w:color w:val="000000"/>
          <w:highlight w:val="none"/>
          <w:lang w:val="en-US" w:eastAsia="zh-CN"/>
        </w:rPr>
        <w:t>174.78</w:t>
      </w:r>
      <w:r>
        <w:rPr>
          <w:rFonts w:hint="eastAsia" w:hAnsi="宋体" w:cs="宋体"/>
          <w:color w:val="000000"/>
          <w:highlight w:val="none"/>
        </w:rPr>
        <w:t>万㎡</w:t>
      </w:r>
      <w:r>
        <w:rPr>
          <w:rFonts w:hint="eastAsia" w:hAnsi="宋体" w:cs="宋体"/>
          <w:color w:val="000000"/>
          <w:highlight w:val="none"/>
          <w:lang w:eastAsia="zh-CN"/>
        </w:rPr>
        <w:t>，</w:t>
      </w:r>
      <w:r>
        <w:rPr>
          <w:rFonts w:hint="eastAsia" w:hAnsi="宋体" w:cs="宋体"/>
          <w:color w:val="000000"/>
          <w:highlight w:val="none"/>
        </w:rPr>
        <w:t>购置管理公共区域公众责任险。</w:t>
      </w:r>
    </w:p>
    <w:p>
      <w:pPr>
        <w:numPr>
          <w:ilvl w:val="0"/>
          <w:numId w:val="0"/>
        </w:numPr>
        <w:rPr>
          <w:rFonts w:hint="eastAsia"/>
          <w:b/>
          <w:bCs/>
          <w:caps w:val="0"/>
          <w:color w:val="000000"/>
          <w:kern w:val="44"/>
          <w:sz w:val="30"/>
          <w:szCs w:val="44"/>
          <w:highlight w:val="none"/>
          <w:lang w:val="en-US" w:eastAsia="zh-CN"/>
        </w:rPr>
      </w:pPr>
      <w:r>
        <w:rPr>
          <w:rFonts w:hint="eastAsia" w:ascii="宋体" w:hAnsi="Times New Roman" w:eastAsia="宋体" w:cs="Times New Roman"/>
          <w:b/>
          <w:bCs/>
          <w:caps w:val="0"/>
          <w:color w:val="000000"/>
          <w:kern w:val="44"/>
          <w:sz w:val="30"/>
          <w:szCs w:val="44"/>
          <w:lang w:val="en-US" w:eastAsia="zh-CN" w:bidi="ar-SA"/>
        </w:rPr>
        <w:t>二、</w:t>
      </w:r>
      <w:r>
        <w:rPr>
          <w:rFonts w:hint="eastAsia"/>
          <w:b/>
          <w:bCs/>
          <w:caps w:val="0"/>
          <w:color w:val="000000"/>
          <w:kern w:val="44"/>
          <w:sz w:val="30"/>
          <w:szCs w:val="44"/>
          <w:highlight w:val="none"/>
          <w:lang w:val="en-US" w:eastAsia="zh-CN"/>
        </w:rPr>
        <w:t>项目明细</w:t>
      </w:r>
    </w:p>
    <w:tbl>
      <w:tblPr>
        <w:tblStyle w:val="18"/>
        <w:tblpPr w:leftFromText="180" w:rightFromText="180" w:vertAnchor="text" w:horzAnchor="page" w:tblpX="1110" w:tblpY="640"/>
        <w:tblOverlap w:val="never"/>
        <w:tblW w:w="100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650"/>
        <w:gridCol w:w="1395"/>
        <w:gridCol w:w="795"/>
        <w:gridCol w:w="790"/>
        <w:gridCol w:w="1185"/>
        <w:gridCol w:w="855"/>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小区/厂房/公租房地址</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面积（㎡）</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车位数</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车棚/库数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游乐设施（座）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电梯数（台）</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消防设施（套）/配电房（座）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翠微南、北园（翠微路与繁华大道交口）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170478.34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消火栓12个，配电房1座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海恒大厦（翠微路与松谷路交口）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23373.2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消防联动系统1套、配电房1座（1000KVA变压器2台）、二次供水系统1套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明珠广场（金寨路与繁华大道交口）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93240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喷泉1组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1座配电房，室外消火栓3个、1座地库（消火栓42个）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康利园（观海路与慈光路交口）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185578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小区内有消火栓10个，1-3号门面房消防设施30个（已坏）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rPr>
            </w:pPr>
            <w:r>
              <w:rPr>
                <w:rFonts w:hint="eastAsia" w:ascii="仿宋_GB2312" w:hAnsi="宋体" w:eastAsia="仿宋_GB2312" w:cs="仿宋_GB2312"/>
                <w:i w:val="0"/>
                <w:iCs w:val="0"/>
                <w:color w:val="000000"/>
                <w:sz w:val="20"/>
                <w:szCs w:val="20"/>
                <w:u w:val="none"/>
                <w:lang w:val="en-US" w:eastAsia="zh-CN"/>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海恒党群服务中心（海恒街与明月路交口）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17517.12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消防联动系统1套，地下消防泵房1座，生活用水泵房1座，配电房1座、变压器3台、排污泵10台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轩辕路停车场（经开区福安路与轩辕路交叉口西北侧）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3308</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黄岗综合楼（合经区繁华大道与习友路交口）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3994.2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民悦花园(慈光路与宿松路交口西北侧)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222607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消防联动系统1套、配电房2座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恒创公寓（繁华大道与宿松路交叉口向东300米）</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地下泵房1座，生活区：1座配电房，5个变压器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合肥大学后勤中心（经开区云际路65号）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烟感系统1套，室内室外消火栓设施245处，配电房2座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蓬莱花园（合肥市蜀山区紫蓬路333号）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67826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2个（室内）</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游乐设施2处，健身器材18个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室外消火栓6处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桃源小区（金寨路与紫云路交口东北角）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37414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2座</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微型消防站1座，消火栓5个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紫云花园（莲花路与紫云路交口东北角）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201072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地面消火栓20个，配电房4座（3个在用）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天都苑(紫蓬路与佛掌路交口西南侧)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消防联动系统1套、配电房1座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天都公寓（经开区紫石路与青鸾路交口南400米处）</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18066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天门湖公租房（紫云路与蓬莱路交口）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224079.84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44组充电设备</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消防联动系统4套，微型消防站1座，地上配电房2座，地下配电房3座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烟墩商业街（宿松路与紫蓬路交口西北角）</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30281</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消防联动系统1套，污水泵8台</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消火栓161个（地面141个，地下15个，草坪5个）</w:t>
            </w:r>
            <w:r>
              <w:rPr>
                <w:rFonts w:hint="eastAsia"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配电房1个，变压器3台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公墓园（青龙潭路与汤口路交口）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消防联动系统1套、消防泵4台、室外消火栓10个、室外箱式变压器1台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丹霞配送（莲花路与丹霞路交口）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消火栓3个，配电柜1个。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eastAsia="zh-CN" w:bidi="ar-SA"/>
              </w:rPr>
            </w:pPr>
            <w:r>
              <w:rPr>
                <w:rFonts w:hint="default" w:ascii="仿宋_GB2312" w:hAnsi="宋体" w:eastAsia="仿宋_GB2312" w:cs="仿宋_GB2312"/>
                <w:i w:val="0"/>
                <w:iCs w:val="0"/>
                <w:color w:val="000000"/>
                <w:kern w:val="0"/>
                <w:sz w:val="24"/>
                <w:szCs w:val="24"/>
                <w:u w:val="none"/>
                <w:lang w:val="en-US" w:eastAsia="zh-CN" w:bidi="ar"/>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新年菜市场（紫云路和清潭路交口）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集装箱摊位75个</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配电房1座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新桥家园公租房（高刘街道长岗硕放路与紫薇路交口）</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33540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消火栓232个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eastAsia="zh-CN"/>
              </w:rPr>
            </w:pPr>
            <w:r>
              <w:rPr>
                <w:rFonts w:hint="eastAsia" w:ascii="仿宋_GB2312" w:hAnsi="宋体" w:eastAsia="仿宋_GB2312" w:cs="仿宋_GB2312"/>
                <w:i w:val="0"/>
                <w:iCs w:val="0"/>
                <w:color w:val="000000"/>
                <w:sz w:val="24"/>
                <w:szCs w:val="24"/>
                <w:u w:val="none"/>
                <w:lang w:val="en-US" w:eastAsia="zh-CN"/>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t>万家桥生态文化陵园(经开区高刘街道小高路西侧）</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23150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消火栓67个、配电房1座（地上）、消防泵房1个（地下）、墓室30个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r>
              <w:rPr>
                <w:rFonts w:hint="eastAsia" w:hAnsi="宋体" w:cs="宋体"/>
                <w:i w:val="0"/>
                <w:iCs w:val="0"/>
                <w:color w:val="000000"/>
                <w:kern w:val="0"/>
                <w:sz w:val="22"/>
                <w:szCs w:val="22"/>
                <w:u w:val="none"/>
                <w:lang w:val="en-US" w:eastAsia="zh-CN" w:bidi="ar"/>
              </w:rPr>
              <w:t>47834.7</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kern w:val="0"/>
                <w:sz w:val="18"/>
                <w:szCs w:val="18"/>
                <w:u w:val="none"/>
                <w:lang w:val="en-US" w:eastAsia="zh-CN" w:bidi="ar"/>
              </w:rPr>
            </w:pPr>
            <w:r>
              <w:rPr>
                <w:rFonts w:hint="eastAsia" w:hAnsi="宋体" w:cs="宋体"/>
                <w:i w:val="0"/>
                <w:iCs w:val="0"/>
                <w:color w:val="000000"/>
                <w:kern w:val="0"/>
                <w:sz w:val="22"/>
                <w:szCs w:val="22"/>
                <w:u w:val="none"/>
                <w:lang w:val="en-US" w:eastAsia="zh-CN" w:bidi="ar"/>
              </w:rPr>
              <w:t>9000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18"/>
                <w:szCs w:val="18"/>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18"/>
                <w:szCs w:val="18"/>
                <w:u w:val="none"/>
                <w:lang w:val="en-US" w:eastAsia="zh-CN" w:bidi="ar"/>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kern w:val="0"/>
                <w:sz w:val="18"/>
                <w:szCs w:val="18"/>
                <w:u w:val="none"/>
                <w:lang w:val="en-US" w:eastAsia="zh-CN" w:bidi="ar"/>
              </w:rPr>
            </w:pPr>
          </w:p>
        </w:tc>
        <w:tc>
          <w:tcPr>
            <w:tcW w:w="2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lang w:eastAsia="zh-CN"/>
        </w:rPr>
      </w:pPr>
      <w:r>
        <w:rPr>
          <w:rFonts w:hint="eastAsia" w:hAnsi="宋体"/>
        </w:rPr>
        <w:t>备注：每个物业项目的投保范围为物业项目规划横线范围，规划范围不清晰的以实际物业管理区域为准（有围墙的以围墙为界限）</w:t>
      </w:r>
      <w:r>
        <w:rPr>
          <w:rFonts w:hint="eastAsia" w:hAnsi="宋体"/>
          <w:lang w:eastAsia="zh-CN"/>
        </w:rPr>
        <w:t>。</w:t>
      </w:r>
    </w:p>
    <w:p>
      <w:pPr>
        <w:keepNext w:val="0"/>
        <w:keepLines w:val="0"/>
        <w:pageBreakBefore w:val="0"/>
        <w:widowControl w:val="0"/>
        <w:kinsoku/>
        <w:wordWrap/>
        <w:overflowPunct/>
        <w:topLinePunct w:val="0"/>
        <w:autoSpaceDE/>
        <w:autoSpaceDN/>
        <w:bidi w:val="0"/>
        <w:adjustRightInd w:val="0"/>
        <w:snapToGrid w:val="0"/>
        <w:spacing w:after="156" w:afterLines="50"/>
        <w:ind w:firstLine="422" w:firstLineChars="200"/>
        <w:jc w:val="both"/>
        <w:textAlignment w:val="auto"/>
        <w:rPr>
          <w:rFonts w:ascii="Times New Roman"/>
          <w:b/>
          <w:snapToGrid w:val="0"/>
          <w:szCs w:val="21"/>
        </w:rPr>
      </w:pPr>
    </w:p>
    <w:p>
      <w:pPr>
        <w:spacing w:line="360" w:lineRule="auto"/>
        <w:rPr>
          <w:rFonts w:hint="eastAsia" w:hAnsi="宋体"/>
          <w:b/>
          <w:bCs/>
          <w:szCs w:val="24"/>
        </w:rPr>
      </w:pPr>
      <w:r>
        <w:rPr>
          <w:rFonts w:hint="eastAsia"/>
          <w:b/>
          <w:bCs/>
          <w:caps w:val="0"/>
          <w:color w:val="000000"/>
          <w:kern w:val="44"/>
          <w:sz w:val="30"/>
          <w:szCs w:val="44"/>
          <w:highlight w:val="none"/>
          <w:lang w:val="en-US" w:eastAsia="zh-CN"/>
        </w:rPr>
        <w:t>三、</w:t>
      </w:r>
      <w:r>
        <w:rPr>
          <w:rFonts w:hint="eastAsia" w:hAnsi="宋体"/>
          <w:b/>
          <w:bCs/>
          <w:sz w:val="30"/>
          <w:szCs w:val="30"/>
        </w:rPr>
        <w:t>公众责任险须涵盖基本内容</w:t>
      </w:r>
    </w:p>
    <w:tbl>
      <w:tblPr>
        <w:tblStyle w:val="18"/>
        <w:tblW w:w="0" w:type="auto"/>
        <w:tblInd w:w="93" w:type="dxa"/>
        <w:shd w:val="clear" w:color="auto" w:fill="auto"/>
        <w:tblLayout w:type="fixed"/>
        <w:tblCellMar>
          <w:top w:w="0" w:type="dxa"/>
          <w:left w:w="108" w:type="dxa"/>
          <w:bottom w:w="0" w:type="dxa"/>
          <w:right w:w="108" w:type="dxa"/>
        </w:tblCellMar>
      </w:tblPr>
      <w:tblGrid>
        <w:gridCol w:w="724"/>
        <w:gridCol w:w="1843"/>
        <w:gridCol w:w="4961"/>
        <w:gridCol w:w="1559"/>
      </w:tblGrid>
      <w:tr>
        <w:tblPrEx>
          <w:shd w:val="clear" w:color="auto" w:fill="auto"/>
          <w:tblCellMar>
            <w:top w:w="0" w:type="dxa"/>
            <w:left w:w="108" w:type="dxa"/>
            <w:bottom w:w="0" w:type="dxa"/>
            <w:right w:w="108" w:type="dxa"/>
          </w:tblCellMar>
        </w:tblPrEx>
        <w:trPr>
          <w:trHeight w:val="637" w:hRule="atLeast"/>
        </w:trPr>
        <w:tc>
          <w:tcPr>
            <w:tcW w:w="72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b/>
                <w:sz w:val="20"/>
              </w:rPr>
            </w:pPr>
            <w:r>
              <w:rPr>
                <w:rFonts w:hint="eastAsia" w:hAnsi="宋体" w:cs="宋体"/>
                <w:b/>
                <w:sz w:val="20"/>
              </w:rPr>
              <w:t>序号</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tLeast"/>
              <w:jc w:val="center"/>
              <w:rPr>
                <w:rFonts w:hAnsi="宋体" w:cs="宋体"/>
                <w:b/>
                <w:sz w:val="20"/>
              </w:rPr>
            </w:pPr>
            <w:r>
              <w:rPr>
                <w:rFonts w:hint="eastAsia" w:hAnsi="宋体" w:cs="宋体"/>
                <w:b/>
                <w:sz w:val="20"/>
              </w:rPr>
              <w:t>保险项目</w:t>
            </w:r>
          </w:p>
        </w:tc>
        <w:tc>
          <w:tcPr>
            <w:tcW w:w="4961" w:type="dxa"/>
            <w:tcBorders>
              <w:top w:val="single" w:color="auto" w:sz="4" w:space="0"/>
              <w:left w:val="nil"/>
              <w:bottom w:val="single" w:color="auto" w:sz="4" w:space="0"/>
              <w:right w:val="single" w:color="auto" w:sz="4" w:space="0"/>
            </w:tcBorders>
            <w:shd w:val="clear" w:color="auto" w:fill="auto"/>
            <w:noWrap/>
            <w:vAlign w:val="center"/>
          </w:tcPr>
          <w:p>
            <w:pPr>
              <w:spacing w:line="240" w:lineRule="atLeast"/>
              <w:jc w:val="center"/>
              <w:rPr>
                <w:rFonts w:hAnsi="宋体" w:cs="宋体"/>
                <w:b/>
                <w:sz w:val="20"/>
              </w:rPr>
            </w:pPr>
            <w:r>
              <w:rPr>
                <w:rFonts w:hint="eastAsia" w:hAnsi="宋体" w:cs="宋体"/>
                <w:b/>
                <w:sz w:val="20"/>
              </w:rPr>
              <w:t>保险的内容</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spacing w:line="240" w:lineRule="atLeast"/>
              <w:jc w:val="center"/>
              <w:rPr>
                <w:rFonts w:hAnsi="宋体" w:cs="宋体"/>
                <w:b/>
                <w:sz w:val="20"/>
              </w:rPr>
            </w:pPr>
            <w:r>
              <w:rPr>
                <w:rFonts w:hint="eastAsia" w:hAnsi="宋体" w:cs="宋体"/>
                <w:b/>
                <w:sz w:val="20"/>
              </w:rPr>
              <w:t>备 注</w:t>
            </w:r>
          </w:p>
        </w:tc>
      </w:tr>
      <w:tr>
        <w:tblPrEx>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1</w:t>
            </w:r>
          </w:p>
        </w:tc>
        <w:tc>
          <w:tcPr>
            <w:tcW w:w="1843" w:type="dxa"/>
            <w:tcBorders>
              <w:top w:val="nil"/>
              <w:left w:val="nil"/>
              <w:bottom w:val="single" w:color="auto" w:sz="4" w:space="0"/>
              <w:right w:val="single" w:color="auto" w:sz="4" w:space="0"/>
            </w:tcBorders>
            <w:shd w:val="clear" w:color="auto" w:fill="auto"/>
            <w:vAlign w:val="center"/>
          </w:tcPr>
          <w:p>
            <w:pPr>
              <w:spacing w:line="240" w:lineRule="atLeast"/>
              <w:jc w:val="center"/>
              <w:rPr>
                <w:rFonts w:hAnsi="宋体" w:cs="宋体"/>
                <w:sz w:val="20"/>
              </w:rPr>
            </w:pPr>
            <w:r>
              <w:rPr>
                <w:rFonts w:hint="eastAsia" w:hAnsi="宋体" w:cs="宋体"/>
                <w:sz w:val="20"/>
              </w:rPr>
              <w:t>公共道路、台阶等公共区域</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业主或者访客在物业管理的公共区域内发生的</w:t>
            </w:r>
            <w:r>
              <w:rPr>
                <w:rFonts w:hint="eastAsia" w:hAnsi="宋体" w:cs="宋体"/>
                <w:b/>
                <w:bCs/>
                <w:sz w:val="20"/>
              </w:rPr>
              <w:t>跌倒、滑倒、碰撞</w:t>
            </w:r>
            <w:r>
              <w:rPr>
                <w:rFonts w:hint="eastAsia" w:hAnsi="宋体" w:cs="宋体"/>
                <w:sz w:val="20"/>
              </w:rPr>
              <w:t>等事故。</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09"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楼宇</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业主或者访客在物业管理的楼宇公共区域内发生的</w:t>
            </w:r>
            <w:r>
              <w:rPr>
                <w:rFonts w:hint="eastAsia" w:hAnsi="宋体" w:cs="宋体"/>
                <w:b/>
                <w:sz w:val="20"/>
              </w:rPr>
              <w:t>跌落、跌倒、滑倒、</w:t>
            </w:r>
            <w:r>
              <w:rPr>
                <w:rFonts w:hint="eastAsia" w:hAnsi="宋体" w:cs="宋体"/>
                <w:b/>
                <w:color w:val="000000"/>
                <w:sz w:val="20"/>
              </w:rPr>
              <w:t>碰撞</w:t>
            </w:r>
            <w:r>
              <w:rPr>
                <w:rFonts w:hint="eastAsia" w:hAnsi="宋体" w:cs="宋体"/>
                <w:sz w:val="20"/>
              </w:rPr>
              <w:t>等事故。</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54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3</w:t>
            </w:r>
          </w:p>
        </w:tc>
        <w:tc>
          <w:tcPr>
            <w:tcW w:w="1843" w:type="dxa"/>
            <w:tcBorders>
              <w:top w:val="nil"/>
              <w:left w:val="nil"/>
              <w:bottom w:val="single" w:color="auto" w:sz="4" w:space="0"/>
              <w:right w:val="single" w:color="auto" w:sz="4" w:space="0"/>
            </w:tcBorders>
            <w:shd w:val="clear" w:color="auto" w:fill="auto"/>
            <w:vAlign w:val="center"/>
          </w:tcPr>
          <w:p>
            <w:pPr>
              <w:spacing w:line="240" w:lineRule="atLeast"/>
              <w:jc w:val="center"/>
              <w:rPr>
                <w:rFonts w:hAnsi="宋体" w:cs="宋体"/>
                <w:sz w:val="20"/>
              </w:rPr>
            </w:pPr>
            <w:r>
              <w:rPr>
                <w:rFonts w:hint="eastAsia" w:hAnsi="宋体" w:cs="宋体"/>
                <w:sz w:val="20"/>
              </w:rPr>
              <w:t>电梯</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业主或者访客在乘坐电梯时发生的意外事故或者造成的财产损失。</w:t>
            </w:r>
            <w:r>
              <w:rPr>
                <w:rFonts w:hint="eastAsia" w:hAnsi="宋体" w:cs="宋体"/>
                <w:b/>
                <w:sz w:val="20"/>
              </w:rPr>
              <w:t>如：坠落、夹伤、碰撞及电梯自身故障等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4</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消防设施（含管井）</w:t>
            </w:r>
          </w:p>
        </w:tc>
        <w:tc>
          <w:tcPr>
            <w:tcW w:w="4961" w:type="dxa"/>
            <w:tcBorders>
              <w:top w:val="nil"/>
              <w:left w:val="nil"/>
              <w:bottom w:val="single" w:color="auto" w:sz="4" w:space="0"/>
              <w:right w:val="single" w:color="auto" w:sz="4" w:space="0"/>
            </w:tcBorders>
            <w:shd w:val="clear" w:color="auto" w:fill="auto"/>
            <w:vAlign w:val="center"/>
          </w:tcPr>
          <w:p>
            <w:pPr>
              <w:spacing w:line="240" w:lineRule="atLeast"/>
              <w:rPr>
                <w:rFonts w:hAnsi="宋体" w:cs="宋体"/>
                <w:sz w:val="20"/>
              </w:rPr>
            </w:pPr>
            <w:r>
              <w:rPr>
                <w:rFonts w:hint="eastAsia" w:hAnsi="宋体" w:cs="宋体"/>
                <w:sz w:val="20"/>
              </w:rPr>
              <w:t>业主或者访客在消防设施区域发生的意外事故或者造成的财产损失。</w:t>
            </w:r>
            <w:r>
              <w:rPr>
                <w:rFonts w:hint="eastAsia" w:hAnsi="宋体" w:cs="宋体"/>
                <w:b/>
                <w:sz w:val="20"/>
              </w:rPr>
              <w:t>如：漏水、井盖缺失损坏等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5</w:t>
            </w:r>
          </w:p>
        </w:tc>
        <w:tc>
          <w:tcPr>
            <w:tcW w:w="1843" w:type="dxa"/>
            <w:tcBorders>
              <w:top w:val="nil"/>
              <w:left w:val="nil"/>
              <w:bottom w:val="single" w:color="auto" w:sz="4" w:space="0"/>
              <w:right w:val="single" w:color="auto" w:sz="4" w:space="0"/>
            </w:tcBorders>
            <w:shd w:val="clear" w:color="auto" w:fill="auto"/>
            <w:vAlign w:val="center"/>
          </w:tcPr>
          <w:p>
            <w:pPr>
              <w:spacing w:line="240" w:lineRule="atLeast"/>
              <w:jc w:val="center"/>
              <w:rPr>
                <w:rFonts w:hAnsi="宋体" w:cs="宋体"/>
                <w:sz w:val="20"/>
              </w:rPr>
            </w:pPr>
            <w:r>
              <w:rPr>
                <w:rFonts w:hint="eastAsia" w:hAnsi="宋体" w:cs="宋体"/>
                <w:sz w:val="20"/>
              </w:rPr>
              <w:t>配电房系统（含管井）</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业主或者访客在配电</w:t>
            </w:r>
            <w:r>
              <w:rPr>
                <w:rFonts w:hint="eastAsia" w:hAnsi="宋体" w:cs="宋体"/>
                <w:color w:val="000000"/>
                <w:sz w:val="20"/>
              </w:rPr>
              <w:t>系统</w:t>
            </w:r>
            <w:r>
              <w:rPr>
                <w:rFonts w:hint="eastAsia" w:hAnsi="宋体" w:cs="宋体"/>
                <w:sz w:val="20"/>
              </w:rPr>
              <w:t>区域发生的意外事故或者造成的财产损失。</w:t>
            </w:r>
            <w:r>
              <w:rPr>
                <w:rFonts w:hint="eastAsia" w:hAnsi="宋体" w:cs="宋体"/>
                <w:b/>
                <w:sz w:val="20"/>
              </w:rPr>
              <w:t>如：漏电、火灾、有毒气体等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544"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6</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二次供水、雨污系统（含管井）</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二次供水</w:t>
            </w:r>
            <w:r>
              <w:rPr>
                <w:rFonts w:hint="eastAsia" w:hAnsi="宋体" w:cs="宋体"/>
                <w:color w:val="000000"/>
                <w:sz w:val="20"/>
              </w:rPr>
              <w:t>、雨污系统（含</w:t>
            </w:r>
            <w:r>
              <w:rPr>
                <w:rFonts w:hint="eastAsia" w:hAnsi="宋体" w:cs="宋体"/>
                <w:sz w:val="20"/>
              </w:rPr>
              <w:t>管井）给业主或者访客造成的意外事故或者财产损失。如：</w:t>
            </w:r>
            <w:r>
              <w:rPr>
                <w:rFonts w:hint="eastAsia" w:hAnsi="宋体" w:cs="宋体"/>
                <w:b/>
                <w:sz w:val="20"/>
              </w:rPr>
              <w:t>跌落、有毒气体、井盖缺失损坏等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567"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7</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地下车库</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业主或者访客的车辆，停放在地下车库</w:t>
            </w:r>
            <w:r>
              <w:rPr>
                <w:rFonts w:hAnsi="宋体"/>
                <w:szCs w:val="21"/>
              </w:rPr>
              <w:t>遭受损失时，被保险人应负的法律赔偿责任</w:t>
            </w:r>
            <w:r>
              <w:rPr>
                <w:rFonts w:hint="eastAsia" w:hAnsi="宋体"/>
                <w:szCs w:val="21"/>
              </w:rPr>
              <w:t>。</w:t>
            </w:r>
            <w:r>
              <w:rPr>
                <w:rFonts w:hint="eastAsia" w:hAnsi="宋体"/>
                <w:b/>
                <w:szCs w:val="21"/>
              </w:rPr>
              <w:t>如：车辆刮擦、受损等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560"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8</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非机动车棚</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业主或者访客的车辆，停放在车棚</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w:t>
            </w:r>
            <w:r>
              <w:rPr>
                <w:rFonts w:hint="eastAsia" w:hAnsi="宋体"/>
                <w:b/>
                <w:szCs w:val="21"/>
              </w:rPr>
              <w:t>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555"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9</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地面停放</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业主或者访客的车辆，停放在地面</w:t>
            </w:r>
            <w:r>
              <w:rPr>
                <w:rFonts w:hAnsi="宋体"/>
                <w:szCs w:val="21"/>
              </w:rPr>
              <w:t>遭受损失时，</w:t>
            </w:r>
            <w:r>
              <w:rPr>
                <w:rFonts w:hint="eastAsia" w:hAnsi="宋体"/>
                <w:szCs w:val="21"/>
              </w:rPr>
              <w:t>物业</w:t>
            </w:r>
            <w:r>
              <w:rPr>
                <w:rFonts w:hAnsi="宋体"/>
                <w:szCs w:val="21"/>
              </w:rPr>
              <w:t>应负的法律赔偿责任</w:t>
            </w:r>
            <w:r>
              <w:rPr>
                <w:rFonts w:hint="eastAsia" w:hAnsi="宋体"/>
                <w:szCs w:val="21"/>
              </w:rPr>
              <w:t>。</w:t>
            </w:r>
            <w:r>
              <w:rPr>
                <w:rFonts w:hint="eastAsia" w:hAnsi="宋体"/>
                <w:b/>
                <w:szCs w:val="21"/>
              </w:rPr>
              <w:t>如：车辆刮擦、</w:t>
            </w:r>
            <w:r>
              <w:rPr>
                <w:rFonts w:hint="eastAsia" w:hAnsi="宋体"/>
                <w:b/>
                <w:color w:val="000000"/>
                <w:szCs w:val="21"/>
              </w:rPr>
              <w:t>受损等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548"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10</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健身设施</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业主或者访客使用健身设施发生的意外事故或者造成的财产损失等。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shd w:val="clear" w:color="auto" w:fill="auto"/>
          <w:tblCellMar>
            <w:top w:w="0" w:type="dxa"/>
            <w:left w:w="108" w:type="dxa"/>
            <w:bottom w:w="0" w:type="dxa"/>
            <w:right w:w="108" w:type="dxa"/>
          </w:tblCellMar>
        </w:tblPrEx>
        <w:trPr>
          <w:trHeight w:val="702"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11</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绿化、灯箱、广告牌、</w:t>
            </w:r>
            <w:r>
              <w:rPr>
                <w:rFonts w:hint="eastAsia" w:hAnsi="宋体" w:cs="宋体"/>
                <w:color w:val="000000"/>
                <w:sz w:val="20"/>
              </w:rPr>
              <w:t>高空坠物</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绿化、灯箱、广告牌、高空坠物给业主或者访客造成的意外事故或者财产损失。</w:t>
            </w:r>
            <w:r>
              <w:rPr>
                <w:rFonts w:hint="eastAsia" w:hAnsi="宋体" w:cs="宋体"/>
                <w:b/>
                <w:sz w:val="20"/>
              </w:rPr>
              <w:t>如：灯箱、广告牌掉落、漏电、</w:t>
            </w:r>
            <w:r>
              <w:rPr>
                <w:rFonts w:hint="eastAsia" w:hAnsi="宋体" w:cs="宋体"/>
                <w:b/>
                <w:color w:val="000000"/>
                <w:sz w:val="20"/>
              </w:rPr>
              <w:t>高空坠物等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r>
        <w:tblPrEx>
          <w:tblCellMar>
            <w:top w:w="0" w:type="dxa"/>
            <w:left w:w="108" w:type="dxa"/>
            <w:bottom w:w="0" w:type="dxa"/>
            <w:right w:w="108" w:type="dxa"/>
          </w:tblCellMar>
        </w:tblPrEx>
        <w:trPr>
          <w:trHeight w:val="566" w:hRule="atLeast"/>
        </w:trPr>
        <w:tc>
          <w:tcPr>
            <w:tcW w:w="724" w:type="dxa"/>
            <w:tcBorders>
              <w:top w:val="nil"/>
              <w:left w:val="single" w:color="auto" w:sz="4" w:space="0"/>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12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r>
              <w:rPr>
                <w:rFonts w:hint="eastAsia" w:hAnsi="宋体" w:cs="宋体"/>
                <w:sz w:val="20"/>
              </w:rPr>
              <w:t>路灯、电线杆、</w:t>
            </w:r>
            <w:r>
              <w:rPr>
                <w:rFonts w:hint="eastAsia" w:hAnsi="宋体" w:cs="宋体"/>
                <w:color w:val="000000"/>
                <w:sz w:val="20"/>
              </w:rPr>
              <w:t>树木</w:t>
            </w:r>
          </w:p>
        </w:tc>
        <w:tc>
          <w:tcPr>
            <w:tcW w:w="4961" w:type="dxa"/>
            <w:tcBorders>
              <w:top w:val="nil"/>
              <w:left w:val="nil"/>
              <w:bottom w:val="single" w:color="auto" w:sz="4" w:space="0"/>
              <w:right w:val="single" w:color="auto" w:sz="4" w:space="0"/>
            </w:tcBorders>
            <w:shd w:val="clear" w:color="auto" w:fill="auto"/>
            <w:noWrap/>
            <w:vAlign w:val="center"/>
          </w:tcPr>
          <w:p>
            <w:pPr>
              <w:spacing w:line="240" w:lineRule="atLeast"/>
              <w:rPr>
                <w:rFonts w:hAnsi="宋体" w:cs="宋体"/>
                <w:sz w:val="20"/>
              </w:rPr>
            </w:pPr>
            <w:r>
              <w:rPr>
                <w:rFonts w:hint="eastAsia" w:hAnsi="宋体" w:cs="宋体"/>
                <w:sz w:val="20"/>
              </w:rPr>
              <w:t>路灯、电线杆</w:t>
            </w:r>
            <w:r>
              <w:rPr>
                <w:rFonts w:hint="eastAsia" w:hAnsi="宋体" w:cs="宋体"/>
                <w:color w:val="000000"/>
                <w:sz w:val="20"/>
              </w:rPr>
              <w:t>、树木给业主或者访客造成的意外事故或者财产损失。</w:t>
            </w:r>
            <w:r>
              <w:rPr>
                <w:rFonts w:hint="eastAsia" w:hAnsi="宋体" w:cs="宋体"/>
                <w:b/>
                <w:color w:val="000000"/>
                <w:sz w:val="20"/>
              </w:rPr>
              <w:t>如：路灯、电线杆倒塌、漏电</w:t>
            </w:r>
            <w:r>
              <w:rPr>
                <w:rFonts w:hint="eastAsia" w:hAnsi="宋体" w:cs="宋体"/>
                <w:b/>
                <w:color w:val="000000"/>
                <w:sz w:val="20"/>
                <w:lang w:eastAsia="zh-CN"/>
              </w:rPr>
              <w:t>，</w:t>
            </w:r>
            <w:r>
              <w:rPr>
                <w:rFonts w:hint="eastAsia" w:hAnsi="宋体" w:cs="宋体"/>
                <w:b/>
                <w:color w:val="000000"/>
                <w:sz w:val="20"/>
              </w:rPr>
              <w:t>树木倒伏、断裂等</w:t>
            </w:r>
          </w:p>
        </w:tc>
        <w:tc>
          <w:tcPr>
            <w:tcW w:w="1559" w:type="dxa"/>
            <w:tcBorders>
              <w:top w:val="nil"/>
              <w:left w:val="nil"/>
              <w:bottom w:val="single" w:color="auto" w:sz="4" w:space="0"/>
              <w:right w:val="single" w:color="auto" w:sz="4" w:space="0"/>
            </w:tcBorders>
            <w:shd w:val="clear" w:color="auto" w:fill="auto"/>
            <w:noWrap/>
            <w:vAlign w:val="center"/>
          </w:tcPr>
          <w:p>
            <w:pPr>
              <w:spacing w:line="240" w:lineRule="atLeast"/>
              <w:jc w:val="center"/>
              <w:rPr>
                <w:rFonts w:hAnsi="宋体" w:cs="宋体"/>
                <w:sz w:val="20"/>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iCs w:val="0"/>
          <w:caps w:val="0"/>
          <w:color w:val="auto"/>
          <w:spacing w:val="0"/>
          <w:sz w:val="30"/>
          <w:szCs w:val="30"/>
          <w:shd w:val="clear" w:fill="FFFFFF"/>
          <w:lang w:val="en-US" w:eastAsia="zh-CN"/>
        </w:rPr>
      </w:pPr>
      <w:r>
        <w:rPr>
          <w:rFonts w:hint="eastAsia" w:ascii="宋体" w:hAnsi="宋体" w:eastAsia="宋体" w:cs="宋体"/>
          <w:b/>
          <w:bCs/>
          <w:i w:val="0"/>
          <w:iCs w:val="0"/>
          <w:caps w:val="0"/>
          <w:color w:val="auto"/>
          <w:spacing w:val="0"/>
          <w:sz w:val="30"/>
          <w:szCs w:val="30"/>
          <w:shd w:val="clear" w:fill="FFFFFF"/>
          <w:lang w:val="en-US" w:eastAsia="zh-CN"/>
        </w:rPr>
        <w:t>四、赔付</w:t>
      </w:r>
      <w:r>
        <w:rPr>
          <w:rFonts w:hint="eastAsia" w:hAnsi="宋体" w:cs="宋体"/>
          <w:b/>
          <w:bCs/>
          <w:i w:val="0"/>
          <w:iCs w:val="0"/>
          <w:caps w:val="0"/>
          <w:color w:val="auto"/>
          <w:spacing w:val="0"/>
          <w:sz w:val="30"/>
          <w:szCs w:val="30"/>
          <w:shd w:val="clear" w:fill="FFFFFF"/>
          <w:lang w:val="en-US" w:eastAsia="zh-CN"/>
        </w:rPr>
        <w:t>额度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主险：累计赔偿限额 1000万元，每次事故赔偿限额 200万元，每次事故财产赔偿限额100万元，每人赔偿限额80 万元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附加险：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1.停车场责任，累计赔偿限额200万元，每次事故赔偿限额100万元，每次事故财产赔偿限额50万元</w:t>
      </w:r>
      <w:r>
        <w:rPr>
          <w:rFonts w:hint="eastAsia" w:hAnsi="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2.火灾、水损、爆炸责任，限额同主险；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3.电梯责任，限额同主险；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4.广告及装饰装置责任，限额同主险；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5.娱乐设施责任，限额同主险；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6.因物业自身原因致使消防设施</w:t>
      </w:r>
      <w:r>
        <w:rPr>
          <w:rFonts w:hint="eastAsia" w:hAnsi="宋体" w:cs="宋体"/>
          <w:sz w:val="24"/>
          <w:szCs w:val="24"/>
          <w:lang w:eastAsia="zh-CN"/>
        </w:rPr>
        <w:t>、</w:t>
      </w:r>
      <w:r>
        <w:rPr>
          <w:rFonts w:hint="eastAsia" w:ascii="宋体" w:hAnsi="宋体" w:eastAsia="宋体" w:cs="宋体"/>
          <w:sz w:val="24"/>
          <w:szCs w:val="24"/>
        </w:rPr>
        <w:t>供热系统</w:t>
      </w:r>
      <w:r>
        <w:rPr>
          <w:rFonts w:hint="eastAsia" w:hAnsi="宋体" w:cs="宋体"/>
          <w:sz w:val="24"/>
          <w:szCs w:val="24"/>
          <w:lang w:eastAsia="zh-CN"/>
        </w:rPr>
        <w:t>、</w:t>
      </w:r>
      <w:r>
        <w:rPr>
          <w:rFonts w:hint="eastAsia" w:ascii="宋体" w:hAnsi="宋体" w:eastAsia="宋体" w:cs="宋体"/>
          <w:sz w:val="24"/>
          <w:szCs w:val="24"/>
        </w:rPr>
        <w:t>配电房造成三者损失属于保险责任，限额同主险；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7.非机动车充电桩、电动车充电桩责任，限额同主险；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8.雷击、大雨、大风、大雪等自然灾害引发的次生灾害责任，限额同主险；</w:t>
      </w:r>
    </w:p>
    <w:p>
      <w:pPr>
        <w:adjustRightInd w:val="0"/>
        <w:snapToGrid w:val="0"/>
        <w:spacing w:after="156" w:afterLines="50"/>
        <w:jc w:val="both"/>
        <w:rPr>
          <w:rFonts w:hint="eastAsia"/>
          <w:b/>
          <w:bCs/>
          <w:caps w:val="0"/>
          <w:color w:val="000000"/>
          <w:kern w:val="44"/>
          <w:sz w:val="30"/>
          <w:szCs w:val="44"/>
          <w:highlight w:val="none"/>
          <w:lang w:val="en-US" w:eastAsia="zh-CN"/>
        </w:rPr>
      </w:pPr>
      <w:r>
        <w:rPr>
          <w:rFonts w:hint="eastAsia" w:hAnsi="宋体"/>
          <w:b/>
          <w:bCs/>
          <w:sz w:val="30"/>
          <w:szCs w:val="30"/>
          <w:lang w:eastAsia="zh-CN"/>
        </w:rPr>
        <w:t>五、</w:t>
      </w:r>
      <w:r>
        <w:rPr>
          <w:rFonts w:hint="eastAsia"/>
          <w:b/>
          <w:bCs/>
          <w:caps w:val="0"/>
          <w:color w:val="000000"/>
          <w:kern w:val="44"/>
          <w:sz w:val="30"/>
          <w:szCs w:val="44"/>
          <w:highlight w:val="none"/>
          <w:lang w:val="en-US" w:eastAsia="zh-CN"/>
        </w:rPr>
        <w:t>投标单位资格要求</w:t>
      </w:r>
    </w:p>
    <w:p>
      <w:pPr>
        <w:keepNext w:val="0"/>
        <w:keepLines w:val="0"/>
        <w:pageBreakBefore w:val="0"/>
        <w:kinsoku/>
        <w:wordWrap/>
        <w:overflowPunct/>
        <w:topLinePunct w:val="0"/>
        <w:autoSpaceDE w:val="0"/>
        <w:autoSpaceDN w:val="0"/>
        <w:bidi w:val="0"/>
        <w:adjustRightInd w:val="0"/>
        <w:snapToGrid/>
        <w:spacing w:line="360" w:lineRule="auto"/>
        <w:ind w:firstLine="480" w:firstLineChars="200"/>
        <w:jc w:val="left"/>
        <w:textAlignment w:val="auto"/>
        <w:rPr>
          <w:rFonts w:hAnsi="宋体"/>
          <w:color w:val="000000"/>
          <w:sz w:val="24"/>
          <w:szCs w:val="24"/>
          <w:highlight w:val="none"/>
        </w:rPr>
      </w:pPr>
      <w:r>
        <w:rPr>
          <w:rFonts w:hint="eastAsia" w:hAnsi="宋体"/>
          <w:color w:val="000000"/>
          <w:sz w:val="24"/>
          <w:szCs w:val="24"/>
          <w:highlight w:val="none"/>
        </w:rPr>
        <w:t>1</w:t>
      </w:r>
      <w:r>
        <w:rPr>
          <w:rFonts w:hint="eastAsia" w:hAnsi="宋体"/>
          <w:color w:val="000000"/>
          <w:sz w:val="24"/>
          <w:szCs w:val="24"/>
          <w:highlight w:val="none"/>
          <w:lang w:val="en-US" w:eastAsia="zh-CN"/>
        </w:rPr>
        <w:t>.</w:t>
      </w:r>
      <w:r>
        <w:rPr>
          <w:rFonts w:hint="eastAsia" w:hAnsi="宋体"/>
          <w:color w:val="000000"/>
          <w:sz w:val="24"/>
          <w:szCs w:val="24"/>
          <w:highlight w:val="none"/>
        </w:rPr>
        <w:t>具有中国银行保险监督管理委员会（或原保监会）颁发的《经营保险业务许可证》</w:t>
      </w:r>
      <w:r>
        <w:rPr>
          <w:rFonts w:hint="eastAsia" w:hAnsi="宋体"/>
          <w:color w:val="000000"/>
          <w:sz w:val="24"/>
          <w:szCs w:val="24"/>
          <w:highlight w:val="none"/>
          <w:lang w:eastAsia="zh-CN"/>
        </w:rPr>
        <w:t>；</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hAnsi="宋体"/>
          <w:color w:val="000000"/>
          <w:sz w:val="24"/>
          <w:szCs w:val="24"/>
          <w:highlight w:val="none"/>
          <w:lang w:eastAsia="zh-CN"/>
        </w:rPr>
      </w:pPr>
      <w:r>
        <w:rPr>
          <w:rFonts w:hAnsi="宋体"/>
          <w:color w:val="000000"/>
          <w:sz w:val="24"/>
          <w:szCs w:val="24"/>
          <w:highlight w:val="none"/>
        </w:rPr>
        <w:t>2</w:t>
      </w:r>
      <w:r>
        <w:rPr>
          <w:rFonts w:hint="eastAsia" w:hAnsi="宋体"/>
          <w:color w:val="000000"/>
          <w:sz w:val="24"/>
          <w:szCs w:val="24"/>
          <w:highlight w:val="none"/>
          <w:lang w:val="en-US" w:eastAsia="zh-CN"/>
        </w:rPr>
        <w:t>.</w:t>
      </w:r>
      <w:r>
        <w:rPr>
          <w:rFonts w:hAnsi="宋体"/>
          <w:color w:val="000000"/>
          <w:sz w:val="24"/>
          <w:szCs w:val="24"/>
          <w:highlight w:val="none"/>
        </w:rPr>
        <w:t>同一保险公司只能有一家投标人参加投标；</w:t>
      </w:r>
    </w:p>
    <w:p>
      <w:pPr>
        <w:keepNext w:val="0"/>
        <w:keepLines w:val="0"/>
        <w:pageBreakBefore w:val="0"/>
        <w:widowControl/>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rPr>
      </w:pPr>
      <w:r>
        <w:rPr>
          <w:rFonts w:hint="eastAsia" w:hAnsi="宋体"/>
          <w:color w:val="000000"/>
          <w:sz w:val="24"/>
          <w:szCs w:val="24"/>
          <w:highlight w:val="none"/>
          <w:lang w:val="en-US" w:eastAsia="zh-CN"/>
        </w:rPr>
        <w:t>3.</w:t>
      </w:r>
      <w:r>
        <w:rPr>
          <w:rFonts w:hint="eastAsia" w:hAnsi="宋体"/>
          <w:color w:val="000000"/>
          <w:sz w:val="24"/>
          <w:szCs w:val="24"/>
          <w:highlight w:val="none"/>
        </w:rPr>
        <w:t>20</w:t>
      </w:r>
      <w:r>
        <w:rPr>
          <w:rFonts w:hint="eastAsia" w:hAnsi="宋体"/>
          <w:color w:val="000000"/>
          <w:sz w:val="24"/>
          <w:szCs w:val="24"/>
          <w:highlight w:val="none"/>
          <w:lang w:val="en-US" w:eastAsia="zh-CN"/>
        </w:rPr>
        <w:t>22</w:t>
      </w:r>
      <w:r>
        <w:rPr>
          <w:rFonts w:hint="eastAsia" w:hAnsi="宋体"/>
          <w:color w:val="000000"/>
          <w:sz w:val="24"/>
          <w:szCs w:val="24"/>
          <w:highlight w:val="none"/>
        </w:rPr>
        <w:t>年以来，具有承保过类似公众责任险服务业绩。</w:t>
      </w:r>
    </w:p>
    <w:p>
      <w:pPr>
        <w:numPr>
          <w:ilvl w:val="0"/>
          <w:numId w:val="0"/>
        </w:numPr>
        <w:spacing w:line="360" w:lineRule="auto"/>
        <w:jc w:val="both"/>
        <w:rPr>
          <w:rFonts w:hAnsi="宋体"/>
          <w:b/>
          <w:szCs w:val="24"/>
        </w:rPr>
      </w:pPr>
      <w:r>
        <w:rPr>
          <w:rFonts w:hint="eastAsia" w:ascii="宋体" w:hAnsi="宋体" w:eastAsia="宋体" w:cs="宋体"/>
          <w:b/>
          <w:bCs/>
          <w:sz w:val="30"/>
          <w:szCs w:val="30"/>
          <w:lang w:eastAsia="zh-CN"/>
        </w:rPr>
        <w:t>六、</w:t>
      </w:r>
      <w:bookmarkStart w:id="8" w:name="_Hlt240110027"/>
      <w:bookmarkEnd w:id="8"/>
      <w:r>
        <w:rPr>
          <w:rFonts w:hint="eastAsia" w:hAnsi="宋体" w:cs="宋体"/>
          <w:b/>
          <w:bCs/>
          <w:sz w:val="30"/>
          <w:szCs w:val="30"/>
          <w:lang w:eastAsia="zh-CN"/>
        </w:rPr>
        <w:t>投标单位</w:t>
      </w:r>
      <w:r>
        <w:rPr>
          <w:rFonts w:hint="eastAsia" w:hAnsi="宋体"/>
          <w:b/>
          <w:sz w:val="30"/>
          <w:szCs w:val="30"/>
        </w:rPr>
        <w:t>服务承诺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sz w:val="24"/>
          <w:szCs w:val="24"/>
        </w:rPr>
      </w:pPr>
      <w:r>
        <w:rPr>
          <w:rFonts w:hint="eastAsia" w:hAnsi="宋体"/>
          <w:sz w:val="24"/>
          <w:szCs w:val="24"/>
          <w:lang w:eastAsia="zh-CN"/>
        </w:rPr>
        <w:t>（一）</w:t>
      </w:r>
      <w:r>
        <w:rPr>
          <w:rFonts w:hint="eastAsia" w:hAnsi="宋体"/>
          <w:sz w:val="24"/>
          <w:szCs w:val="24"/>
        </w:rPr>
        <w:t>成立项目小组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sz w:val="24"/>
          <w:szCs w:val="24"/>
        </w:rPr>
      </w:pPr>
      <w:r>
        <w:rPr>
          <w:rFonts w:hint="eastAsia" w:hAnsi="宋体"/>
          <w:sz w:val="24"/>
          <w:szCs w:val="24"/>
        </w:rPr>
        <w:t>为保证与投保人、被保险人建立良好的保险合作关系，</w:t>
      </w:r>
      <w:r>
        <w:rPr>
          <w:rFonts w:hAnsi="宋体"/>
          <w:sz w:val="24"/>
          <w:szCs w:val="24"/>
        </w:rPr>
        <w:t>保险</w:t>
      </w:r>
      <w:r>
        <w:rPr>
          <w:rFonts w:hint="eastAsia" w:hAnsi="宋体"/>
          <w:sz w:val="24"/>
          <w:szCs w:val="24"/>
        </w:rPr>
        <w:t>人</w:t>
      </w:r>
      <w:r>
        <w:rPr>
          <w:rFonts w:hint="eastAsia" w:hAnsi="宋体"/>
          <w:sz w:val="24"/>
          <w:szCs w:val="24"/>
          <w:lang w:eastAsia="zh-CN"/>
        </w:rPr>
        <w:t>应</w:t>
      </w:r>
      <w:r>
        <w:rPr>
          <w:rFonts w:hint="eastAsia" w:hAnsi="宋体"/>
          <w:sz w:val="24"/>
          <w:szCs w:val="24"/>
        </w:rPr>
        <w:t>成立现场服务小组，负责区域内保险项目出单工作，日常与投保人、被保险人的联络沟通，现场查勘、材料收集、定损理赔工作，听取意见和建议，全面服务于整个保险期间，保证保险服务各项工作有序开展。</w:t>
      </w:r>
    </w:p>
    <w:tbl>
      <w:tblPr>
        <w:tblStyle w:val="18"/>
        <w:tblW w:w="8424" w:type="dxa"/>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1065"/>
        <w:gridCol w:w="1734"/>
        <w:gridCol w:w="21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Align w:val="center"/>
          </w:tcPr>
          <w:p>
            <w:pPr>
              <w:spacing w:line="240" w:lineRule="atLeast"/>
              <w:jc w:val="center"/>
              <w:rPr>
                <w:rFonts w:hAnsi="宋体"/>
                <w:szCs w:val="24"/>
              </w:rPr>
            </w:pPr>
            <w:r>
              <w:rPr>
                <w:rFonts w:hint="eastAsia" w:hAnsi="宋体"/>
                <w:szCs w:val="24"/>
              </w:rPr>
              <w:t>公司</w:t>
            </w:r>
          </w:p>
        </w:tc>
        <w:tc>
          <w:tcPr>
            <w:tcW w:w="1065" w:type="dxa"/>
            <w:vAlign w:val="center"/>
          </w:tcPr>
          <w:p>
            <w:pPr>
              <w:spacing w:line="240" w:lineRule="atLeast"/>
              <w:jc w:val="center"/>
              <w:rPr>
                <w:rFonts w:hAnsi="宋体"/>
                <w:szCs w:val="24"/>
              </w:rPr>
            </w:pPr>
          </w:p>
          <w:p>
            <w:pPr>
              <w:spacing w:line="240" w:lineRule="atLeast"/>
              <w:jc w:val="center"/>
              <w:rPr>
                <w:rFonts w:hAnsi="宋体"/>
                <w:szCs w:val="24"/>
              </w:rPr>
            </w:pPr>
            <w:r>
              <w:rPr>
                <w:rFonts w:hint="eastAsia" w:hAnsi="宋体"/>
                <w:szCs w:val="24"/>
              </w:rPr>
              <w:t>联系人</w:t>
            </w:r>
          </w:p>
          <w:p>
            <w:pPr>
              <w:spacing w:line="240" w:lineRule="atLeast"/>
              <w:jc w:val="center"/>
              <w:rPr>
                <w:rFonts w:hAnsi="宋体"/>
                <w:szCs w:val="24"/>
              </w:rPr>
            </w:pPr>
          </w:p>
        </w:tc>
        <w:tc>
          <w:tcPr>
            <w:tcW w:w="1734" w:type="dxa"/>
            <w:vAlign w:val="center"/>
          </w:tcPr>
          <w:p>
            <w:pPr>
              <w:spacing w:line="240" w:lineRule="atLeast"/>
              <w:jc w:val="center"/>
              <w:rPr>
                <w:rFonts w:hAnsi="宋体"/>
                <w:szCs w:val="24"/>
              </w:rPr>
            </w:pPr>
            <w:r>
              <w:rPr>
                <w:rFonts w:hint="eastAsia" w:hAnsi="宋体"/>
                <w:szCs w:val="24"/>
              </w:rPr>
              <w:t>公司职务</w:t>
            </w:r>
          </w:p>
        </w:tc>
        <w:tc>
          <w:tcPr>
            <w:tcW w:w="2160" w:type="dxa"/>
            <w:vAlign w:val="center"/>
          </w:tcPr>
          <w:p>
            <w:pPr>
              <w:spacing w:line="240" w:lineRule="atLeast"/>
              <w:jc w:val="center"/>
              <w:rPr>
                <w:rFonts w:hAnsi="宋体"/>
                <w:szCs w:val="24"/>
              </w:rPr>
            </w:pPr>
            <w:r>
              <w:rPr>
                <w:rFonts w:hint="eastAsia" w:hAnsi="宋体"/>
                <w:szCs w:val="24"/>
              </w:rPr>
              <w:t>固定电话</w:t>
            </w:r>
          </w:p>
        </w:tc>
        <w:tc>
          <w:tcPr>
            <w:tcW w:w="1800" w:type="dxa"/>
            <w:vAlign w:val="center"/>
          </w:tcPr>
          <w:p>
            <w:pPr>
              <w:spacing w:line="240" w:lineRule="atLeast"/>
              <w:jc w:val="center"/>
              <w:rPr>
                <w:rFonts w:hAnsi="宋体"/>
                <w:szCs w:val="24"/>
              </w:rPr>
            </w:pPr>
            <w:r>
              <w:rPr>
                <w:rFonts w:hint="eastAsia" w:hAnsi="宋体"/>
                <w:szCs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restart"/>
            <w:vAlign w:val="center"/>
          </w:tcPr>
          <w:p>
            <w:pPr>
              <w:spacing w:line="240" w:lineRule="atLeast"/>
              <w:jc w:val="center"/>
              <w:rPr>
                <w:rFonts w:hAnsi="宋体"/>
                <w:szCs w:val="24"/>
              </w:rPr>
            </w:pPr>
          </w:p>
          <w:p>
            <w:pPr>
              <w:spacing w:line="240" w:lineRule="atLeast"/>
              <w:jc w:val="center"/>
              <w:rPr>
                <w:rFonts w:hAnsi="宋体"/>
                <w:szCs w:val="24"/>
              </w:rPr>
            </w:pPr>
          </w:p>
          <w:p>
            <w:pPr>
              <w:spacing w:line="240" w:lineRule="atLeast"/>
              <w:jc w:val="center"/>
              <w:rPr>
                <w:rFonts w:hAnsi="宋体"/>
                <w:szCs w:val="24"/>
              </w:rPr>
            </w:pPr>
          </w:p>
        </w:tc>
        <w:tc>
          <w:tcPr>
            <w:tcW w:w="1065" w:type="dxa"/>
            <w:vAlign w:val="center"/>
          </w:tcPr>
          <w:p>
            <w:pPr>
              <w:spacing w:line="240" w:lineRule="atLeast"/>
              <w:jc w:val="center"/>
              <w:rPr>
                <w:rFonts w:hAnsi="宋体"/>
                <w:szCs w:val="24"/>
              </w:rPr>
            </w:pPr>
          </w:p>
          <w:p>
            <w:pPr>
              <w:spacing w:line="240" w:lineRule="atLeast"/>
              <w:jc w:val="center"/>
              <w:rPr>
                <w:rFonts w:hAnsi="宋体"/>
                <w:szCs w:val="24"/>
              </w:rPr>
            </w:pPr>
          </w:p>
        </w:tc>
        <w:tc>
          <w:tcPr>
            <w:tcW w:w="1734" w:type="dxa"/>
            <w:vAlign w:val="center"/>
          </w:tcPr>
          <w:p>
            <w:pPr>
              <w:spacing w:line="240" w:lineRule="atLeast"/>
              <w:jc w:val="center"/>
              <w:rPr>
                <w:rFonts w:hAnsi="宋体"/>
                <w:szCs w:val="24"/>
              </w:rPr>
            </w:pPr>
          </w:p>
        </w:tc>
        <w:tc>
          <w:tcPr>
            <w:tcW w:w="2160" w:type="dxa"/>
            <w:vAlign w:val="center"/>
          </w:tcPr>
          <w:p>
            <w:pPr>
              <w:spacing w:line="240" w:lineRule="atLeast"/>
              <w:jc w:val="center"/>
              <w:rPr>
                <w:rFonts w:hAnsi="宋体"/>
                <w:szCs w:val="24"/>
              </w:rPr>
            </w:pPr>
          </w:p>
        </w:tc>
        <w:tc>
          <w:tcPr>
            <w:tcW w:w="1800" w:type="dxa"/>
            <w:vAlign w:val="center"/>
          </w:tcPr>
          <w:p>
            <w:pPr>
              <w:spacing w:line="240" w:lineRule="atLeast"/>
              <w:jc w:val="center"/>
              <w:rPr>
                <w:rFonts w:hAnsi="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dxa"/>
            <w:vMerge w:val="continue"/>
            <w:vAlign w:val="center"/>
          </w:tcPr>
          <w:p>
            <w:pPr>
              <w:spacing w:line="240" w:lineRule="atLeast"/>
              <w:jc w:val="center"/>
              <w:rPr>
                <w:rFonts w:hAnsi="宋体"/>
                <w:szCs w:val="24"/>
              </w:rPr>
            </w:pPr>
          </w:p>
        </w:tc>
        <w:tc>
          <w:tcPr>
            <w:tcW w:w="1065" w:type="dxa"/>
            <w:vAlign w:val="center"/>
          </w:tcPr>
          <w:p>
            <w:pPr>
              <w:spacing w:line="240" w:lineRule="atLeast"/>
              <w:jc w:val="center"/>
              <w:rPr>
                <w:rFonts w:hAnsi="宋体"/>
                <w:szCs w:val="24"/>
              </w:rPr>
            </w:pPr>
          </w:p>
          <w:p>
            <w:pPr>
              <w:spacing w:line="240" w:lineRule="atLeast"/>
              <w:jc w:val="center"/>
              <w:rPr>
                <w:rFonts w:hAnsi="宋体"/>
                <w:szCs w:val="24"/>
              </w:rPr>
            </w:pPr>
          </w:p>
        </w:tc>
        <w:tc>
          <w:tcPr>
            <w:tcW w:w="1734" w:type="dxa"/>
            <w:vAlign w:val="center"/>
          </w:tcPr>
          <w:p>
            <w:pPr>
              <w:spacing w:line="240" w:lineRule="atLeast"/>
              <w:jc w:val="center"/>
              <w:rPr>
                <w:rFonts w:hAnsi="宋体"/>
                <w:szCs w:val="24"/>
              </w:rPr>
            </w:pPr>
          </w:p>
        </w:tc>
        <w:tc>
          <w:tcPr>
            <w:tcW w:w="2160" w:type="dxa"/>
            <w:vAlign w:val="center"/>
          </w:tcPr>
          <w:p>
            <w:pPr>
              <w:spacing w:line="240" w:lineRule="atLeast"/>
              <w:jc w:val="center"/>
              <w:rPr>
                <w:rFonts w:hAnsi="宋体"/>
                <w:szCs w:val="24"/>
              </w:rPr>
            </w:pPr>
          </w:p>
        </w:tc>
        <w:tc>
          <w:tcPr>
            <w:tcW w:w="1800" w:type="dxa"/>
            <w:vAlign w:val="center"/>
          </w:tcPr>
          <w:p>
            <w:pPr>
              <w:spacing w:line="240" w:lineRule="atLeast"/>
              <w:jc w:val="center"/>
              <w:rPr>
                <w:rFonts w:hAnsi="宋体"/>
                <w:szCs w:val="24"/>
              </w:rPr>
            </w:pPr>
          </w:p>
        </w:tc>
      </w:tr>
    </w:tbl>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（二）承保理赔承诺</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保险人设立24小时报案电话，电话号码：</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u w:val="single"/>
          <w:lang w:val="en-US" w:eastAsia="zh-CN"/>
        </w:rPr>
        <w:t xml:space="preserve">  </w:t>
      </w:r>
      <w:r>
        <w:rPr>
          <w:rFonts w:hint="eastAsia" w:hAnsi="宋体" w:cs="宋体"/>
          <w:kern w:val="2"/>
          <w:sz w:val="24"/>
          <w:szCs w:val="24"/>
          <w:u w:val="single"/>
          <w:lang w:val="en-US" w:eastAsia="zh-CN"/>
        </w:rPr>
        <w:t xml:space="preserve">    </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，可全年365天随时接受被保险人的出险报案，并应立即通知项目小组。被保险人也可以直接向出单公司项目小组报案。</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被保险人因特殊情况无法在出单公司规定时间内报案的，保险人认可被保险人事后出具的书面说明，并视同为及时报案。</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保险人在接到被保险人提交的索赔资料后，应24小时内审查核实，若认为有关证明和材料不完整，24小时内一次性以书面方式通知被保险人或公估公司应补充提供的有关证明或资料。若在接到索赔资料后2 个工作日内未提出有关审核意见，则视为保险人已认可索赔资料的完整性。</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3</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保险人在收到完整的索赔单证后，应48小时内核定保险责任、损失项目和赔偿金额</w:t>
      </w:r>
      <w:r>
        <w:rPr>
          <w:rFonts w:hint="eastAsia" w:hAnsi="宋体" w:cs="宋体"/>
          <w:kern w:val="2"/>
          <w:sz w:val="24"/>
          <w:szCs w:val="24"/>
          <w:lang w:eastAsia="zh-CN"/>
        </w:rPr>
        <w:t>。</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4</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保险联席会议</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应被保险人要求，保险人根据被保险人的需要，不定期召开保险联席会议，由被保险人有关部门人员参加，相互沟通，协商解决有关保险事宜。</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5</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法律援助</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保险人应为本项目提供法律援助服务，包括对保险及民事赔偿提供法律咨询、代为聘请律师、代理诉讼行为等。</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6</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实施“险后两访”制度</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每次接到被保险人报案电话后，保险人安排专人进行险后回访，回访内容包括对查勘定损人员查勘时效、服务态度、工作技能的满意度等。赔付结案后，保险人实施第二次回访，回访内容主要为赔付时效和客户满意度等。</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7</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人员变动及时通知</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保险人现场服务小组成员将各司其职，互相配合，手机均保持24小时开通。如果小组成员由于工作原因调动离岗，保险人应在第一时间内通知被保险人；同时，告知接替人员的工作经验、简历和联系方式；接替人员也将在最短时间内熟悉情况，进入工作状态。</w:t>
      </w:r>
    </w:p>
    <w:p>
      <w:pPr>
        <w:spacing w:line="360" w:lineRule="auto"/>
        <w:ind w:firstLine="480" w:firstLineChars="200"/>
        <w:rPr>
          <w:rFonts w:hint="eastAsia" w:ascii="宋体" w:hAnsi="宋体" w:eastAsia="宋体" w:cs="宋体"/>
          <w:kern w:val="2"/>
          <w:sz w:val="24"/>
          <w:szCs w:val="24"/>
          <w:lang w:eastAsia="zh-CN"/>
        </w:rPr>
      </w:pPr>
      <w:r>
        <w:rPr>
          <w:rFonts w:hint="eastAsia" w:ascii="宋体" w:hAnsi="宋体" w:eastAsia="宋体" w:cs="宋体"/>
          <w:kern w:val="2"/>
          <w:sz w:val="24"/>
          <w:szCs w:val="24"/>
          <w:lang w:val="en-US" w:eastAsia="zh-CN"/>
        </w:rPr>
        <w:t>（三）</w:t>
      </w:r>
      <w:r>
        <w:rPr>
          <w:rFonts w:hint="eastAsia" w:ascii="宋体" w:hAnsi="宋体" w:eastAsia="宋体" w:cs="宋体"/>
          <w:kern w:val="2"/>
          <w:sz w:val="24"/>
          <w:szCs w:val="24"/>
          <w:lang w:eastAsia="zh-CN"/>
        </w:rPr>
        <w:t>赔案时效承诺：在收到完整的索赔材料后，出单公司同意按照以下时限要求支付赔款。</w:t>
      </w:r>
    </w:p>
    <w:p>
      <w:pPr>
        <w:spacing w:line="360" w:lineRule="auto"/>
        <w:ind w:firstLine="480" w:firstLineChars="200"/>
        <w:rPr>
          <w:rFonts w:hint="eastAsia" w:ascii="宋体" w:hAnsi="宋体" w:eastAsia="宋体" w:cs="宋体"/>
          <w:kern w:val="2"/>
          <w:sz w:val="24"/>
          <w:szCs w:val="24"/>
          <w:lang w:eastAsia="zh-CN"/>
        </w:rPr>
      </w:pPr>
      <w:r>
        <w:rPr>
          <w:rFonts w:hint="default" w:ascii="宋体" w:hAnsi="宋体" w:eastAsia="宋体" w:cs="宋体"/>
          <w:kern w:val="2"/>
          <w:sz w:val="24"/>
          <w:szCs w:val="24"/>
          <w:lang w:val="en-US" w:eastAsia="zh-CN"/>
        </w:rPr>
        <w:t>1</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赔款人民币10000元以下的，1个工作日；</w:t>
      </w:r>
    </w:p>
    <w:p>
      <w:pPr>
        <w:spacing w:line="360" w:lineRule="auto"/>
        <w:ind w:firstLine="480" w:firstLineChars="200"/>
        <w:rPr>
          <w:rFonts w:hint="eastAsia" w:ascii="宋体" w:hAnsi="宋体" w:eastAsia="宋体" w:cs="宋体"/>
          <w:kern w:val="2"/>
          <w:sz w:val="24"/>
          <w:szCs w:val="24"/>
          <w:lang w:eastAsia="zh-CN"/>
        </w:rPr>
      </w:pPr>
      <w:r>
        <w:rPr>
          <w:rFonts w:hint="default" w:ascii="宋体" w:hAnsi="宋体" w:eastAsia="宋体" w:cs="宋体"/>
          <w:kern w:val="2"/>
          <w:sz w:val="24"/>
          <w:szCs w:val="24"/>
          <w:lang w:val="en-US" w:eastAsia="zh-CN"/>
        </w:rPr>
        <w:t>2</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赔款额在人民币50000元以下的，3个工作日；</w:t>
      </w:r>
    </w:p>
    <w:p>
      <w:pPr>
        <w:spacing w:line="360" w:lineRule="auto"/>
        <w:ind w:firstLine="480" w:firstLineChars="200"/>
        <w:rPr>
          <w:rFonts w:hint="eastAsia" w:ascii="宋体" w:hAnsi="宋体" w:eastAsia="宋体" w:cs="宋体"/>
          <w:kern w:val="2"/>
          <w:sz w:val="24"/>
          <w:szCs w:val="24"/>
          <w:lang w:eastAsia="zh-CN"/>
        </w:rPr>
      </w:pPr>
      <w:r>
        <w:rPr>
          <w:rFonts w:hint="default" w:ascii="宋体" w:hAnsi="宋体" w:eastAsia="宋体" w:cs="宋体"/>
          <w:kern w:val="2"/>
          <w:sz w:val="24"/>
          <w:szCs w:val="24"/>
          <w:lang w:val="en-US" w:eastAsia="zh-CN"/>
        </w:rPr>
        <w:t>3</w:t>
      </w:r>
      <w:r>
        <w:rPr>
          <w:rFonts w:hint="eastAsia" w:ascii="宋体" w:hAnsi="宋体" w:eastAsia="宋体" w:cs="宋体"/>
          <w:kern w:val="2"/>
          <w:sz w:val="24"/>
          <w:szCs w:val="24"/>
          <w:lang w:val="en-US" w:eastAsia="zh-CN"/>
        </w:rPr>
        <w:t>.</w:t>
      </w:r>
      <w:r>
        <w:rPr>
          <w:rFonts w:hint="eastAsia" w:ascii="宋体" w:hAnsi="宋体" w:eastAsia="宋体" w:cs="宋体"/>
          <w:kern w:val="2"/>
          <w:sz w:val="24"/>
          <w:szCs w:val="24"/>
          <w:lang w:eastAsia="zh-CN"/>
        </w:rPr>
        <w:t>赔款额在人民币50000-5000000元之间的，10个工作日。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02" w:firstLineChars="200"/>
        <w:jc w:val="both"/>
        <w:textAlignment w:val="auto"/>
        <w:rPr>
          <w:rFonts w:hint="eastAsia"/>
          <w:b/>
          <w:bCs/>
          <w:sz w:val="30"/>
          <w:szCs w:val="30"/>
          <w:lang w:val="en-US" w:eastAsia="zh-CN"/>
        </w:rPr>
      </w:pPr>
      <w:r>
        <w:rPr>
          <w:rFonts w:hint="eastAsia" w:cs="Times New Roman"/>
          <w:b/>
          <w:bCs/>
          <w:caps w:val="0"/>
          <w:color w:val="000000"/>
          <w:kern w:val="44"/>
          <w:sz w:val="30"/>
          <w:szCs w:val="44"/>
          <w:lang w:val="en-US" w:eastAsia="zh-CN" w:bidi="ar-SA"/>
        </w:rPr>
        <w:t>七</w:t>
      </w:r>
      <w:r>
        <w:rPr>
          <w:rFonts w:hint="eastAsia" w:ascii="宋体" w:hAnsi="Times New Roman" w:eastAsia="宋体" w:cs="Times New Roman"/>
          <w:b/>
          <w:bCs/>
          <w:caps w:val="0"/>
          <w:color w:val="000000"/>
          <w:kern w:val="44"/>
          <w:sz w:val="30"/>
          <w:szCs w:val="44"/>
          <w:lang w:val="en-US" w:eastAsia="zh-CN" w:bidi="ar-SA"/>
        </w:rPr>
        <w:t>、</w:t>
      </w:r>
      <w:r>
        <w:rPr>
          <w:rFonts w:hint="eastAsia"/>
          <w:b/>
          <w:bCs/>
          <w:sz w:val="30"/>
          <w:szCs w:val="30"/>
          <w:lang w:val="en-US" w:eastAsia="zh-CN"/>
        </w:rPr>
        <w:t>合同期限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sz w:val="24"/>
          <w:szCs w:val="24"/>
          <w:lang w:val="en-US" w:eastAsia="zh-CN"/>
        </w:rPr>
      </w:pPr>
      <w:r>
        <w:rPr>
          <w:rFonts w:hint="eastAsia"/>
          <w:sz w:val="24"/>
          <w:szCs w:val="24"/>
          <w:lang w:val="en-US" w:eastAsia="zh-CN"/>
        </w:rPr>
        <w:t>1.合同期限1年。合同期满后，经双方协商一致可续签，一年一签，最多可续签2次。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sz w:val="24"/>
          <w:szCs w:val="24"/>
          <w:lang w:val="en-US" w:eastAsia="zh-CN"/>
        </w:rPr>
      </w:pPr>
      <w:r>
        <w:rPr>
          <w:rFonts w:hint="eastAsia"/>
          <w:sz w:val="24"/>
          <w:szCs w:val="24"/>
          <w:lang w:val="en-US" w:eastAsia="zh-CN"/>
        </w:rPr>
        <w:t>2.合同期内，我司有权提前终止合同，所缴纳保费按实际承保月数支付（</w:t>
      </w:r>
      <w:r>
        <w:rPr>
          <w:rFonts w:hint="eastAsia" w:ascii="宋体" w:hAnsi="宋体" w:eastAsia="宋体" w:cs="宋体"/>
          <w:sz w:val="24"/>
          <w:szCs w:val="24"/>
          <w:lang w:val="en-US" w:eastAsia="zh-CN"/>
        </w:rPr>
        <w:t>保费÷12个月×实际承保月数</w:t>
      </w:r>
      <w:r>
        <w:rPr>
          <w:rFonts w:hint="eastAsia"/>
          <w:sz w:val="24"/>
          <w:szCs w:val="24"/>
          <w:lang w:val="en-US" w:eastAsia="zh-CN"/>
        </w:rPr>
        <w:t>）</w:t>
      </w:r>
    </w:p>
    <w:p>
      <w:pPr>
        <w:jc w:val="both"/>
        <w:rPr>
          <w:rFonts w:hint="eastAsia" w:ascii="Times New Roman" w:hAnsi="Times New Roman" w:eastAsia="宋体" w:cs="Times New Roman"/>
          <w:b/>
          <w:color w:val="auto"/>
          <w:sz w:val="44"/>
          <w:szCs w:val="44"/>
          <w:highlight w:val="none"/>
          <w:lang w:val="en-US" w:eastAsia="zh-CN"/>
        </w:rPr>
      </w:pPr>
      <w:bookmarkStart w:id="9" w:name="_GoBack"/>
      <w:bookmarkEnd w:id="9"/>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29D0F23"/>
    <w:rsid w:val="2560638D"/>
    <w:rsid w:val="2888575B"/>
    <w:rsid w:val="2DC35BE2"/>
    <w:rsid w:val="2DFD6DA8"/>
    <w:rsid w:val="2F5C3B54"/>
    <w:rsid w:val="3401034F"/>
    <w:rsid w:val="365F5108"/>
    <w:rsid w:val="38451629"/>
    <w:rsid w:val="39202096"/>
    <w:rsid w:val="3956631D"/>
    <w:rsid w:val="39A323C9"/>
    <w:rsid w:val="3D995F73"/>
    <w:rsid w:val="3DD40ACC"/>
    <w:rsid w:val="3E7A3FF6"/>
    <w:rsid w:val="3F7C42B6"/>
    <w:rsid w:val="40821E95"/>
    <w:rsid w:val="42331D89"/>
    <w:rsid w:val="425C413F"/>
    <w:rsid w:val="42654155"/>
    <w:rsid w:val="427A6373"/>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6359495D"/>
    <w:rsid w:val="65374BCA"/>
    <w:rsid w:val="6562740E"/>
    <w:rsid w:val="65CA16B3"/>
    <w:rsid w:val="65FC1861"/>
    <w:rsid w:val="662E5966"/>
    <w:rsid w:val="6747066A"/>
    <w:rsid w:val="699F737A"/>
    <w:rsid w:val="6D892812"/>
    <w:rsid w:val="6EAC5D22"/>
    <w:rsid w:val="6F1E00AA"/>
    <w:rsid w:val="6FE07D2F"/>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6"/>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28"/>
    <w:autoRedefine/>
    <w:semiHidden/>
    <w:unhideWhenUsed/>
    <w:qFormat/>
    <w:uiPriority w:val="99"/>
    <w:rPr>
      <w:sz w:val="18"/>
      <w:szCs w:val="18"/>
    </w:rPr>
  </w:style>
  <w:style w:type="paragraph" w:styleId="10">
    <w:name w:val="footer"/>
    <w:basedOn w:val="1"/>
    <w:link w:val="24"/>
    <w:autoRedefine/>
    <w:unhideWhenUsed/>
    <w:qFormat/>
    <w:uiPriority w:val="99"/>
    <w:pPr>
      <w:tabs>
        <w:tab w:val="center" w:pos="4153"/>
        <w:tab w:val="right" w:pos="8306"/>
      </w:tabs>
      <w:snapToGrid w:val="0"/>
      <w:jc w:val="left"/>
    </w:pPr>
    <w:rPr>
      <w:sz w:val="18"/>
      <w:szCs w:val="18"/>
    </w:rPr>
  </w:style>
  <w:style w:type="paragraph" w:styleId="11">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jc w:val="left"/>
    </w:pPr>
    <w:rPr>
      <w:caps/>
      <w:szCs w:val="24"/>
    </w:rPr>
  </w:style>
  <w:style w:type="paragraph" w:styleId="13">
    <w:name w:val="Body Text Indent 3"/>
    <w:basedOn w:val="1"/>
    <w:autoRedefine/>
    <w:qFormat/>
    <w:uiPriority w:val="0"/>
    <w:pPr>
      <w:ind w:firstLine="645"/>
    </w:pPr>
    <w:rPr>
      <w:rFonts w:ascii="仿宋_GB2312" w:hAnsi="Arial" w:eastAsia="仿宋_GB2312"/>
      <w:color w:val="000000"/>
      <w:sz w:val="30"/>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autoRedefine/>
    <w:unhideWhenUsed/>
    <w:qFormat/>
    <w:uiPriority w:val="99"/>
    <w:pPr>
      <w:spacing w:before="100" w:beforeAutospacing="1" w:after="100" w:afterAutospacing="1"/>
      <w:jc w:val="left"/>
    </w:pPr>
    <w:rPr>
      <w:kern w:val="0"/>
      <w:sz w:val="24"/>
      <w:szCs w:val="22"/>
    </w:rPr>
  </w:style>
  <w:style w:type="paragraph" w:styleId="16">
    <w:name w:val="annotation subject"/>
    <w:basedOn w:val="5"/>
    <w:next w:val="5"/>
    <w:link w:val="27"/>
    <w:autoRedefine/>
    <w:semiHidden/>
    <w:unhideWhenUsed/>
    <w:qFormat/>
    <w:uiPriority w:val="99"/>
    <w:rPr>
      <w:b/>
      <w:bCs/>
    </w:rPr>
  </w:style>
  <w:style w:type="paragraph" w:styleId="17">
    <w:name w:val="Body Text First Indent 2"/>
    <w:basedOn w:val="7"/>
    <w:autoRedefine/>
    <w:qFormat/>
    <w:uiPriority w:val="0"/>
    <w:pPr>
      <w:ind w:left="420" w:leftChars="200" w:firstLine="420" w:firstLineChars="200"/>
    </w:p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annotation reference"/>
    <w:basedOn w:val="20"/>
    <w:autoRedefine/>
    <w:semiHidden/>
    <w:unhideWhenUsed/>
    <w:qFormat/>
    <w:uiPriority w:val="99"/>
    <w:rPr>
      <w:sz w:val="21"/>
      <w:szCs w:val="21"/>
    </w:rPr>
  </w:style>
  <w:style w:type="paragraph" w:customStyle="1" w:styleId="22">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3">
    <w:name w:val="页眉 Char"/>
    <w:basedOn w:val="20"/>
    <w:link w:val="11"/>
    <w:autoRedefine/>
    <w:qFormat/>
    <w:uiPriority w:val="99"/>
    <w:rPr>
      <w:sz w:val="18"/>
      <w:szCs w:val="18"/>
    </w:rPr>
  </w:style>
  <w:style w:type="character" w:customStyle="1" w:styleId="24">
    <w:name w:val="页脚 Char"/>
    <w:basedOn w:val="20"/>
    <w:link w:val="10"/>
    <w:autoRedefine/>
    <w:qFormat/>
    <w:uiPriority w:val="99"/>
    <w:rPr>
      <w:sz w:val="18"/>
      <w:szCs w:val="18"/>
    </w:rPr>
  </w:style>
  <w:style w:type="paragraph" w:customStyle="1" w:styleId="25">
    <w:name w:val="Char Char Char Char Char Char Char Char Char Char"/>
    <w:basedOn w:val="1"/>
    <w:autoRedefine/>
    <w:qFormat/>
    <w:uiPriority w:val="0"/>
    <w:rPr>
      <w:rFonts w:ascii="Tahoma" w:hAnsi="Tahoma" w:eastAsia="宋体" w:cs="仿宋_GB2312"/>
      <w:sz w:val="24"/>
      <w:szCs w:val="20"/>
    </w:rPr>
  </w:style>
  <w:style w:type="character" w:customStyle="1" w:styleId="26">
    <w:name w:val="批注文字 Char"/>
    <w:basedOn w:val="20"/>
    <w:link w:val="5"/>
    <w:autoRedefine/>
    <w:semiHidden/>
    <w:qFormat/>
    <w:uiPriority w:val="99"/>
  </w:style>
  <w:style w:type="character" w:customStyle="1" w:styleId="27">
    <w:name w:val="批注主题 Char"/>
    <w:basedOn w:val="26"/>
    <w:link w:val="16"/>
    <w:autoRedefine/>
    <w:semiHidden/>
    <w:qFormat/>
    <w:uiPriority w:val="99"/>
    <w:rPr>
      <w:b/>
      <w:bCs/>
    </w:rPr>
  </w:style>
  <w:style w:type="character" w:customStyle="1" w:styleId="28">
    <w:name w:val="批注框文本 Char"/>
    <w:basedOn w:val="20"/>
    <w:link w:val="9"/>
    <w:autoRedefine/>
    <w:semiHidden/>
    <w:qFormat/>
    <w:uiPriority w:val="99"/>
    <w:rPr>
      <w:sz w:val="18"/>
      <w:szCs w:val="18"/>
    </w:rPr>
  </w:style>
  <w:style w:type="paragraph" w:styleId="29">
    <w:name w:val="List Paragraph"/>
    <w:basedOn w:val="1"/>
    <w:autoRedefine/>
    <w:unhideWhenUsed/>
    <w:qFormat/>
    <w:uiPriority w:val="99"/>
    <w:pPr>
      <w:ind w:firstLine="420" w:firstLineChars="200"/>
    </w:pPr>
  </w:style>
  <w:style w:type="paragraph" w:customStyle="1" w:styleId="30">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1">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2">
    <w:name w:val="Char Char Char Char Char Char Char1 Char"/>
    <w:basedOn w:val="1"/>
    <w:autoRedefine/>
    <w:qFormat/>
    <w:uiPriority w:val="0"/>
    <w:rPr>
      <w:rFonts w:ascii="Tahoma" w:hAnsi="Tahoma"/>
      <w:sz w:val="24"/>
    </w:rPr>
  </w:style>
  <w:style w:type="character" w:customStyle="1" w:styleId="33">
    <w:name w:val="font21"/>
    <w:basedOn w:val="20"/>
    <w:autoRedefine/>
    <w:qFormat/>
    <w:uiPriority w:val="0"/>
    <w:rPr>
      <w:rFonts w:hint="eastAsia" w:ascii="宋体" w:hAnsi="宋体" w:eastAsia="宋体" w:cs="宋体"/>
      <w:b/>
      <w:bCs/>
      <w:color w:val="000000"/>
      <w:sz w:val="40"/>
      <w:szCs w:val="40"/>
      <w:u w:val="none"/>
    </w:rPr>
  </w:style>
  <w:style w:type="character" w:customStyle="1" w:styleId="34">
    <w:name w:val="font71"/>
    <w:basedOn w:val="20"/>
    <w:autoRedefine/>
    <w:qFormat/>
    <w:uiPriority w:val="0"/>
    <w:rPr>
      <w:rFonts w:hint="eastAsia" w:ascii="宋体" w:hAnsi="宋体" w:eastAsia="宋体" w:cs="宋体"/>
      <w:b/>
      <w:bCs/>
      <w:color w:val="000000"/>
      <w:sz w:val="40"/>
      <w:szCs w:val="40"/>
      <w:u w:val="single"/>
    </w:rPr>
  </w:style>
  <w:style w:type="character" w:customStyle="1" w:styleId="35">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6">
    <w:name w:val="font111"/>
    <w:basedOn w:val="20"/>
    <w:autoRedefine/>
    <w:qFormat/>
    <w:uiPriority w:val="0"/>
    <w:rPr>
      <w:rFonts w:hint="eastAsia" w:ascii="宋体" w:hAnsi="宋体" w:eastAsia="宋体" w:cs="宋体"/>
      <w:color w:val="000000"/>
      <w:sz w:val="40"/>
      <w:szCs w:val="40"/>
      <w:u w:val="single"/>
    </w:rPr>
  </w:style>
  <w:style w:type="character" w:customStyle="1" w:styleId="37">
    <w:name w:val="font141"/>
    <w:basedOn w:val="20"/>
    <w:autoRedefine/>
    <w:qFormat/>
    <w:uiPriority w:val="0"/>
    <w:rPr>
      <w:rFonts w:hint="eastAsia" w:ascii="宋体" w:hAnsi="宋体" w:eastAsia="宋体" w:cs="宋体"/>
      <w:color w:val="000000"/>
      <w:sz w:val="20"/>
      <w:szCs w:val="20"/>
      <w:u w:val="single"/>
    </w:rPr>
  </w:style>
  <w:style w:type="character" w:customStyle="1" w:styleId="38">
    <w:name w:val="font151"/>
    <w:basedOn w:val="20"/>
    <w:autoRedefine/>
    <w:qFormat/>
    <w:uiPriority w:val="0"/>
    <w:rPr>
      <w:rFonts w:hint="eastAsia" w:ascii="宋体" w:hAnsi="宋体" w:eastAsia="宋体" w:cs="宋体"/>
      <w:color w:val="000000"/>
      <w:sz w:val="20"/>
      <w:szCs w:val="20"/>
      <w:u w:val="single"/>
    </w:rPr>
  </w:style>
  <w:style w:type="paragraph" w:customStyle="1" w:styleId="39">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0">
    <w:name w:val="D&amp;L"/>
    <w:basedOn w:val="11"/>
    <w:autoRedefine/>
    <w:qFormat/>
    <w:uiPriority w:val="0"/>
    <w:pPr>
      <w:pBdr>
        <w:bottom w:val="thinThickSmallGap" w:color="auto" w:sz="18" w:space="1"/>
      </w:pBdr>
      <w:adjustRightInd w:val="0"/>
      <w:snapToGrid/>
      <w:spacing w:line="240" w:lineRule="atLeast"/>
      <w:textAlignment w:val="baseline"/>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2</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2025-06-10T00:59:51Z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