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900" w:lineRule="exact"/>
        <w:rPr>
          <w:rFonts w:hAnsi="宋体"/>
          <w:b/>
          <w:color w:val="000000"/>
          <w:sz w:val="72"/>
          <w:szCs w:val="24"/>
        </w:rPr>
      </w:pPr>
    </w:p>
    <w:p>
      <w:pPr>
        <w:pStyle w:val="24"/>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int="eastAsia" w:hAnsi="宋体"/>
          <w:b/>
          <w:color w:val="000000"/>
          <w:sz w:val="3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int="eastAsia" w:hAnsi="宋体" w:cs="宋体"/>
          <w:b/>
          <w:color w:val="000000"/>
          <w:szCs w:val="24"/>
        </w:rPr>
      </w:pPr>
      <w:bookmarkStart w:id="0" w:name="_Toc438648618"/>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Ansi="宋体"/>
          <w:b/>
          <w:color w:val="000000"/>
        </w:rPr>
      </w:pPr>
      <w:r>
        <w:rPr>
          <w:rFonts w:hint="eastAsia" w:hAnsi="宋体" w:cs="宋体"/>
          <w:b/>
          <w:color w:val="000000"/>
          <w:szCs w:val="24"/>
        </w:rPr>
        <w:t>响应文件资料清单</w:t>
      </w:r>
    </w:p>
    <w:tbl>
      <w:tblPr>
        <w:tblStyle w:val="18"/>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461053086"/>
      <w:bookmarkStart w:id="2" w:name="_Toc2774249"/>
      <w:bookmarkStart w:id="3" w:name="_Toc461056631"/>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pPr>
        <w:spacing w:before="156" w:beforeLines="50" w:after="156" w:afterLines="50" w:line="360" w:lineRule="auto"/>
        <w:jc w:val="left"/>
        <w:rPr>
          <w:rFonts w:hAnsi="宋体"/>
          <w:b/>
          <w:color w:val="000000"/>
          <w:szCs w:val="28"/>
        </w:rPr>
      </w:pPr>
      <w:r>
        <w:rPr>
          <w:rFonts w:hint="eastAsia" w:hAnsi="宋体"/>
          <w:b/>
          <w:color w:val="000000"/>
          <w:szCs w:val="28"/>
        </w:rPr>
        <w:t>1报价表</w:t>
      </w:r>
    </w:p>
    <w:p>
      <w:pPr>
        <w:snapToGrid w:val="0"/>
        <w:spacing w:line="360" w:lineRule="auto"/>
        <w:jc w:val="left"/>
        <w:rPr>
          <w:rFonts w:hAnsi="宋体"/>
          <w:b/>
          <w:color w:val="000000"/>
          <w:szCs w:val="28"/>
        </w:rPr>
      </w:pPr>
      <w:r>
        <w:rPr>
          <w:rFonts w:hint="eastAsia" w:hAnsi="宋体"/>
          <w:b/>
          <w:color w:val="000000"/>
          <w:szCs w:val="28"/>
        </w:rPr>
        <w:t>项目名称：</w:t>
      </w:r>
    </w:p>
    <w:p>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ind w:firstLine="826" w:firstLineChars="392"/>
              <w:rPr>
                <w:rFonts w:hint="eastAsia" w:hAnsi="宋体"/>
                <w:b/>
                <w:color w:val="000000"/>
                <w:highlight w:val="yellow"/>
                <w:u w:val="single"/>
                <w:lang w:val="en-US" w:eastAsia="zh-CN"/>
              </w:rPr>
            </w:pPr>
            <w:r>
              <w:rPr>
                <w:rFonts w:hint="eastAsia" w:hAnsi="宋体"/>
                <w:b/>
                <w:color w:val="000000"/>
                <w:highlight w:val="yellow"/>
                <w:u w:val="single"/>
                <w:lang w:val="en-US" w:eastAsia="zh-CN"/>
              </w:rPr>
              <w:t>总金额            元</w:t>
            </w:r>
          </w:p>
          <w:p>
            <w:pPr>
              <w:snapToGrid w:val="0"/>
              <w:spacing w:line="360" w:lineRule="auto"/>
              <w:ind w:firstLine="826" w:firstLineChars="392"/>
              <w:rPr>
                <w:rFonts w:hint="default" w:hAnsi="宋体"/>
                <w:b/>
                <w:color w:val="000000"/>
                <w:highlight w:val="yellow"/>
                <w:u w:val="single"/>
                <w:lang w:val="en-US" w:eastAsia="zh-CN"/>
              </w:rPr>
            </w:pPr>
            <w:r>
              <w:rPr>
                <w:rFonts w:hint="default" w:hAnsi="宋体"/>
                <w:b/>
                <w:color w:val="000000"/>
                <w:highlight w:val="yellow"/>
                <w:u w:val="single"/>
                <w:lang w:val="en-US" w:eastAsia="zh-CN"/>
              </w:rPr>
              <w:t>人均单价</w:t>
            </w:r>
            <w:r>
              <w:rPr>
                <w:rFonts w:hint="eastAsia" w:hAnsi="宋体"/>
                <w:b/>
                <w:color w:val="000000"/>
                <w:highlight w:val="yellow"/>
                <w:u w:val="single"/>
                <w:lang w:val="en-US" w:eastAsia="zh-CN"/>
              </w:rPr>
              <w:t xml:space="preserve">          元</w:t>
            </w:r>
            <w:r>
              <w:rPr>
                <w:rFonts w:hint="default" w:hAnsi="宋体"/>
                <w:b/>
                <w:color w:val="000000"/>
                <w:highlight w:val="yellow"/>
                <w:u w:val="single"/>
                <w:lang w:val="en-US" w:eastAsia="zh-CN"/>
              </w:rPr>
              <w:t>（按35人，3天计）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Ansi="宋体"/>
          <w:b/>
          <w:color w:val="000000"/>
        </w:rPr>
      </w:pPr>
      <w:r>
        <w:rPr>
          <w:rFonts w:hint="eastAsia" w:hAnsi="宋体"/>
          <w:b/>
          <w:color w:val="000000"/>
        </w:rPr>
        <w:t xml:space="preserve">供应商公章：                       </w:t>
      </w:r>
    </w:p>
    <w:p>
      <w:pPr>
        <w:snapToGrid w:val="0"/>
        <w:spacing w:line="360" w:lineRule="auto"/>
        <w:ind w:left="5550"/>
        <w:jc w:val="center"/>
        <w:rPr>
          <w:rFonts w:hAnsi="宋体"/>
          <w:color w:val="000000"/>
        </w:rPr>
      </w:pPr>
      <w:r>
        <w:rPr>
          <w:rFonts w:hint="eastAsia" w:hAnsi="宋体"/>
          <w:color w:val="000000"/>
        </w:rPr>
        <w:t>年     月     日</w:t>
      </w: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22" w:firstLineChars="200"/>
        <w:rPr>
          <w:rFonts w:hAnsi="宋体"/>
          <w:b/>
          <w:bCs/>
          <w:color w:val="000000"/>
          <w:szCs w:val="28"/>
        </w:rPr>
      </w:pPr>
    </w:p>
    <w:p>
      <w:pPr>
        <w:pStyle w:val="17"/>
        <w:ind w:left="438" w:firstLine="600"/>
        <w:rPr>
          <w:rFonts w:hAnsi="宋体"/>
          <w:b/>
          <w:bCs/>
          <w:color w:val="000000"/>
          <w:szCs w:val="28"/>
        </w:rPr>
      </w:pPr>
    </w:p>
    <w:p>
      <w:pPr>
        <w:pStyle w:val="17"/>
        <w:ind w:left="438" w:firstLine="60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8"/>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9"/>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9"/>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9"/>
        <w:snapToGrid w:val="0"/>
        <w:spacing w:line="360" w:lineRule="auto"/>
        <w:jc w:val="left"/>
        <w:rPr>
          <w:rFonts w:hAnsi="宋体"/>
          <w:color w:val="000000"/>
          <w:sz w:val="24"/>
          <w:szCs w:val="28"/>
        </w:rPr>
      </w:pPr>
      <w:r>
        <w:rPr>
          <w:rFonts w:hint="eastAsia" w:hAnsi="宋体"/>
          <w:color w:val="000000"/>
          <w:sz w:val="24"/>
          <w:szCs w:val="28"/>
        </w:rPr>
        <w:t>注：</w:t>
      </w:r>
    </w:p>
    <w:p>
      <w:pPr>
        <w:pStyle w:val="9"/>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3835936"/>
      <w:bookmarkStart w:id="7" w:name="_Toc438648630"/>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20" w:firstLineChars="200"/>
        <w:rPr>
          <w:rFonts w:hAnsi="宋体"/>
          <w:szCs w:val="24"/>
        </w:rPr>
      </w:pPr>
      <w:r>
        <w:rPr>
          <w:rFonts w:hint="eastAsia" w:hAnsi="宋体"/>
          <w:szCs w:val="24"/>
        </w:rPr>
        <w:t>1、法人代表或代理人（授权委托书）。</w:t>
      </w:r>
    </w:p>
    <w:p>
      <w:pPr>
        <w:spacing w:line="360" w:lineRule="auto"/>
        <w:ind w:firstLine="420"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pPr>
        <w:spacing w:line="360" w:lineRule="auto"/>
        <w:ind w:firstLine="420" w:firstLineChars="200"/>
        <w:rPr>
          <w:rFonts w:hAnsi="宋体"/>
          <w:szCs w:val="24"/>
        </w:rPr>
      </w:pPr>
      <w:r>
        <w:rPr>
          <w:rFonts w:hint="eastAsia" w:hAnsi="宋体"/>
          <w:szCs w:val="24"/>
        </w:rPr>
        <w:t>3、评标文件要求及供应商认为需要提供的资料。</w:t>
      </w:r>
    </w:p>
    <w:p>
      <w:pPr>
        <w:spacing w:line="360" w:lineRule="auto"/>
        <w:ind w:firstLine="420" w:firstLineChars="200"/>
        <w:rPr>
          <w:rFonts w:hAnsi="宋体"/>
          <w:szCs w:val="24"/>
        </w:rPr>
      </w:pPr>
      <w:r>
        <w:rPr>
          <w:rFonts w:hint="eastAsia" w:hAnsi="宋体"/>
          <w:szCs w:val="24"/>
        </w:rPr>
        <w:t>4、供应商在规定时间密封送达。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jc w:val="center"/>
        <w:rPr>
          <w:rFonts w:hint="eastAsia" w:hAnsi="宋体"/>
          <w:b/>
          <w:color w:val="000000"/>
          <w:sz w:val="32"/>
          <w:szCs w:val="32"/>
          <w:lang w:val="en-US" w:eastAsia="zh-CN"/>
        </w:rPr>
      </w:pPr>
      <w:bookmarkStart w:id="8" w:name="OLE_LINK3"/>
      <w:r>
        <w:rPr>
          <w:rFonts w:hint="eastAsia" w:hAnsi="宋体"/>
          <w:b/>
          <w:color w:val="000000"/>
          <w:sz w:val="32"/>
          <w:szCs w:val="32"/>
          <w:lang w:val="en-US" w:eastAsia="zh-CN"/>
        </w:rPr>
        <w:t>采购项目需求表</w:t>
      </w:r>
    </w:p>
    <w:bookmarkEnd w:id="8"/>
    <w:p>
      <w:pPr>
        <w:spacing w:line="360" w:lineRule="auto"/>
        <w:ind w:firstLine="437"/>
        <w:rPr>
          <w:rFonts w:ascii="宋体" w:hAnsi="宋体" w:eastAsia="宋体" w:cs="@仿宋_GB2312"/>
          <w:b/>
          <w:sz w:val="24"/>
          <w:szCs w:val="18"/>
        </w:rPr>
      </w:pPr>
      <w:r>
        <w:rPr>
          <w:rFonts w:hint="eastAsia" w:ascii="宋体" w:hAnsi="宋体" w:eastAsia="宋体" w:cs="@仿宋_GB2312"/>
          <w:b/>
          <w:sz w:val="24"/>
          <w:szCs w:val="18"/>
          <w:lang w:val="en-US" w:eastAsia="zh-CN"/>
        </w:rPr>
        <w:t>一</w:t>
      </w:r>
      <w:r>
        <w:rPr>
          <w:rFonts w:hint="eastAsia" w:ascii="宋体" w:hAnsi="宋体" w:eastAsia="宋体" w:cs="@仿宋_GB2312"/>
          <w:b/>
          <w:sz w:val="24"/>
          <w:szCs w:val="18"/>
        </w:rPr>
        <w:t>、项目概况</w:t>
      </w:r>
    </w:p>
    <w:p>
      <w:r>
        <w:rPr>
          <w:rFonts w:hint="eastAsia"/>
        </w:rPr>
        <w:t>1.培训内容：围绕二十届中纪委四次全会精神、纪检监督工作、廉洁文化建设等内容设计课程，提升参训人员的综合素质能力，并安排半天时间在廉政</w:t>
      </w:r>
      <w:r>
        <w:rPr>
          <w:rFonts w:hint="eastAsia" w:asciiTheme="minorEastAsia" w:hAnsiTheme="minorEastAsia" w:eastAsiaTheme="minorEastAsia"/>
        </w:rPr>
        <w:t>教育基地或</w:t>
      </w:r>
      <w:r>
        <w:rPr>
          <w:rFonts w:hint="eastAsia"/>
        </w:rPr>
        <w:t>红色教育基地现场教学。</w:t>
      </w:r>
    </w:p>
    <w:p>
      <w:pPr>
        <w:rPr>
          <w:rFonts w:asciiTheme="minorEastAsia" w:hAnsiTheme="minorEastAsia" w:eastAsiaTheme="minorEastAsia"/>
        </w:rPr>
      </w:pPr>
      <w:r>
        <w:rPr>
          <w:rFonts w:hint="eastAsia"/>
        </w:rPr>
        <w:t>2.就餐及</w:t>
      </w:r>
      <w:r>
        <w:rPr>
          <w:rFonts w:hint="eastAsia" w:asciiTheme="minorEastAsia" w:hAnsiTheme="minorEastAsia" w:eastAsiaTheme="minorEastAsia"/>
        </w:rPr>
        <w:t>住宿要求：提供参训人员3天7餐（2早5正），参考正餐标准70元/餐/人；参考标准住宿标准160元/晚/人，不低于三星级及以上标准。</w:t>
      </w:r>
    </w:p>
    <w:p>
      <w:r>
        <w:rPr>
          <w:rFonts w:hint="eastAsia"/>
        </w:rPr>
        <w:t>3.提供标准会议、培训场地，培训基地至公司往返接送服务。</w:t>
      </w:r>
    </w:p>
    <w:p>
      <w:r>
        <w:rPr>
          <w:rFonts w:hint="eastAsia"/>
        </w:rPr>
        <w:t>4.为参训人员购买参训期间的人身意外伤害险。</w:t>
      </w:r>
    </w:p>
    <w:p>
      <w:pPr>
        <w:rPr>
          <w:rFonts w:hint="eastAsia"/>
        </w:rPr>
      </w:pPr>
      <w:r>
        <w:rPr>
          <w:rFonts w:hint="eastAsia"/>
        </w:rPr>
        <w:t>5.如采购人因需要调整培训方案，成交供应商应予以配合，价格不因培训内容的调整发生变化，供应商应结合自身综合实力及本项目的特点和技术要求，合理报价。</w:t>
      </w:r>
    </w:p>
    <w:p>
      <w:pPr>
        <w:rPr>
          <w:rFonts w:hint="eastAsia"/>
          <w:lang w:val="en-US" w:eastAsia="zh-CN"/>
        </w:rPr>
      </w:pPr>
      <w:r>
        <w:rPr>
          <w:rFonts w:hint="eastAsia"/>
          <w:lang w:val="en-US" w:eastAsia="zh-CN"/>
        </w:rPr>
        <w:t>6、付款方式：活动结束后办理付款，如有人员减少，按实际参加人数*单价据实结算。</w:t>
      </w:r>
      <w:bookmarkStart w:id="9" w:name="_GoBack"/>
      <w:bookmarkEnd w:id="9"/>
    </w:p>
    <w:p>
      <w:pPr>
        <w:rPr>
          <w:rFonts w:hint="default"/>
          <w:lang w:val="en-US" w:eastAsia="zh-CN"/>
        </w:rPr>
      </w:pPr>
      <w:r>
        <w:rPr>
          <w:rFonts w:hint="eastAsia"/>
          <w:lang w:val="en-US" w:eastAsia="zh-CN"/>
        </w:rPr>
        <w:t>7、活动期限：3天</w:t>
      </w:r>
    </w:p>
    <w:p>
      <w:pPr>
        <w:rPr>
          <w:rFonts w:ascii="黑体" w:hAnsi="黑体" w:eastAsia="黑体" w:cs="宋体"/>
          <w:sz w:val="28"/>
          <w:szCs w:val="28"/>
        </w:rPr>
      </w:pPr>
      <w:r>
        <w:rPr>
          <w:rFonts w:hint="eastAsia" w:ascii="黑体" w:hAnsi="黑体" w:eastAsia="黑体" w:cs="宋体"/>
          <w:sz w:val="28"/>
          <w:szCs w:val="28"/>
          <w:lang w:val="en-US" w:eastAsia="zh-CN"/>
        </w:rPr>
        <w:t>二</w:t>
      </w:r>
      <w:r>
        <w:rPr>
          <w:rFonts w:hint="eastAsia" w:ascii="黑体" w:hAnsi="黑体" w:eastAsia="黑体" w:cs="宋体"/>
          <w:sz w:val="28"/>
          <w:szCs w:val="28"/>
        </w:rPr>
        <w:t>、评分方法</w:t>
      </w:r>
    </w:p>
    <w:p>
      <w:pPr>
        <w:rPr>
          <w:rFonts w:ascii="宋体" w:hAnsi="宋体"/>
        </w:rPr>
      </w:pPr>
      <w:r>
        <w:rPr>
          <w:rFonts w:hint="eastAsia" w:ascii="宋体" w:hAnsi="宋体"/>
        </w:rPr>
        <w:t>本项目综合评分满分为</w:t>
      </w:r>
      <w:r>
        <w:rPr>
          <w:rFonts w:hint="eastAsia" w:ascii="宋体" w:hAnsi="宋体"/>
          <w:u w:val="single"/>
        </w:rPr>
        <w:t xml:space="preserve"> 100 </w:t>
      </w:r>
      <w:r>
        <w:rPr>
          <w:rFonts w:hint="eastAsia" w:ascii="宋体" w:hAnsi="宋体"/>
        </w:rPr>
        <w:t>分，其中：技术资信分值占总分值的权重为</w:t>
      </w:r>
      <w:r>
        <w:rPr>
          <w:rFonts w:hint="eastAsia" w:ascii="宋体" w:hAnsi="宋体"/>
          <w:u w:val="single"/>
        </w:rPr>
        <w:t xml:space="preserve"> 90 </w:t>
      </w:r>
      <w:r>
        <w:rPr>
          <w:rFonts w:hint="eastAsia" w:ascii="宋体" w:hAnsi="宋体"/>
        </w:rPr>
        <w:t>%，价格分值占总分值的权重为</w:t>
      </w:r>
      <w:r>
        <w:rPr>
          <w:rFonts w:hint="eastAsia" w:ascii="宋体" w:hAnsi="宋体"/>
          <w:u w:val="single"/>
        </w:rPr>
        <w:t xml:space="preserve"> 10 </w:t>
      </w:r>
      <w:r>
        <w:rPr>
          <w:rFonts w:hint="eastAsia" w:ascii="宋体" w:hAnsi="宋体"/>
        </w:rPr>
        <w:t>%。具体评分细则如下：</w:t>
      </w:r>
    </w:p>
    <w:tbl>
      <w:tblPr>
        <w:tblStyle w:val="18"/>
        <w:tblW w:w="10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8"/>
        <w:gridCol w:w="1649"/>
        <w:gridCol w:w="7140"/>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6" w:hRule="atLeast"/>
          <w:jc w:val="center"/>
        </w:trPr>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2"/>
              <w:widowControl/>
              <w:spacing w:line="40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b/>
                <w:bCs/>
                <w:spacing w:val="13"/>
                <w:sz w:val="21"/>
                <w:szCs w:val="21"/>
              </w:rPr>
              <w:t>类别</w:t>
            </w:r>
          </w:p>
        </w:tc>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2"/>
              <w:widowControl/>
              <w:spacing w:line="40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b/>
                <w:bCs/>
                <w:spacing w:val="13"/>
                <w:sz w:val="21"/>
                <w:szCs w:val="21"/>
              </w:rPr>
              <w:t>评分内容</w:t>
            </w:r>
          </w:p>
        </w:tc>
        <w:tc>
          <w:tcPr>
            <w:tcW w:w="71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2"/>
              <w:widowControl/>
              <w:spacing w:line="40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b/>
                <w:bCs/>
                <w:spacing w:val="12"/>
                <w:sz w:val="21"/>
                <w:szCs w:val="21"/>
              </w:rPr>
              <w:t>评分标准</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2"/>
              <w:widowControl/>
              <w:spacing w:line="40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b/>
                <w:bCs/>
                <w:spacing w:val="-4"/>
                <w:sz w:val="21"/>
                <w:szCs w:val="21"/>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42" w:hRule="atLeast"/>
          <w:jc w:val="center"/>
        </w:trPr>
        <w:tc>
          <w:tcPr>
            <w:tcW w:w="868" w:type="dxa"/>
            <w:vMerge w:val="restart"/>
            <w:tcBorders>
              <w:top w:val="nil"/>
              <w:left w:val="single" w:color="auto" w:sz="4" w:space="0"/>
              <w:right w:val="single" w:color="auto" w:sz="4" w:space="0"/>
            </w:tcBorders>
            <w:shd w:val="clear" w:color="auto" w:fill="auto"/>
            <w:vAlign w:val="center"/>
          </w:tcPr>
          <w:p>
            <w:pPr>
              <w:pStyle w:val="42"/>
              <w:widowControl/>
              <w:spacing w:line="400" w:lineRule="exact"/>
              <w:jc w:val="center"/>
              <w:rPr>
                <w:rFonts w:ascii="Times New Roman" w:hAnsi="宋体" w:eastAsia="宋体" w:cs="宋体"/>
                <w:color w:val="000000" w:themeColor="text1"/>
                <w:kern w:val="2"/>
                <w:sz w:val="21"/>
                <w:szCs w:val="24"/>
                <w:lang w:eastAsia="zh-CN"/>
                <w14:textFill>
                  <w14:solidFill>
                    <w14:schemeClr w14:val="tx1"/>
                  </w14:solidFill>
                </w14:textFill>
              </w:rPr>
            </w:pPr>
            <w:r>
              <w:rPr>
                <w:rFonts w:hint="eastAsia" w:ascii="Times New Roman" w:hAnsi="宋体" w:eastAsia="宋体" w:cs="宋体"/>
                <w:color w:val="000000" w:themeColor="text1"/>
                <w:kern w:val="2"/>
                <w:sz w:val="21"/>
                <w:szCs w:val="24"/>
                <w:lang w:eastAsia="zh-CN"/>
                <w14:textFill>
                  <w14:solidFill>
                    <w14:schemeClr w14:val="tx1"/>
                  </w14:solidFill>
                </w14:textFill>
              </w:rPr>
              <w:t>技术分</w:t>
            </w:r>
          </w:p>
          <w:p>
            <w:pPr>
              <w:pStyle w:val="42"/>
              <w:widowControl/>
              <w:spacing w:line="400" w:lineRule="exact"/>
              <w:jc w:val="center"/>
              <w:rPr>
                <w:rFonts w:ascii="宋体" w:hAnsi="宋体" w:cs="宋体"/>
                <w:sz w:val="24"/>
                <w:szCs w:val="24"/>
              </w:rPr>
            </w:pPr>
            <w:r>
              <w:rPr>
                <w:rFonts w:hint="eastAsia" w:ascii="Times New Roman" w:hAnsi="宋体" w:eastAsia="宋体" w:cs="宋体"/>
                <w:color w:val="000000" w:themeColor="text1"/>
                <w:kern w:val="2"/>
                <w:sz w:val="21"/>
                <w:szCs w:val="24"/>
                <w:lang w:eastAsia="zh-CN"/>
                <w14:textFill>
                  <w14:solidFill>
                    <w14:schemeClr w14:val="tx1"/>
                  </w14:solidFill>
                </w14:textFill>
              </w:rPr>
              <w:t>（90分</w:t>
            </w:r>
            <w:r>
              <w:rPr>
                <w:rFonts w:hint="eastAsia" w:ascii="宋体" w:hAnsi="宋体" w:cs="宋体"/>
                <w:bCs/>
                <w:sz w:val="24"/>
                <w:szCs w:val="24"/>
              </w:rPr>
              <w:t>）</w:t>
            </w:r>
            <w:r>
              <w:rPr>
                <w:rFonts w:hint="eastAsia" w:ascii="宋体" w:hAnsi="宋体" w:cs="宋体"/>
                <w:b/>
                <w:spacing w:val="-128"/>
                <w:sz w:val="24"/>
                <w:szCs w:val="24"/>
              </w:rPr>
              <w:t>）</w:t>
            </w:r>
          </w:p>
        </w:tc>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Ansi="宋体" w:cs="宋体"/>
                <w:szCs w:val="24"/>
              </w:rPr>
            </w:pPr>
            <w:r>
              <w:rPr>
                <w:rFonts w:hint="eastAsia" w:hAnsi="宋体" w:cs="宋体"/>
                <w:szCs w:val="24"/>
              </w:rPr>
              <w:t>培训方案</w:t>
            </w:r>
          </w:p>
        </w:tc>
        <w:tc>
          <w:tcPr>
            <w:tcW w:w="7140"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投标人是否依据采购人的需求制定切实可行的培训方案：</w:t>
            </w:r>
          </w:p>
          <w:p>
            <w:r>
              <w:rPr>
                <w:rFonts w:hint="eastAsia"/>
              </w:rPr>
              <w:t>（1）内容覆盖全面、要点突出、针对性强，内容完整详实，表述清晰，与本项目实际需求适应度高，利于项目实施的得15-20分；</w:t>
            </w:r>
          </w:p>
          <w:p>
            <w:r>
              <w:rPr>
                <w:rFonts w:hint="eastAsia"/>
              </w:rPr>
              <w:t>（2）内容覆盖全面、要点较突出、有一定针对性，内容完整详实，表述清晰，与本项目实际需求有较高适应度，符合项目实施要求的得9-14分；</w:t>
            </w:r>
          </w:p>
          <w:p>
            <w:r>
              <w:rPr>
                <w:rFonts w:hint="eastAsia"/>
              </w:rPr>
              <w:t>（3）内容覆盖不全面，要点突出不够明显，针对性不够强，具体细节有待完善的得4-8分；</w:t>
            </w:r>
          </w:p>
          <w:p>
            <w:r>
              <w:rPr>
                <w:rFonts w:hint="eastAsia"/>
              </w:rPr>
              <w:t>（4）内容差或未提供的不得分。</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2"/>
              <w:widowControl/>
              <w:spacing w:line="400" w:lineRule="exact"/>
              <w:jc w:val="center"/>
              <w:rPr>
                <w:rFonts w:ascii="宋体" w:hAnsi="宋体" w:cs="宋体"/>
                <w:b/>
                <w:bCs/>
                <w:sz w:val="24"/>
                <w:szCs w:val="24"/>
              </w:rPr>
            </w:pPr>
            <w:r>
              <w:rPr>
                <w:rFonts w:hint="eastAsia" w:ascii="宋体" w:hAnsi="宋体" w:cs="宋体"/>
                <w:b/>
                <w:bCs/>
                <w:sz w:val="24"/>
                <w:szCs w:val="24"/>
              </w:rPr>
              <w:t>0-</w:t>
            </w:r>
            <w:r>
              <w:rPr>
                <w:rFonts w:hint="eastAsia" w:ascii="宋体" w:hAnsi="宋体" w:cs="宋体"/>
                <w:b/>
                <w:bCs/>
                <w:sz w:val="24"/>
                <w:szCs w:val="24"/>
                <w:lang w:eastAsia="zh-CN"/>
              </w:rPr>
              <w:t>20</w:t>
            </w:r>
            <w:r>
              <w:rPr>
                <w:rFonts w:hint="eastAsia" w:ascii="宋体" w:hAnsi="宋体" w:cs="宋体"/>
                <w:b/>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9" w:hRule="atLeast"/>
          <w:jc w:val="center"/>
        </w:trPr>
        <w:tc>
          <w:tcPr>
            <w:tcW w:w="868" w:type="dxa"/>
            <w:vMerge w:val="continue"/>
            <w:tcBorders>
              <w:left w:val="single" w:color="auto" w:sz="4" w:space="0"/>
              <w:right w:val="single" w:color="auto" w:sz="4" w:space="0"/>
            </w:tcBorders>
            <w:shd w:val="clear" w:color="auto" w:fill="auto"/>
            <w:vAlign w:val="center"/>
          </w:tcPr>
          <w:p>
            <w:pPr>
              <w:ind w:firstLine="480"/>
              <w:jc w:val="center"/>
              <w:rPr>
                <w:rFonts w:hAnsi="宋体" w:cs="宋体"/>
                <w:szCs w:val="24"/>
              </w:rPr>
            </w:pPr>
          </w:p>
        </w:tc>
        <w:tc>
          <w:tcPr>
            <w:tcW w:w="1649" w:type="dxa"/>
            <w:tcBorders>
              <w:top w:val="nil"/>
              <w:left w:val="single" w:color="auto" w:sz="4" w:space="0"/>
              <w:bottom w:val="single" w:color="auto" w:sz="4" w:space="0"/>
              <w:right w:val="single" w:color="auto" w:sz="4" w:space="0"/>
            </w:tcBorders>
            <w:shd w:val="clear" w:color="auto" w:fill="auto"/>
            <w:vAlign w:val="center"/>
          </w:tcPr>
          <w:p>
            <w:pPr>
              <w:jc w:val="center"/>
              <w:rPr>
                <w:rFonts w:hAnsi="宋体" w:cs="宋体"/>
                <w:szCs w:val="24"/>
              </w:rPr>
            </w:pPr>
            <w:r>
              <w:rPr>
                <w:rFonts w:hint="eastAsia" w:hAnsi="宋体" w:cs="宋体"/>
                <w:szCs w:val="24"/>
              </w:rPr>
              <w:t>后勤保障方案</w:t>
            </w:r>
          </w:p>
        </w:tc>
        <w:tc>
          <w:tcPr>
            <w:tcW w:w="7140"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项目统筹、项目管理、后勤保障等责任到人，分工明确；培训实施过程中可能出现的问题所提供的各类应急预案及保障措施合理有效：</w:t>
            </w:r>
          </w:p>
          <w:p>
            <w:r>
              <w:rPr>
                <w:rFonts w:hint="eastAsia"/>
              </w:rPr>
              <w:t>（1）安排合理的，内容覆盖全面，针对性强的得12-15分；</w:t>
            </w:r>
          </w:p>
          <w:p>
            <w:r>
              <w:rPr>
                <w:rFonts w:hint="eastAsia"/>
              </w:rPr>
              <w:t>（2）安排较为合理，内容覆盖较为全面，针对性较强的得8-11分；</w:t>
            </w:r>
          </w:p>
          <w:p>
            <w:r>
              <w:rPr>
                <w:rFonts w:hint="eastAsia"/>
              </w:rPr>
              <w:t>（3）基本能够满足项目需求，细节有待完善的得3-7分；</w:t>
            </w:r>
          </w:p>
          <w:p>
            <w:r>
              <w:rPr>
                <w:rFonts w:hint="eastAsia"/>
              </w:rPr>
              <w:t>（4）差或未提供不得分。</w:t>
            </w:r>
          </w:p>
        </w:tc>
        <w:tc>
          <w:tcPr>
            <w:tcW w:w="952" w:type="dxa"/>
            <w:tcBorders>
              <w:top w:val="nil"/>
              <w:left w:val="single" w:color="auto" w:sz="4" w:space="0"/>
              <w:bottom w:val="single" w:color="auto" w:sz="4" w:space="0"/>
              <w:right w:val="single" w:color="auto" w:sz="4" w:space="0"/>
            </w:tcBorders>
            <w:shd w:val="clear" w:color="auto" w:fill="auto"/>
            <w:vAlign w:val="center"/>
          </w:tcPr>
          <w:p>
            <w:pPr>
              <w:pStyle w:val="42"/>
              <w:widowControl/>
              <w:spacing w:line="400" w:lineRule="exact"/>
              <w:jc w:val="center"/>
              <w:rPr>
                <w:rFonts w:ascii="宋体" w:hAnsi="宋体" w:cs="宋体"/>
                <w:b/>
                <w:bCs/>
                <w:sz w:val="24"/>
                <w:szCs w:val="24"/>
              </w:rPr>
            </w:pPr>
            <w:r>
              <w:rPr>
                <w:rFonts w:hint="eastAsia" w:ascii="宋体" w:hAnsi="宋体" w:cs="宋体"/>
                <w:b/>
                <w:bCs/>
                <w:sz w:val="24"/>
                <w:szCs w:val="24"/>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2" w:hRule="atLeast"/>
          <w:jc w:val="center"/>
        </w:trPr>
        <w:tc>
          <w:tcPr>
            <w:tcW w:w="868" w:type="dxa"/>
            <w:vMerge w:val="continue"/>
            <w:tcBorders>
              <w:left w:val="single" w:color="auto" w:sz="4" w:space="0"/>
              <w:right w:val="single" w:color="auto" w:sz="4" w:space="0"/>
            </w:tcBorders>
            <w:shd w:val="clear" w:color="auto" w:fill="auto"/>
            <w:vAlign w:val="center"/>
          </w:tcPr>
          <w:p>
            <w:pPr>
              <w:ind w:firstLine="480"/>
              <w:jc w:val="center"/>
              <w:rPr>
                <w:rFonts w:hAnsi="宋体" w:cs="宋体"/>
                <w:szCs w:val="24"/>
              </w:rPr>
            </w:pPr>
          </w:p>
        </w:tc>
        <w:tc>
          <w:tcPr>
            <w:tcW w:w="1649" w:type="dxa"/>
            <w:tcBorders>
              <w:top w:val="nil"/>
              <w:left w:val="single" w:color="auto" w:sz="4" w:space="0"/>
              <w:bottom w:val="single" w:color="auto" w:sz="4" w:space="0"/>
              <w:right w:val="single" w:color="auto" w:sz="4" w:space="0"/>
            </w:tcBorders>
            <w:shd w:val="clear" w:color="auto" w:fill="auto"/>
            <w:vAlign w:val="center"/>
          </w:tcPr>
          <w:p>
            <w:pPr>
              <w:pStyle w:val="42"/>
              <w:widowControl/>
              <w:spacing w:line="400" w:lineRule="exact"/>
              <w:jc w:val="center"/>
              <w:rPr>
                <w:rFonts w:ascii="Times New Roman" w:hAnsi="宋体" w:eastAsia="宋体" w:cs="宋体"/>
                <w:color w:val="000000" w:themeColor="text1"/>
                <w:kern w:val="2"/>
                <w:sz w:val="21"/>
                <w:szCs w:val="24"/>
                <w:lang w:eastAsia="zh-CN"/>
                <w14:textFill>
                  <w14:solidFill>
                    <w14:schemeClr w14:val="tx1"/>
                  </w14:solidFill>
                </w14:textFill>
              </w:rPr>
            </w:pPr>
            <w:r>
              <w:rPr>
                <w:rFonts w:hint="eastAsia" w:ascii="Times New Roman" w:hAnsi="宋体" w:eastAsia="宋体" w:cs="宋体"/>
                <w:color w:val="000000" w:themeColor="text1"/>
                <w:kern w:val="2"/>
                <w:sz w:val="21"/>
                <w:szCs w:val="24"/>
                <w:lang w:eastAsia="zh-CN"/>
                <w14:textFill>
                  <w14:solidFill>
                    <w14:schemeClr w14:val="tx1"/>
                  </w14:solidFill>
                </w14:textFill>
              </w:rPr>
              <w:t>供应商业绩</w:t>
            </w:r>
          </w:p>
        </w:tc>
        <w:tc>
          <w:tcPr>
            <w:tcW w:w="7140"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提供2022年1月1日以来以下业绩：</w:t>
            </w:r>
          </w:p>
          <w:p>
            <w:r>
              <w:rPr>
                <w:rFonts w:hint="eastAsia"/>
              </w:rPr>
              <w:t>（1）</w:t>
            </w:r>
            <w:r>
              <w:t>县（区）级及以上</w:t>
            </w:r>
            <w:r>
              <w:rPr>
                <w:rFonts w:hint="eastAsia"/>
              </w:rPr>
              <w:t>纪检</w:t>
            </w:r>
            <w:r>
              <w:t>部门培训业绩，一个业绩得</w:t>
            </w:r>
            <w:r>
              <w:rPr>
                <w:rFonts w:hint="eastAsia"/>
              </w:rPr>
              <w:t>3分，最多3分；</w:t>
            </w:r>
          </w:p>
          <w:p>
            <w:r>
              <w:rPr>
                <w:rFonts w:hint="eastAsia"/>
              </w:rPr>
              <w:t>（2）（地级市）市级</w:t>
            </w:r>
            <w:r>
              <w:t>及以上</w:t>
            </w:r>
            <w:r>
              <w:rPr>
                <w:rFonts w:hint="eastAsia"/>
              </w:rPr>
              <w:t>国有单位或政府培训业绩的，一个业绩得2分，最多得6分；</w:t>
            </w:r>
          </w:p>
          <w:p>
            <w:r>
              <w:rPr>
                <w:rFonts w:hint="eastAsia"/>
              </w:rPr>
              <w:t>（3）具有省级及以上国有单位或政府培训业绩的，一个业绩得3分，最多得</w:t>
            </w:r>
          </w:p>
          <w:p>
            <w:r>
              <w:rPr>
                <w:rFonts w:hint="eastAsia"/>
              </w:rPr>
              <w:t>9分；</w:t>
            </w:r>
          </w:p>
          <w:p>
            <w:r>
              <w:rPr>
                <w:rFonts w:hint="eastAsia"/>
              </w:rPr>
              <w:t>（4）未提供不得分。</w:t>
            </w:r>
          </w:p>
          <w:p>
            <w:r>
              <w:rPr>
                <w:rFonts w:hint="eastAsia"/>
              </w:rPr>
              <w:t>评审依据：</w:t>
            </w:r>
          </w:p>
          <w:p>
            <w:r>
              <w:rPr>
                <w:rFonts w:hint="eastAsia"/>
              </w:rPr>
              <w:t>1、投标文件中须提供业绩合同（或协议）扫描件或复印件，须体现签订时间、项目内容等关键评审要素，否则该业绩不予认可；</w:t>
            </w:r>
          </w:p>
          <w:p>
            <w:r>
              <w:rPr>
                <w:rFonts w:hint="eastAsia"/>
              </w:rPr>
              <w:t>2、以上业绩包含正在履约业绩。</w:t>
            </w:r>
          </w:p>
        </w:tc>
        <w:tc>
          <w:tcPr>
            <w:tcW w:w="952" w:type="dxa"/>
            <w:tcBorders>
              <w:top w:val="nil"/>
              <w:left w:val="single" w:color="auto" w:sz="4" w:space="0"/>
              <w:bottom w:val="single" w:color="auto" w:sz="4" w:space="0"/>
              <w:right w:val="single" w:color="auto" w:sz="4" w:space="0"/>
            </w:tcBorders>
            <w:shd w:val="clear" w:color="auto" w:fill="auto"/>
            <w:vAlign w:val="center"/>
          </w:tcPr>
          <w:p>
            <w:pPr>
              <w:pStyle w:val="42"/>
              <w:widowControl/>
              <w:spacing w:line="400" w:lineRule="exact"/>
              <w:jc w:val="center"/>
              <w:rPr>
                <w:rFonts w:ascii="宋体" w:hAnsi="宋体" w:cs="宋体"/>
                <w:b/>
                <w:bCs/>
                <w:sz w:val="24"/>
                <w:szCs w:val="24"/>
              </w:rPr>
            </w:pPr>
            <w:r>
              <w:rPr>
                <w:rFonts w:hint="eastAsia" w:ascii="宋体" w:hAnsi="宋体" w:cs="宋体"/>
                <w:b/>
                <w:bCs/>
                <w:sz w:val="24"/>
                <w:szCs w:val="24"/>
              </w:rPr>
              <w:t>0-</w:t>
            </w:r>
            <w:r>
              <w:rPr>
                <w:rFonts w:hint="eastAsia" w:ascii="宋体" w:hAnsi="宋体" w:cs="宋体"/>
                <w:b/>
                <w:bCs/>
                <w:sz w:val="24"/>
                <w:szCs w:val="24"/>
                <w:lang w:eastAsia="zh-CN"/>
              </w:rPr>
              <w:t>18</w:t>
            </w:r>
            <w:r>
              <w:rPr>
                <w:rFonts w:hint="eastAsia" w:ascii="宋体" w:hAnsi="宋体" w:cs="宋体"/>
                <w:b/>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8" w:hRule="atLeast"/>
          <w:jc w:val="center"/>
        </w:trPr>
        <w:tc>
          <w:tcPr>
            <w:tcW w:w="868" w:type="dxa"/>
            <w:vMerge w:val="restart"/>
            <w:tcBorders>
              <w:left w:val="single" w:color="auto" w:sz="4" w:space="0"/>
              <w:right w:val="single" w:color="auto" w:sz="4" w:space="0"/>
            </w:tcBorders>
            <w:shd w:val="clear" w:color="auto" w:fill="auto"/>
            <w:vAlign w:val="center"/>
          </w:tcPr>
          <w:p>
            <w:pPr>
              <w:pStyle w:val="42"/>
              <w:widowControl/>
              <w:spacing w:line="400" w:lineRule="exact"/>
              <w:jc w:val="center"/>
              <w:rPr>
                <w:rFonts w:ascii="Times New Roman" w:hAnsi="宋体" w:eastAsia="宋体" w:cs="宋体"/>
                <w:color w:val="000000" w:themeColor="text1"/>
                <w:kern w:val="2"/>
                <w:sz w:val="21"/>
                <w:szCs w:val="24"/>
                <w:lang w:eastAsia="zh-CN"/>
                <w14:textFill>
                  <w14:solidFill>
                    <w14:schemeClr w14:val="tx1"/>
                  </w14:solidFill>
                </w14:textFill>
              </w:rPr>
            </w:pPr>
            <w:r>
              <w:rPr>
                <w:rFonts w:hint="eastAsia" w:ascii="Times New Roman" w:hAnsi="宋体" w:eastAsia="宋体" w:cs="宋体"/>
                <w:color w:val="000000" w:themeColor="text1"/>
                <w:kern w:val="2"/>
                <w:sz w:val="21"/>
                <w:szCs w:val="24"/>
                <w:lang w:eastAsia="zh-CN"/>
                <w14:textFill>
                  <w14:solidFill>
                    <w14:schemeClr w14:val="tx1"/>
                  </w14:solidFill>
                </w14:textFill>
              </w:rPr>
              <w:t>技术分</w:t>
            </w:r>
          </w:p>
          <w:p>
            <w:pPr>
              <w:pStyle w:val="42"/>
              <w:widowControl/>
              <w:spacing w:line="400" w:lineRule="exact"/>
              <w:jc w:val="center"/>
              <w:rPr>
                <w:rFonts w:ascii="宋体" w:hAnsi="宋体" w:cs="宋体"/>
                <w:sz w:val="24"/>
                <w:szCs w:val="24"/>
              </w:rPr>
            </w:pPr>
            <w:r>
              <w:rPr>
                <w:rFonts w:hint="eastAsia" w:ascii="Times New Roman" w:hAnsi="宋体" w:eastAsia="宋体" w:cs="宋体"/>
                <w:color w:val="000000" w:themeColor="text1"/>
                <w:kern w:val="2"/>
                <w:sz w:val="21"/>
                <w:szCs w:val="24"/>
                <w:lang w:eastAsia="zh-CN"/>
                <w14:textFill>
                  <w14:solidFill>
                    <w14:schemeClr w14:val="tx1"/>
                  </w14:solidFill>
                </w14:textFill>
              </w:rPr>
              <w:t>（90分</w:t>
            </w:r>
            <w:r>
              <w:rPr>
                <w:rFonts w:hint="eastAsia" w:ascii="宋体" w:hAnsi="宋体" w:cs="宋体"/>
                <w:bCs/>
                <w:sz w:val="24"/>
                <w:szCs w:val="24"/>
              </w:rPr>
              <w:t>）</w:t>
            </w:r>
            <w:r>
              <w:rPr>
                <w:rFonts w:hint="eastAsia" w:ascii="宋体" w:hAnsi="宋体" w:cs="宋体"/>
                <w:b/>
                <w:spacing w:val="-128"/>
                <w:sz w:val="24"/>
                <w:szCs w:val="24"/>
              </w:rPr>
              <w:t>）</w:t>
            </w:r>
          </w:p>
        </w:tc>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t>供应商荣誉</w:t>
            </w:r>
          </w:p>
        </w:tc>
        <w:tc>
          <w:tcPr>
            <w:tcW w:w="7140" w:type="dxa"/>
            <w:tcBorders>
              <w:top w:val="single" w:color="auto" w:sz="4" w:space="0"/>
              <w:left w:val="single" w:color="auto" w:sz="4" w:space="0"/>
              <w:bottom w:val="single" w:color="auto" w:sz="4" w:space="0"/>
              <w:right w:val="single" w:color="auto" w:sz="4" w:space="0"/>
            </w:tcBorders>
            <w:shd w:val="clear" w:color="auto" w:fill="auto"/>
          </w:tcPr>
          <w:p>
            <w:pPr>
              <w:spacing w:line="400" w:lineRule="exact"/>
              <w:rPr>
                <w:rFonts w:hAnsi="宋体" w:cs="宋体"/>
                <w:szCs w:val="24"/>
              </w:rPr>
            </w:pPr>
            <w:r>
              <w:rPr>
                <w:rFonts w:hAnsi="宋体" w:cs="宋体"/>
                <w:szCs w:val="24"/>
              </w:rPr>
              <w:t>供应商(或其所属人员)获得市级及以上党政机关或依法登记注册成立的行业协会颁发的荣誉奖项，每提供一个奖项得5分，满分为10 分</w:t>
            </w:r>
            <w:r>
              <w:rPr>
                <w:rFonts w:hint="eastAsia" w:hAnsi="宋体" w:cs="宋体"/>
                <w:szCs w:val="24"/>
              </w:rPr>
              <w:t>。</w:t>
            </w:r>
          </w:p>
          <w:p>
            <w:pPr>
              <w:spacing w:line="400" w:lineRule="exact"/>
              <w:rPr>
                <w:b/>
              </w:rPr>
            </w:pPr>
          </w:p>
          <w:p>
            <w:pPr>
              <w:spacing w:line="400" w:lineRule="exact"/>
              <w:rPr>
                <w:b/>
              </w:rPr>
            </w:pPr>
            <w:r>
              <w:rPr>
                <w:b/>
              </w:rPr>
              <w:t>注:（1）本项“党机关”包含党的机关、人大机关、政协机关、政府机关、检查机关、审判机关、群团组织(如共青团、妇联、总工会等)及所属事业单位；（2）响应文件中提供获奖证书、批复、颁奖单位颁奖文件、网上公示截图(具有其中之一即可) 等证明材料。以上材料提供扫描件，须能体现供应商名称(或所属人员信息)，如无法体现，须另附颁奖单位的相关证明材料，未提供或提供不全的不得分；（3）“国内依法登记注册”以全国社会组织信用信息公示平台查询结果为准。响应文件中需提供该协会在全国组织信用信息公示平台查询结果截图。民政部公布的“离岸社团”、“山寨社团”颁发的荣誉、奖励均无效。</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2"/>
              <w:widowControl/>
              <w:spacing w:line="400" w:lineRule="exact"/>
              <w:jc w:val="center"/>
              <w:rPr>
                <w:rFonts w:ascii="宋体" w:hAnsi="宋体" w:cs="宋体"/>
                <w:b/>
                <w:bCs/>
                <w:sz w:val="24"/>
                <w:szCs w:val="24"/>
                <w:lang w:eastAsia="zh-CN"/>
              </w:rPr>
            </w:pPr>
            <w:r>
              <w:rPr>
                <w:rFonts w:hint="eastAsia" w:ascii="宋体" w:hAnsi="宋体" w:cs="宋体"/>
                <w:b/>
                <w:bCs/>
                <w:sz w:val="24"/>
                <w:szCs w:val="24"/>
                <w:lang w:eastAsia="zh-CN"/>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6" w:hRule="atLeast"/>
          <w:jc w:val="center"/>
        </w:trPr>
        <w:tc>
          <w:tcPr>
            <w:tcW w:w="868" w:type="dxa"/>
            <w:vMerge w:val="continue"/>
            <w:tcBorders>
              <w:left w:val="single" w:color="auto" w:sz="4" w:space="0"/>
              <w:right w:val="single" w:color="auto" w:sz="4" w:space="0"/>
            </w:tcBorders>
            <w:shd w:val="clear" w:color="auto" w:fill="auto"/>
            <w:vAlign w:val="center"/>
          </w:tcPr>
          <w:p>
            <w:pPr>
              <w:ind w:firstLine="480"/>
              <w:jc w:val="center"/>
              <w:rPr>
                <w:rFonts w:hAnsi="宋体" w:cs="宋体"/>
                <w:szCs w:val="24"/>
              </w:rPr>
            </w:pPr>
          </w:p>
        </w:tc>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atLeast"/>
              <w:rPr>
                <w:rFonts w:hAnsi="宋体" w:cs="宋体"/>
                <w:szCs w:val="24"/>
              </w:rPr>
            </w:pPr>
            <w:r>
              <w:rPr>
                <w:rFonts w:hint="eastAsia" w:hAnsi="宋体" w:cs="宋体"/>
                <w:color w:val="000000" w:themeColor="text1"/>
                <w:szCs w:val="24"/>
                <w14:textFill>
                  <w14:solidFill>
                    <w14:schemeClr w14:val="tx1"/>
                  </w14:solidFill>
                </w14:textFill>
              </w:rPr>
              <w:t>供应商讲师、项目服务人员配备及综合实力</w:t>
            </w:r>
          </w:p>
        </w:tc>
        <w:tc>
          <w:tcPr>
            <w:tcW w:w="7140"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根据项目需求提供具有丰富培训经验和实践经验的老师进行授课，根据投标单位提供的培训师资配备情况：</w:t>
            </w:r>
          </w:p>
          <w:p>
            <w:r>
              <w:rPr>
                <w:rFonts w:hint="eastAsia"/>
              </w:rPr>
              <w:t>（1）项目服务人员拥有人力资源管理师一级证书，每个5分；二级证书，每个3分；三级证书，每个2分，没有证书不得分，最高得10分（同一人具有的证书不重复加分，均按1项加分）。</w:t>
            </w:r>
          </w:p>
          <w:p>
            <w:r>
              <w:rPr>
                <w:rFonts w:hint="eastAsia"/>
              </w:rPr>
              <w:t>（2）每提供一名全国知名专家的得5分，正高级技术职称专业人员得4分，副高级技术职称专业人员得2分，未提供不得分，最高得10分。</w:t>
            </w:r>
          </w:p>
          <w:p>
            <w:r>
              <w:rPr>
                <w:rFonts w:hint="eastAsia"/>
              </w:rPr>
              <w:t>（3）获得有关部门颁发的“企业人才培训基地”、</w:t>
            </w:r>
            <w:r>
              <w:t>“高技能人才</w:t>
            </w:r>
            <w:r>
              <w:rPr>
                <w:rFonts w:hint="eastAsia"/>
              </w:rPr>
              <w:t>培训</w:t>
            </w:r>
            <w:r>
              <w:t>基地”或</w:t>
            </w:r>
            <w:r>
              <w:rPr>
                <w:rFonts w:hint="eastAsia"/>
              </w:rPr>
              <w:t>“</w:t>
            </w:r>
            <w:r>
              <w:t>人力资源服务骨干企业</w:t>
            </w:r>
            <w:r>
              <w:rPr>
                <w:rFonts w:hint="eastAsia"/>
              </w:rPr>
              <w:t>”等称号之一的，得7分。</w:t>
            </w:r>
          </w:p>
          <w:p/>
          <w:p>
            <w:r>
              <w:rPr>
                <w:rFonts w:hint="eastAsia"/>
              </w:rPr>
              <w:t>评审依据：</w:t>
            </w:r>
          </w:p>
          <w:p>
            <w:r>
              <w:rPr>
                <w:rFonts w:hint="eastAsia"/>
              </w:rPr>
              <w:t>1、提供讲师相应资格证书扫描件或复印件，未提供的不得分。</w:t>
            </w:r>
          </w:p>
          <w:p>
            <w:r>
              <w:rPr>
                <w:rFonts w:hint="eastAsia"/>
              </w:rPr>
              <w:t>2、提供培训师资配备人员一致性承诺书，加盖公章。</w:t>
            </w:r>
          </w:p>
          <w:p>
            <w:r>
              <w:rPr>
                <w:rFonts w:hint="eastAsia"/>
              </w:rPr>
              <w:t>3、提供服务人员名单（格式自拟）及投标人为服务人员缴纳的近6个月内的社保证明材料；</w:t>
            </w:r>
          </w:p>
          <w:p>
            <w:pPr>
              <w:rPr>
                <w:rFonts w:ascii="宋体"/>
                <w:sz w:val="24"/>
              </w:rPr>
            </w:pPr>
            <w:r>
              <w:rPr>
                <w:rFonts w:hint="eastAsia"/>
              </w:rPr>
              <w:t>4、提供供应商获评文件批复、网上公示截图（具有其中之一即可）等证明材料。以上材料提供扫描件，须能体现供应商名称，如无法体现，须另附颁发单位的相关证明材料，未提供或提供不全的不得分。</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2"/>
              <w:widowControl/>
              <w:spacing w:line="400" w:lineRule="exact"/>
              <w:jc w:val="center"/>
              <w:rPr>
                <w:rFonts w:ascii="宋体" w:hAnsi="宋体" w:cs="宋体"/>
                <w:sz w:val="24"/>
                <w:szCs w:val="24"/>
              </w:rPr>
            </w:pPr>
            <w:r>
              <w:rPr>
                <w:rFonts w:hint="eastAsia" w:ascii="宋体" w:hAnsi="宋体" w:cs="宋体"/>
                <w:b/>
                <w:bCs/>
                <w:sz w:val="24"/>
                <w:szCs w:val="24"/>
              </w:rPr>
              <w:t>0-</w:t>
            </w:r>
            <w:r>
              <w:rPr>
                <w:rFonts w:hint="eastAsia" w:ascii="宋体" w:hAnsi="宋体" w:cs="宋体"/>
                <w:b/>
                <w:bCs/>
                <w:sz w:val="24"/>
                <w:szCs w:val="24"/>
                <w:lang w:eastAsia="zh-CN"/>
              </w:rPr>
              <w:t>27</w:t>
            </w:r>
            <w:r>
              <w:rPr>
                <w:rFonts w:hint="eastAsia" w:ascii="宋体" w:hAnsi="宋体" w:cs="宋体"/>
                <w:b/>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6" w:hRule="atLeast"/>
          <w:jc w:val="center"/>
        </w:trPr>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2"/>
              <w:widowControl/>
              <w:spacing w:line="400" w:lineRule="exact"/>
              <w:jc w:val="center"/>
              <w:rPr>
                <w:rFonts w:ascii="Times New Roman" w:hAnsi="宋体" w:eastAsia="宋体" w:cs="宋体"/>
                <w:color w:val="000000" w:themeColor="text1"/>
                <w:kern w:val="2"/>
                <w:sz w:val="21"/>
                <w:szCs w:val="24"/>
                <w:lang w:eastAsia="zh-CN"/>
                <w14:textFill>
                  <w14:solidFill>
                    <w14:schemeClr w14:val="tx1"/>
                  </w14:solidFill>
                </w14:textFill>
              </w:rPr>
            </w:pPr>
            <w:r>
              <w:rPr>
                <w:rFonts w:hint="eastAsia" w:ascii="Times New Roman" w:hAnsi="宋体" w:eastAsia="宋体" w:cs="宋体"/>
                <w:color w:val="000000" w:themeColor="text1"/>
                <w:kern w:val="2"/>
                <w:sz w:val="21"/>
                <w:szCs w:val="24"/>
                <w:lang w:eastAsia="zh-CN"/>
                <w14:textFill>
                  <w14:solidFill>
                    <w14:schemeClr w14:val="tx1"/>
                  </w14:solidFill>
                </w14:textFill>
              </w:rPr>
              <w:t>价格分</w:t>
            </w:r>
          </w:p>
          <w:p>
            <w:pPr>
              <w:pStyle w:val="42"/>
              <w:widowControl/>
              <w:spacing w:line="400" w:lineRule="exact"/>
              <w:jc w:val="center"/>
              <w:rPr>
                <w:rFonts w:hAnsi="宋体" w:cs="宋体"/>
                <w:szCs w:val="24"/>
              </w:rPr>
            </w:pPr>
            <w:r>
              <w:rPr>
                <w:rFonts w:hint="eastAsia" w:ascii="Times New Roman" w:hAnsi="宋体" w:eastAsia="宋体" w:cs="宋体"/>
                <w:color w:val="000000" w:themeColor="text1"/>
                <w:kern w:val="2"/>
                <w:sz w:val="21"/>
                <w:szCs w:val="24"/>
                <w:lang w:eastAsia="zh-CN"/>
                <w14:textFill>
                  <w14:solidFill>
                    <w14:schemeClr w14:val="tx1"/>
                  </w14:solidFill>
                </w14:textFill>
              </w:rPr>
              <w:t>（10分）</w:t>
            </w:r>
          </w:p>
        </w:tc>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Ansi="宋体" w:cs="宋体"/>
                <w:szCs w:val="24"/>
              </w:rPr>
            </w:pPr>
            <w:r>
              <w:rPr>
                <w:rFonts w:hint="eastAsia" w:hAnsi="宋体" w:cs="宋体"/>
                <w:szCs w:val="24"/>
              </w:rPr>
              <w:t>价格分</w:t>
            </w:r>
          </w:p>
        </w:tc>
        <w:tc>
          <w:tcPr>
            <w:tcW w:w="7140"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价格分统一采用低价优先法，即满足磋商文件要求且价格最低的最后报价为评标基准价，其价格分为满分 10分。其他供应商的</w:t>
            </w:r>
          </w:p>
          <w:p>
            <w:r>
              <w:rPr>
                <w:rFonts w:hint="eastAsia"/>
              </w:rPr>
              <w:t xml:space="preserve">价格分统一按照下列公式计算： </w:t>
            </w:r>
          </w:p>
          <w:p>
            <w:pPr>
              <w:rPr>
                <w:rFonts w:hAnsi="宋体" w:cs="宋体"/>
                <w:szCs w:val="24"/>
              </w:rPr>
            </w:pPr>
            <w:r>
              <w:rPr>
                <w:rFonts w:hint="eastAsia"/>
              </w:rPr>
              <w:t>最后报价得分＝（评标基准价/最后报价）× 10 ％×100</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Ansi="宋体" w:cs="宋体"/>
                <w:szCs w:val="24"/>
              </w:rPr>
            </w:pPr>
            <w:r>
              <w:rPr>
                <w:rFonts w:hint="eastAsia" w:hAnsi="宋体" w:cs="宋体"/>
                <w:b/>
                <w:bCs/>
                <w:szCs w:val="24"/>
              </w:rPr>
              <w:t>0-10分</w:t>
            </w:r>
          </w:p>
        </w:tc>
      </w:tr>
    </w:tbl>
    <w:p>
      <w:pPr>
        <w:keepNext w:val="0"/>
        <w:keepLines w:val="0"/>
        <w:pageBreakBefore w:val="0"/>
        <w:kinsoku/>
        <w:wordWrap/>
        <w:overflowPunct/>
        <w:topLinePunct w:val="0"/>
        <w:autoSpaceDE/>
        <w:autoSpaceDN/>
        <w:bidi w:val="0"/>
        <w:adjustRightInd/>
        <w:snapToGrid/>
        <w:spacing w:beforeAutospacing="0" w:afterAutospacing="0" w:line="240" w:lineRule="auto"/>
        <w:ind w:left="0"/>
        <w:jc w:val="left"/>
        <w:textAlignment w:val="auto"/>
        <w:rPr>
          <w:rFonts w:hint="eastAsia" w:ascii="Times New Roman" w:hAnsi="Times New Roman" w:eastAsia="宋体" w:cs="Times New Roman"/>
          <w:b w:val="0"/>
          <w:bCs w:val="0"/>
          <w:color w:val="auto"/>
          <w:sz w:val="24"/>
          <w:szCs w:val="24"/>
          <w:highlight w:val="none"/>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3164B46"/>
    <w:rsid w:val="03C238C1"/>
    <w:rsid w:val="046D02C9"/>
    <w:rsid w:val="04AC7907"/>
    <w:rsid w:val="07D61CBB"/>
    <w:rsid w:val="08187346"/>
    <w:rsid w:val="08C218CD"/>
    <w:rsid w:val="09357310"/>
    <w:rsid w:val="09431CDD"/>
    <w:rsid w:val="09D85925"/>
    <w:rsid w:val="0B16599D"/>
    <w:rsid w:val="0B4E0F31"/>
    <w:rsid w:val="0B5F2C55"/>
    <w:rsid w:val="0CC51CA1"/>
    <w:rsid w:val="12375F75"/>
    <w:rsid w:val="12E66D1C"/>
    <w:rsid w:val="132E7BF0"/>
    <w:rsid w:val="1474453F"/>
    <w:rsid w:val="147A6B5F"/>
    <w:rsid w:val="174F3E72"/>
    <w:rsid w:val="19371A3D"/>
    <w:rsid w:val="1B562B38"/>
    <w:rsid w:val="1BBE6F12"/>
    <w:rsid w:val="1BE340FE"/>
    <w:rsid w:val="1CD51C99"/>
    <w:rsid w:val="1EA9518B"/>
    <w:rsid w:val="1EF02DBA"/>
    <w:rsid w:val="229D0F23"/>
    <w:rsid w:val="2560638D"/>
    <w:rsid w:val="2888575B"/>
    <w:rsid w:val="288C7083"/>
    <w:rsid w:val="2A060596"/>
    <w:rsid w:val="2BCB60A1"/>
    <w:rsid w:val="2DC35BE2"/>
    <w:rsid w:val="2DDA05D0"/>
    <w:rsid w:val="2DFD6DA8"/>
    <w:rsid w:val="2F5C3B54"/>
    <w:rsid w:val="326170B4"/>
    <w:rsid w:val="3401034F"/>
    <w:rsid w:val="365F5108"/>
    <w:rsid w:val="38451629"/>
    <w:rsid w:val="39202096"/>
    <w:rsid w:val="3956631D"/>
    <w:rsid w:val="3977637C"/>
    <w:rsid w:val="39A323C9"/>
    <w:rsid w:val="3D0656AD"/>
    <w:rsid w:val="3D995F73"/>
    <w:rsid w:val="3DD40ACC"/>
    <w:rsid w:val="3E7A3FF6"/>
    <w:rsid w:val="3F7C42B6"/>
    <w:rsid w:val="40821E95"/>
    <w:rsid w:val="417A40B0"/>
    <w:rsid w:val="42331D89"/>
    <w:rsid w:val="425C413F"/>
    <w:rsid w:val="42654155"/>
    <w:rsid w:val="44AD421E"/>
    <w:rsid w:val="475C491A"/>
    <w:rsid w:val="49521D16"/>
    <w:rsid w:val="4A180A44"/>
    <w:rsid w:val="4A630034"/>
    <w:rsid w:val="4D752558"/>
    <w:rsid w:val="4D841426"/>
    <w:rsid w:val="4D926C66"/>
    <w:rsid w:val="4E235B10"/>
    <w:rsid w:val="4E4A0A8E"/>
    <w:rsid w:val="4EFF657E"/>
    <w:rsid w:val="50116703"/>
    <w:rsid w:val="51EB53DF"/>
    <w:rsid w:val="53603F65"/>
    <w:rsid w:val="551C3A0B"/>
    <w:rsid w:val="555C59B4"/>
    <w:rsid w:val="56FB20EC"/>
    <w:rsid w:val="5839386D"/>
    <w:rsid w:val="58B2099D"/>
    <w:rsid w:val="58DC61B7"/>
    <w:rsid w:val="59F6057D"/>
    <w:rsid w:val="5A8121BA"/>
    <w:rsid w:val="5ABF0539"/>
    <w:rsid w:val="5B4434DF"/>
    <w:rsid w:val="65374BCA"/>
    <w:rsid w:val="6562740E"/>
    <w:rsid w:val="65FC1861"/>
    <w:rsid w:val="662E5966"/>
    <w:rsid w:val="668838E6"/>
    <w:rsid w:val="6747066A"/>
    <w:rsid w:val="699F737A"/>
    <w:rsid w:val="6B1A1662"/>
    <w:rsid w:val="6DEB7675"/>
    <w:rsid w:val="6EAC5D22"/>
    <w:rsid w:val="6F1E00AA"/>
    <w:rsid w:val="6FE07D2F"/>
    <w:rsid w:val="71DF2C74"/>
    <w:rsid w:val="73136DD6"/>
    <w:rsid w:val="73231BEA"/>
    <w:rsid w:val="73922BF0"/>
    <w:rsid w:val="73B72B30"/>
    <w:rsid w:val="744F5002"/>
    <w:rsid w:val="76271B88"/>
    <w:rsid w:val="76C41664"/>
    <w:rsid w:val="77AD62C7"/>
    <w:rsid w:val="792768C4"/>
    <w:rsid w:val="7B2E5971"/>
    <w:rsid w:val="7C2E1DAD"/>
    <w:rsid w:val="7C8E0C72"/>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4"/>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7"/>
    <w:basedOn w:val="1"/>
    <w:autoRedefine/>
    <w:qFormat/>
    <w:uiPriority w:val="1"/>
    <w:pPr>
      <w:ind w:left="577"/>
      <w:outlineLvl w:val="6"/>
    </w:pPr>
    <w:rPr>
      <w:rFonts w:ascii="宋体" w:hAnsi="宋体"/>
      <w:b/>
      <w:bCs/>
      <w:sz w:val="21"/>
      <w:szCs w:val="21"/>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link w:val="28"/>
    <w:autoRedefine/>
    <w:semiHidden/>
    <w:unhideWhenUsed/>
    <w:qFormat/>
    <w:uiPriority w:val="99"/>
    <w:pPr>
      <w:jc w:val="left"/>
    </w:pPr>
  </w:style>
  <w:style w:type="paragraph" w:styleId="7">
    <w:name w:val="Body Text"/>
    <w:basedOn w:val="1"/>
    <w:autoRedefine/>
    <w:qFormat/>
    <w:uiPriority w:val="1"/>
    <w:pPr>
      <w:ind w:left="140"/>
    </w:pPr>
    <w:rPr>
      <w:rFonts w:ascii="宋体" w:hAnsi="宋体"/>
      <w:sz w:val="21"/>
      <w:szCs w:val="21"/>
    </w:rPr>
  </w:style>
  <w:style w:type="paragraph" w:styleId="8">
    <w:name w:val="Body Text Indent"/>
    <w:basedOn w:val="1"/>
    <w:autoRedefine/>
    <w:qFormat/>
    <w:uiPriority w:val="0"/>
    <w:pPr>
      <w:ind w:firstLine="645"/>
    </w:pPr>
    <w:rPr>
      <w:rFonts w:ascii="楷体_GB2312" w:eastAsia="楷体_GB2312"/>
      <w:kern w:val="2"/>
      <w:sz w:val="32"/>
    </w:rPr>
  </w:style>
  <w:style w:type="paragraph" w:styleId="9">
    <w:name w:val="Plain Text"/>
    <w:basedOn w:val="1"/>
    <w:autoRedefine/>
    <w:qFormat/>
    <w:uiPriority w:val="0"/>
    <w:rPr>
      <w:rFonts w:hAnsi="Courier New"/>
      <w:kern w:val="2"/>
      <w:sz w:val="21"/>
    </w:rPr>
  </w:style>
  <w:style w:type="paragraph" w:styleId="10">
    <w:name w:val="Balloon Text"/>
    <w:basedOn w:val="1"/>
    <w:link w:val="30"/>
    <w:autoRedefine/>
    <w:semiHidden/>
    <w:unhideWhenUsed/>
    <w:qFormat/>
    <w:uiPriority w:val="99"/>
    <w:rPr>
      <w:sz w:val="18"/>
      <w:szCs w:val="18"/>
    </w:rPr>
  </w:style>
  <w:style w:type="paragraph" w:styleId="11">
    <w:name w:val="footer"/>
    <w:basedOn w:val="1"/>
    <w:link w:val="26"/>
    <w:autoRedefine/>
    <w:unhideWhenUsed/>
    <w:qFormat/>
    <w:uiPriority w:val="99"/>
    <w:pPr>
      <w:tabs>
        <w:tab w:val="center" w:pos="4153"/>
        <w:tab w:val="right" w:pos="8306"/>
      </w:tabs>
      <w:snapToGrid w:val="0"/>
      <w:jc w:val="left"/>
    </w:pPr>
    <w:rPr>
      <w:sz w:val="18"/>
      <w:szCs w:val="18"/>
    </w:rPr>
  </w:style>
  <w:style w:type="paragraph" w:styleId="12">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autoRedefine/>
    <w:qFormat/>
    <w:uiPriority w:val="0"/>
    <w:pPr>
      <w:ind w:firstLine="645"/>
    </w:pPr>
    <w:rPr>
      <w:rFonts w:ascii="仿宋_GB2312" w:hAnsi="Arial" w:eastAsia="仿宋_GB2312"/>
      <w:color w:val="000000"/>
      <w:sz w:val="30"/>
    </w:rPr>
  </w:style>
  <w:style w:type="paragraph" w:styleId="14">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autoRedefine/>
    <w:unhideWhenUsed/>
    <w:qFormat/>
    <w:uiPriority w:val="99"/>
    <w:pPr>
      <w:spacing w:before="100" w:beforeAutospacing="1" w:after="100" w:afterAutospacing="1"/>
      <w:jc w:val="left"/>
    </w:pPr>
    <w:rPr>
      <w:kern w:val="0"/>
      <w:sz w:val="24"/>
      <w:szCs w:val="22"/>
    </w:rPr>
  </w:style>
  <w:style w:type="paragraph" w:styleId="16">
    <w:name w:val="annotation subject"/>
    <w:basedOn w:val="6"/>
    <w:next w:val="6"/>
    <w:link w:val="29"/>
    <w:autoRedefine/>
    <w:semiHidden/>
    <w:unhideWhenUsed/>
    <w:qFormat/>
    <w:uiPriority w:val="99"/>
    <w:rPr>
      <w:b/>
      <w:bCs/>
    </w:rPr>
  </w:style>
  <w:style w:type="paragraph" w:styleId="17">
    <w:name w:val="Body Text First Indent 2"/>
    <w:basedOn w:val="8"/>
    <w:autoRedefine/>
    <w:qFormat/>
    <w:uiPriority w:val="0"/>
    <w:pPr>
      <w:ind w:left="420" w:leftChars="200" w:firstLine="420" w:firstLineChars="200"/>
    </w:pPr>
  </w:style>
  <w:style w:type="table" w:styleId="19">
    <w:name w:val="Table Grid"/>
    <w:basedOn w:val="18"/>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autoRedefine/>
    <w:qFormat/>
    <w:uiPriority w:val="22"/>
    <w:rPr>
      <w:b/>
    </w:rPr>
  </w:style>
  <w:style w:type="character" w:styleId="22">
    <w:name w:val="page number"/>
    <w:basedOn w:val="20"/>
    <w:autoRedefine/>
    <w:qFormat/>
    <w:uiPriority w:val="0"/>
  </w:style>
  <w:style w:type="character" w:styleId="23">
    <w:name w:val="annotation reference"/>
    <w:basedOn w:val="20"/>
    <w:autoRedefine/>
    <w:semiHidden/>
    <w:unhideWhenUsed/>
    <w:qFormat/>
    <w:uiPriority w:val="99"/>
    <w:rPr>
      <w:sz w:val="21"/>
      <w:szCs w:val="21"/>
    </w:rPr>
  </w:style>
  <w:style w:type="paragraph" w:customStyle="1" w:styleId="24">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25">
    <w:name w:val="页眉 Char"/>
    <w:basedOn w:val="20"/>
    <w:link w:val="12"/>
    <w:autoRedefine/>
    <w:qFormat/>
    <w:uiPriority w:val="99"/>
    <w:rPr>
      <w:sz w:val="18"/>
      <w:szCs w:val="18"/>
    </w:rPr>
  </w:style>
  <w:style w:type="character" w:customStyle="1" w:styleId="26">
    <w:name w:val="页脚 Char"/>
    <w:basedOn w:val="20"/>
    <w:link w:val="11"/>
    <w:autoRedefine/>
    <w:qFormat/>
    <w:uiPriority w:val="99"/>
    <w:rPr>
      <w:sz w:val="18"/>
      <w:szCs w:val="18"/>
    </w:rPr>
  </w:style>
  <w:style w:type="paragraph" w:customStyle="1" w:styleId="27">
    <w:name w:val="Char Char Char Char Char Char Char Char Char Char"/>
    <w:basedOn w:val="1"/>
    <w:autoRedefine/>
    <w:qFormat/>
    <w:uiPriority w:val="0"/>
    <w:rPr>
      <w:rFonts w:ascii="Tahoma" w:hAnsi="Tahoma" w:eastAsia="宋体" w:cs="仿宋_GB2312"/>
      <w:sz w:val="24"/>
      <w:szCs w:val="20"/>
    </w:rPr>
  </w:style>
  <w:style w:type="character" w:customStyle="1" w:styleId="28">
    <w:name w:val="批注文字 Char"/>
    <w:basedOn w:val="20"/>
    <w:link w:val="6"/>
    <w:autoRedefine/>
    <w:semiHidden/>
    <w:qFormat/>
    <w:uiPriority w:val="99"/>
  </w:style>
  <w:style w:type="character" w:customStyle="1" w:styleId="29">
    <w:name w:val="批注主题 Char"/>
    <w:basedOn w:val="28"/>
    <w:link w:val="16"/>
    <w:autoRedefine/>
    <w:semiHidden/>
    <w:qFormat/>
    <w:uiPriority w:val="99"/>
    <w:rPr>
      <w:b/>
      <w:bCs/>
    </w:rPr>
  </w:style>
  <w:style w:type="character" w:customStyle="1" w:styleId="30">
    <w:name w:val="批注框文本 Char"/>
    <w:basedOn w:val="20"/>
    <w:link w:val="10"/>
    <w:autoRedefine/>
    <w:semiHidden/>
    <w:qFormat/>
    <w:uiPriority w:val="99"/>
    <w:rPr>
      <w:sz w:val="18"/>
      <w:szCs w:val="18"/>
    </w:rPr>
  </w:style>
  <w:style w:type="paragraph" w:styleId="31">
    <w:name w:val="List Paragraph"/>
    <w:basedOn w:val="1"/>
    <w:autoRedefine/>
    <w:unhideWhenUsed/>
    <w:qFormat/>
    <w:uiPriority w:val="99"/>
    <w:pPr>
      <w:ind w:firstLine="420" w:firstLineChars="200"/>
    </w:pPr>
  </w:style>
  <w:style w:type="paragraph" w:customStyle="1" w:styleId="32">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3">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4">
    <w:name w:val="Char Char Char Char Char Char Char1 Char"/>
    <w:basedOn w:val="1"/>
    <w:autoRedefine/>
    <w:qFormat/>
    <w:uiPriority w:val="0"/>
    <w:rPr>
      <w:rFonts w:ascii="Tahoma" w:hAnsi="Tahoma"/>
      <w:sz w:val="24"/>
    </w:rPr>
  </w:style>
  <w:style w:type="character" w:customStyle="1" w:styleId="35">
    <w:name w:val="font21"/>
    <w:basedOn w:val="20"/>
    <w:autoRedefine/>
    <w:qFormat/>
    <w:uiPriority w:val="0"/>
    <w:rPr>
      <w:rFonts w:hint="eastAsia" w:ascii="宋体" w:hAnsi="宋体" w:eastAsia="宋体" w:cs="宋体"/>
      <w:b/>
      <w:bCs/>
      <w:color w:val="000000"/>
      <w:sz w:val="40"/>
      <w:szCs w:val="40"/>
      <w:u w:val="none"/>
    </w:rPr>
  </w:style>
  <w:style w:type="character" w:customStyle="1" w:styleId="36">
    <w:name w:val="font71"/>
    <w:basedOn w:val="20"/>
    <w:autoRedefine/>
    <w:qFormat/>
    <w:uiPriority w:val="0"/>
    <w:rPr>
      <w:rFonts w:hint="eastAsia" w:ascii="宋体" w:hAnsi="宋体" w:eastAsia="宋体" w:cs="宋体"/>
      <w:b/>
      <w:bCs/>
      <w:color w:val="000000"/>
      <w:sz w:val="40"/>
      <w:szCs w:val="40"/>
      <w:u w:val="single"/>
    </w:rPr>
  </w:style>
  <w:style w:type="character" w:customStyle="1" w:styleId="37">
    <w:name w:val="font91"/>
    <w:basedOn w:val="20"/>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8">
    <w:name w:val="font111"/>
    <w:basedOn w:val="20"/>
    <w:autoRedefine/>
    <w:qFormat/>
    <w:uiPriority w:val="0"/>
    <w:rPr>
      <w:rFonts w:hint="eastAsia" w:ascii="宋体" w:hAnsi="宋体" w:eastAsia="宋体" w:cs="宋体"/>
      <w:color w:val="000000"/>
      <w:sz w:val="40"/>
      <w:szCs w:val="40"/>
      <w:u w:val="single"/>
    </w:rPr>
  </w:style>
  <w:style w:type="character" w:customStyle="1" w:styleId="39">
    <w:name w:val="font141"/>
    <w:basedOn w:val="20"/>
    <w:autoRedefine/>
    <w:qFormat/>
    <w:uiPriority w:val="0"/>
    <w:rPr>
      <w:rFonts w:hint="eastAsia" w:ascii="宋体" w:hAnsi="宋体" w:eastAsia="宋体" w:cs="宋体"/>
      <w:color w:val="000000"/>
      <w:sz w:val="20"/>
      <w:szCs w:val="20"/>
      <w:u w:val="single"/>
    </w:rPr>
  </w:style>
  <w:style w:type="character" w:customStyle="1" w:styleId="40">
    <w:name w:val="font151"/>
    <w:basedOn w:val="20"/>
    <w:autoRedefine/>
    <w:qFormat/>
    <w:uiPriority w:val="0"/>
    <w:rPr>
      <w:rFonts w:hint="eastAsia" w:ascii="宋体" w:hAnsi="宋体" w:eastAsia="宋体" w:cs="宋体"/>
      <w:color w:val="000000"/>
      <w:sz w:val="20"/>
      <w:szCs w:val="20"/>
      <w:u w:val="single"/>
    </w:rPr>
  </w:style>
  <w:style w:type="paragraph" w:customStyle="1" w:styleId="41">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42">
    <w:name w:val="Table Paragraph"/>
    <w:basedOn w:val="1"/>
    <w:autoRedefine/>
    <w:qFormat/>
    <w:uiPriority w:val="1"/>
    <w:pPr>
      <w:autoSpaceDE w:val="0"/>
      <w:autoSpaceDN w:val="0"/>
      <w:jc w:val="left"/>
    </w:pPr>
    <w:rPr>
      <w:rFonts w:ascii="仿宋_GB2312" w:hAnsi="仿宋_GB2312" w:eastAsia="仿宋_GB2312" w:cs="仿宋_GB2312"/>
      <w:kern w:val="0"/>
      <w:sz w:val="22"/>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2157</Words>
  <Characters>2169</Characters>
  <Lines>5</Lines>
  <Paragraphs>1</Paragraphs>
  <TotalTime>3</TotalTime>
  <ScaleCrop>false</ScaleCrop>
  <LinksUpToDate>false</LinksUpToDate>
  <CharactersWithSpaces>2378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Administrator</cp:lastModifiedBy>
  <cp:lastPrinted>2025-06-03T01:19:00Z</cp:lastPrinted>
  <dcterms:modified xsi:type="dcterms:W3CDTF">2025-06-04T07:04:59Z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7488DFEC4CED446C8B360F87974074DD_13</vt:lpwstr>
  </property>
  <property fmtid="{D5CDD505-2E9C-101B-9397-08002B2CF9AE}" pid="4" name="KSOTemplateDocerSaveRecord">
    <vt:lpwstr>eyJoZGlkIjoiNzA1NWQ1NzNjNjhlZmZmYTRmNDgyMjJkNDRhYjk1M2QiLCJ1c2VySWQiOiIxNTg2MTUyOTM4In0=</vt:lpwstr>
  </property>
</Properties>
</file>