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bookmarkStart w:id="9" w:name="_GoBack"/>
      <w:bookmarkEnd w:id="9"/>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r>
              <w:rPr>
                <w:rFonts w:hint="eastAsia" w:hAnsi="宋体"/>
                <w:b/>
                <w:bCs/>
                <w:szCs w:val="27"/>
                <w:lang w:val="en-US" w:eastAsia="zh-CN"/>
              </w:rPr>
              <w:t>按费率进行报价，控制费率70%，工程预算30万元。</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45" w:type="dxa"/>
            <w:gridSpan w:val="3"/>
            <w:vAlign w:val="center"/>
          </w:tcPr>
          <w:p>
            <w:pPr>
              <w:pStyle w:val="38"/>
              <w:widowControl w:val="0"/>
              <w:spacing w:before="0" w:beforeAutospacing="0" w:after="0" w:afterAutospacing="0"/>
              <w:rPr>
                <w:rFonts w:hint="eastAsia" w:eastAsia="宋体"/>
                <w:bCs w:val="0"/>
                <w:color w:val="000000"/>
                <w:kern w:val="2"/>
                <w:sz w:val="24"/>
                <w:szCs w:val="24"/>
                <w:lang w:eastAsia="zh-CN"/>
              </w:rPr>
            </w:pPr>
            <w:r>
              <w:rPr>
                <w:rFonts w:hint="eastAsia"/>
                <w:bCs w:val="0"/>
                <w:color w:val="000000"/>
                <w:kern w:val="2"/>
                <w:sz w:val="24"/>
                <w:szCs w:val="24"/>
                <w:lang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b/>
                <w:color w:val="000000"/>
                <w:sz w:val="24"/>
                <w:szCs w:val="24"/>
              </w:rPr>
            </w:pPr>
            <w:r>
              <w:rPr>
                <w:rFonts w:hint="eastAsia" w:hAnsi="宋体"/>
                <w:b/>
                <w:color w:val="000000"/>
                <w:sz w:val="24"/>
                <w:szCs w:val="24"/>
              </w:rPr>
              <w:t>序号</w:t>
            </w:r>
          </w:p>
        </w:tc>
        <w:tc>
          <w:tcPr>
            <w:tcW w:w="1447" w:type="dxa"/>
            <w:vAlign w:val="center"/>
          </w:tcPr>
          <w:p>
            <w:pPr>
              <w:jc w:val="center"/>
              <w:rPr>
                <w:rFonts w:hint="eastAsia" w:hAnsi="宋体"/>
                <w:b/>
                <w:color w:val="000000"/>
                <w:sz w:val="24"/>
                <w:szCs w:val="24"/>
              </w:rPr>
            </w:pPr>
            <w:r>
              <w:rPr>
                <w:rFonts w:hint="eastAsia" w:hAnsi="宋体"/>
                <w:b/>
                <w:color w:val="000000"/>
                <w:sz w:val="24"/>
                <w:szCs w:val="24"/>
              </w:rPr>
              <w:t>内容</w:t>
            </w:r>
          </w:p>
        </w:tc>
        <w:tc>
          <w:tcPr>
            <w:tcW w:w="7223" w:type="dxa"/>
            <w:vAlign w:val="center"/>
          </w:tcPr>
          <w:p>
            <w:pPr>
              <w:pStyle w:val="38"/>
              <w:widowControl w:val="0"/>
              <w:spacing w:before="0" w:beforeAutospacing="0" w:after="0" w:afterAutospacing="0"/>
              <w:rPr>
                <w:rFonts w:hint="eastAsia"/>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1</w:t>
            </w:r>
          </w:p>
        </w:tc>
        <w:tc>
          <w:tcPr>
            <w:tcW w:w="1447" w:type="dxa"/>
            <w:vAlign w:val="center"/>
          </w:tcPr>
          <w:p>
            <w:pPr>
              <w:jc w:val="center"/>
              <w:rPr>
                <w:rFonts w:hAnsi="宋体"/>
                <w:bCs/>
                <w:color w:val="000000"/>
                <w:sz w:val="24"/>
                <w:szCs w:val="24"/>
              </w:rPr>
            </w:pPr>
            <w:r>
              <w:rPr>
                <w:rFonts w:hint="eastAsia" w:hAnsi="宋体"/>
                <w:bCs/>
                <w:color w:val="000000"/>
                <w:sz w:val="24"/>
                <w:szCs w:val="24"/>
              </w:rPr>
              <w:t>项目名称</w:t>
            </w:r>
          </w:p>
        </w:tc>
        <w:tc>
          <w:tcPr>
            <w:tcW w:w="7223" w:type="dxa"/>
            <w:vAlign w:val="center"/>
          </w:tcPr>
          <w:p>
            <w:pPr>
              <w:pStyle w:val="13"/>
              <w:keepNext w:val="0"/>
              <w:keepLines w:val="0"/>
              <w:widowControl/>
              <w:suppressLineNumbers w:val="0"/>
              <w:wordWrap/>
              <w:spacing w:line="23" w:lineRule="atLeast"/>
              <w:ind w:left="0"/>
              <w:jc w:val="left"/>
              <w:rPr>
                <w:rFonts w:hint="eastAsia" w:hAnsi="宋体" w:eastAsia="宋体"/>
                <w:bCs/>
                <w:color w:val="000000"/>
                <w:sz w:val="24"/>
                <w:szCs w:val="24"/>
                <w:lang w:val="en-US" w:eastAsia="zh-CN"/>
              </w:rPr>
            </w:pPr>
            <w:r>
              <w:rPr>
                <w:rFonts w:hint="eastAsia" w:hAnsi="宋体" w:eastAsia="宋体"/>
                <w:bCs/>
                <w:color w:val="000000"/>
                <w:sz w:val="24"/>
                <w:szCs w:val="24"/>
                <w:lang w:val="en-US" w:eastAsia="zh-CN"/>
              </w:rPr>
              <w:t>翡翠路绿化修复优化项目（芙蓉路局部硬化）市政工程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2</w:t>
            </w:r>
          </w:p>
        </w:tc>
        <w:tc>
          <w:tcPr>
            <w:tcW w:w="1447" w:type="dxa"/>
            <w:vAlign w:val="center"/>
          </w:tcPr>
          <w:p>
            <w:pPr>
              <w:jc w:val="center"/>
              <w:rPr>
                <w:rFonts w:hAnsi="宋体"/>
                <w:color w:val="000000"/>
                <w:sz w:val="24"/>
                <w:szCs w:val="24"/>
              </w:rPr>
            </w:pPr>
            <w:r>
              <w:rPr>
                <w:rFonts w:hint="eastAsia" w:hAnsi="宋体"/>
                <w:color w:val="000000"/>
                <w:sz w:val="24"/>
                <w:szCs w:val="24"/>
              </w:rPr>
              <w:t>项目概况</w:t>
            </w:r>
          </w:p>
        </w:tc>
        <w:tc>
          <w:tcPr>
            <w:tcW w:w="7223" w:type="dxa"/>
            <w:vAlign w:val="center"/>
          </w:tcPr>
          <w:p>
            <w:pPr>
              <w:pStyle w:val="13"/>
              <w:keepNext w:val="0"/>
              <w:keepLines w:val="0"/>
              <w:widowControl/>
              <w:suppressLineNumbers w:val="0"/>
              <w:wordWrap/>
              <w:spacing w:line="23" w:lineRule="atLeast"/>
              <w:rPr>
                <w:rFonts w:hint="default"/>
                <w:b w:val="0"/>
                <w:bCs w:val="0"/>
                <w:color w:val="000000"/>
                <w:sz w:val="24"/>
                <w:szCs w:val="24"/>
                <w:lang w:val="en-US"/>
              </w:rPr>
            </w:pPr>
            <w:r>
              <w:rPr>
                <w:rFonts w:hint="eastAsia"/>
                <w:b w:val="0"/>
                <w:bCs w:val="0"/>
                <w:i w:val="0"/>
                <w:iCs w:val="0"/>
                <w:color w:val="333333"/>
                <w:sz w:val="24"/>
                <w:szCs w:val="24"/>
                <w:u w:val="none"/>
                <w:lang w:val="en-US" w:eastAsia="zh-CN"/>
              </w:rPr>
              <w:t>翡翠路绿化修复优化项目：因区应急城管局要求，现增加芙蓉路（安医二附院南大门-翡翠路）北侧、芙蓉路（翡翠路向西约80米）北侧及岛头硬化等，采购拟招一家符合要求的供应商，图纸和工程量清单仅供参考，图纸和工程量清单根据现场实际情况再进一步细化，最终以现场实际要求的为准进行施工。预算价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3</w:t>
            </w:r>
          </w:p>
        </w:tc>
        <w:tc>
          <w:tcPr>
            <w:tcW w:w="1447" w:type="dxa"/>
            <w:vAlign w:val="center"/>
          </w:tcPr>
          <w:p>
            <w:pPr>
              <w:jc w:val="center"/>
              <w:rPr>
                <w:rFonts w:hAnsi="宋体"/>
                <w:color w:val="000000"/>
                <w:sz w:val="24"/>
                <w:szCs w:val="24"/>
              </w:rPr>
            </w:pPr>
            <w:r>
              <w:rPr>
                <w:rFonts w:hint="eastAsia" w:hAnsi="宋体"/>
                <w:color w:val="000000"/>
                <w:sz w:val="24"/>
                <w:szCs w:val="24"/>
              </w:rPr>
              <w:t>供应商资格</w:t>
            </w:r>
          </w:p>
        </w:tc>
        <w:tc>
          <w:tcPr>
            <w:tcW w:w="7223" w:type="dxa"/>
            <w:vAlign w:val="center"/>
          </w:tcPr>
          <w:p>
            <w:pPr>
              <w:widowControl/>
              <w:spacing w:line="360" w:lineRule="auto"/>
              <w:rPr>
                <w:rFonts w:hint="eastAsia" w:ascii="宋体" w:hAnsi="宋体" w:eastAsia="宋体" w:cs="宋体"/>
                <w:sz w:val="24"/>
                <w:szCs w:val="24"/>
                <w:highlight w:val="none"/>
                <w:lang w:val="en-US" w:eastAsia="zh-CN"/>
              </w:rPr>
            </w:pPr>
            <w:r>
              <w:rPr>
                <w:rFonts w:hint="eastAsia" w:hAnsi="宋体" w:cs="宋体"/>
                <w:sz w:val="24"/>
                <w:szCs w:val="24"/>
                <w:highlight w:val="none"/>
                <w:lang w:eastAsia="zh-CN"/>
              </w:rPr>
              <w:t>资质要求：市政公用工程施工总承包贰级及以上资质，具有有效的安全生产许可证。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4</w:t>
            </w:r>
          </w:p>
        </w:tc>
        <w:tc>
          <w:tcPr>
            <w:tcW w:w="1447" w:type="dxa"/>
            <w:vAlign w:val="center"/>
          </w:tcPr>
          <w:p>
            <w:pPr>
              <w:jc w:val="center"/>
              <w:rPr>
                <w:rFonts w:hAnsi="宋体"/>
                <w:color w:val="000000"/>
                <w:sz w:val="24"/>
                <w:szCs w:val="24"/>
              </w:rPr>
            </w:pPr>
            <w:r>
              <w:rPr>
                <w:rFonts w:hint="eastAsia" w:hAnsi="宋体"/>
                <w:color w:val="000000"/>
                <w:sz w:val="24"/>
                <w:szCs w:val="24"/>
              </w:rPr>
              <w:t>项目性质</w:t>
            </w:r>
          </w:p>
        </w:tc>
        <w:tc>
          <w:tcPr>
            <w:tcW w:w="7223" w:type="dxa"/>
            <w:vAlign w:val="center"/>
          </w:tcPr>
          <w:p>
            <w:pPr>
              <w:pStyle w:val="38"/>
              <w:widowControl w:val="0"/>
              <w:spacing w:before="0" w:beforeAutospacing="0" w:after="0" w:afterAutospacing="0"/>
              <w:jc w:val="both"/>
              <w:rPr>
                <w:rFonts w:hint="eastAsia" w:eastAsia="宋体"/>
                <w:b w:val="0"/>
                <w:bCs w:val="0"/>
                <w:color w:val="000000"/>
                <w:sz w:val="24"/>
                <w:szCs w:val="24"/>
                <w:lang w:eastAsia="zh-CN"/>
              </w:rPr>
            </w:pPr>
            <w:r>
              <w:rPr>
                <w:rFonts w:hint="eastAsia"/>
                <w:b w:val="0"/>
                <w:bCs w:val="0"/>
                <w:color w:val="000000"/>
                <w:sz w:val="24"/>
                <w:szCs w:val="24"/>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5</w:t>
            </w:r>
          </w:p>
        </w:tc>
        <w:tc>
          <w:tcPr>
            <w:tcW w:w="1447" w:type="dxa"/>
            <w:vAlign w:val="center"/>
          </w:tcPr>
          <w:p>
            <w:pPr>
              <w:pStyle w:val="38"/>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pPr>
              <w:pStyle w:val="38"/>
              <w:widowControl w:val="0"/>
              <w:spacing w:before="0" w:beforeAutospacing="0" w:after="0" w:afterAutospacing="0"/>
              <w:jc w:val="both"/>
              <w:rPr>
                <w:b w:val="0"/>
                <w:bCs w:val="0"/>
                <w:color w:val="000000"/>
                <w:sz w:val="24"/>
                <w:szCs w:val="24"/>
              </w:rPr>
            </w:pPr>
            <w:r>
              <w:rPr>
                <w:color w:val="000000"/>
                <w:sz w:val="24"/>
                <w:szCs w:val="24"/>
              </w:rPr>
              <w:sym w:font="Wingdings 2" w:char="F052"/>
            </w:r>
            <w:r>
              <w:rPr>
                <w:rFonts w:hint="eastAsia"/>
                <w:b w:val="0"/>
                <w:bCs w:val="0"/>
                <w:color w:val="000000"/>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447" w:type="dxa"/>
          </w:tcPr>
          <w:p>
            <w:pPr>
              <w:spacing w:line="500" w:lineRule="exact"/>
              <w:jc w:val="center"/>
              <w:rPr>
                <w:rFonts w:hAnsi="宋体"/>
                <w:color w:val="000000"/>
                <w:sz w:val="24"/>
                <w:szCs w:val="24"/>
                <w:lang w:val="zh-CN"/>
              </w:rPr>
            </w:pPr>
            <w:r>
              <w:rPr>
                <w:rFonts w:hint="eastAsia" w:hAnsi="宋体"/>
                <w:color w:val="000000"/>
                <w:sz w:val="24"/>
                <w:szCs w:val="24"/>
              </w:rPr>
              <w:t>标段划分</w:t>
            </w:r>
          </w:p>
        </w:tc>
        <w:tc>
          <w:tcPr>
            <w:tcW w:w="7223" w:type="dxa"/>
            <w:vAlign w:val="center"/>
          </w:tcPr>
          <w:p>
            <w:pPr>
              <w:spacing w:line="500" w:lineRule="exact"/>
              <w:rPr>
                <w:rFonts w:hAnsi="宋体"/>
                <w:bCs/>
                <w:color w:val="000000"/>
                <w:sz w:val="24"/>
                <w:szCs w:val="24"/>
              </w:rPr>
            </w:pPr>
            <w:r>
              <w:rPr>
                <w:color w:val="000000"/>
                <w:sz w:val="24"/>
                <w:szCs w:val="24"/>
              </w:rPr>
              <w:sym w:font="Wingdings 2" w:char="F052"/>
            </w:r>
            <w:r>
              <w:rPr>
                <w:rFonts w:hint="eastAsia" w:hAnsi="宋体"/>
                <w:color w:val="000000"/>
                <w:sz w:val="24"/>
                <w:szCs w:val="24"/>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447" w:type="dxa"/>
            <w:vAlign w:val="center"/>
          </w:tcPr>
          <w:p>
            <w:pPr>
              <w:spacing w:line="500" w:lineRule="exact"/>
              <w:jc w:val="center"/>
              <w:rPr>
                <w:rFonts w:hint="default" w:hAnsi="宋体" w:eastAsia="宋体"/>
                <w:color w:val="000000"/>
                <w:sz w:val="24"/>
                <w:szCs w:val="24"/>
                <w:lang w:val="en-US" w:eastAsia="zh-CN"/>
              </w:rPr>
            </w:pPr>
            <w:r>
              <w:rPr>
                <w:rFonts w:hint="eastAsia" w:hAnsi="宋体"/>
                <w:color w:val="000000"/>
                <w:sz w:val="24"/>
                <w:szCs w:val="24"/>
                <w:lang w:val="zh-CN"/>
              </w:rPr>
              <w:t>付款方式</w:t>
            </w:r>
            <w:r>
              <w:rPr>
                <w:rFonts w:hint="eastAsia" w:hAnsi="宋体"/>
                <w:color w:val="000000"/>
                <w:sz w:val="24"/>
                <w:szCs w:val="24"/>
                <w:lang w:val="en-US" w:eastAsia="zh-CN"/>
              </w:rPr>
              <w:t>及计价方式</w:t>
            </w:r>
          </w:p>
        </w:tc>
        <w:tc>
          <w:tcPr>
            <w:tcW w:w="7223" w:type="dxa"/>
            <w:vAlign w:val="center"/>
          </w:tcPr>
          <w:p>
            <w:pPr>
              <w:autoSpaceDE w:val="0"/>
              <w:autoSpaceDN w:val="0"/>
              <w:adjustRightInd w:val="0"/>
              <w:spacing w:line="360" w:lineRule="auto"/>
              <w:jc w:val="left"/>
              <w:rPr>
                <w:rFonts w:hint="default" w:ascii="宋体" w:hAnsi="宋体" w:eastAsia="宋体" w:cs="Times New Roman"/>
                <w:kern w:val="2"/>
                <w:sz w:val="24"/>
                <w:szCs w:val="24"/>
                <w:lang w:val="en-US" w:eastAsia="zh-CN" w:bidi="ar-SA"/>
              </w:rPr>
            </w:pPr>
            <w:r>
              <w:rPr>
                <w:rFonts w:hint="eastAsia" w:asciiTheme="minorEastAsia" w:hAnsiTheme="minorEastAsia" w:eastAsiaTheme="minorEastAsia"/>
                <w:bCs/>
                <w:kern w:val="0"/>
                <w:sz w:val="24"/>
                <w:szCs w:val="24"/>
                <w:lang w:val="en-US" w:eastAsia="zh-CN"/>
              </w:rPr>
              <w:t>根据甲方的上家审计2018清单造价结合中标费率进行据实结算，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2" w:char="F052"/>
            </w:r>
            <w:r>
              <w:rPr>
                <w:rFonts w:hint="eastAsia" w:hAnsi="宋体"/>
                <w:color w:val="000000"/>
                <w:sz w:val="24"/>
                <w:szCs w:val="24"/>
              </w:rPr>
              <w:t>不</w:t>
            </w:r>
            <w:r>
              <w:rPr>
                <w:rFonts w:hint="eastAsia" w:hAnsi="宋体"/>
                <w:color w:val="000000"/>
                <w:sz w:val="24"/>
                <w:szCs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447"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tcPr>
          <w:p>
            <w:pPr>
              <w:spacing w:line="500" w:lineRule="exact"/>
              <w:rPr>
                <w:rFonts w:hint="default" w:hAnsi="宋体" w:eastAsia="宋体"/>
                <w:color w:val="000000"/>
                <w:sz w:val="24"/>
                <w:szCs w:val="24"/>
                <w:lang w:val="en-US" w:eastAsia="zh-CN"/>
              </w:rPr>
            </w:pPr>
            <w:r>
              <w:rPr>
                <w:rFonts w:hint="eastAsia" w:hAnsi="宋体"/>
                <w:color w:val="000000"/>
                <w:sz w:val="24"/>
                <w:szCs w:val="24"/>
              </w:rPr>
              <w:t>合肥经济技术开发区</w:t>
            </w:r>
            <w:r>
              <w:rPr>
                <w:rFonts w:hint="eastAsia" w:hAnsi="宋体"/>
                <w:color w:val="000000"/>
                <w:sz w:val="24"/>
                <w:szCs w:val="24"/>
                <w:lang w:val="en-US"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447" w:type="dxa"/>
            <w:vAlign w:val="center"/>
          </w:tcPr>
          <w:p>
            <w:pPr>
              <w:spacing w:line="500" w:lineRule="exact"/>
              <w:jc w:val="both"/>
              <w:rPr>
                <w:rFonts w:hAnsi="宋体"/>
                <w:color w:val="000000"/>
                <w:sz w:val="24"/>
                <w:szCs w:val="24"/>
              </w:rPr>
            </w:pPr>
            <w:r>
              <w:rPr>
                <w:rFonts w:hint="eastAsia" w:hAnsi="宋体"/>
                <w:color w:val="000000"/>
                <w:sz w:val="24"/>
                <w:szCs w:val="24"/>
              </w:rPr>
              <w:t>服务期限</w:t>
            </w:r>
          </w:p>
        </w:tc>
        <w:tc>
          <w:tcPr>
            <w:tcW w:w="7223" w:type="dxa"/>
            <w:vAlign w:val="center"/>
          </w:tcPr>
          <w:p>
            <w:pPr>
              <w:spacing w:line="500" w:lineRule="exact"/>
              <w:rPr>
                <w:rFonts w:hAnsi="宋体"/>
                <w:color w:val="FF0000"/>
                <w:sz w:val="24"/>
                <w:szCs w:val="24"/>
              </w:rPr>
            </w:pPr>
            <w:r>
              <w:rPr>
                <w:rFonts w:hint="eastAsia" w:asciiTheme="minorEastAsia" w:hAnsiTheme="minorEastAsia" w:eastAsiaTheme="minorEastAsia"/>
                <w:bCs/>
                <w:kern w:val="0"/>
                <w:sz w:val="24"/>
                <w:szCs w:val="24"/>
              </w:rPr>
              <w:t>成交供应商在接到采购人通知后，</w:t>
            </w:r>
            <w:r>
              <w:rPr>
                <w:rFonts w:hint="eastAsia" w:asciiTheme="minorEastAsia" w:hAnsiTheme="minorEastAsia" w:eastAsiaTheme="minorEastAsia"/>
                <w:bCs/>
                <w:kern w:val="0"/>
                <w:sz w:val="24"/>
                <w:szCs w:val="24"/>
                <w:lang w:val="en-US" w:eastAsia="zh-CN"/>
              </w:rPr>
              <w:t>根据甲方要求及时施工</w:t>
            </w:r>
            <w:r>
              <w:rPr>
                <w:rFonts w:hint="eastAsia" w:asciiTheme="minorEastAsia" w:hAnsiTheme="minorEastAsia" w:eastAsiaTheme="minorEastAsia"/>
                <w:bCs/>
                <w:kern w:val="0"/>
                <w:sz w:val="24"/>
                <w:szCs w:val="24"/>
              </w:rPr>
              <w:t>。</w:t>
            </w:r>
          </w:p>
        </w:tc>
      </w:tr>
    </w:tbl>
    <w:p/>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sz w:val="30"/>
          <w:szCs w:val="30"/>
        </w:rPr>
      </w:pPr>
      <w:r>
        <w:rPr>
          <w:rFonts w:hint="eastAsia"/>
          <w:sz w:val="30"/>
          <w:szCs w:val="30"/>
          <w:lang w:val="en-US" w:eastAsia="zh-CN"/>
        </w:rPr>
        <w:t>工程量清单</w:t>
      </w:r>
    </w:p>
    <w:tbl>
      <w:tblPr>
        <w:tblStyle w:val="17"/>
        <w:tblpPr w:leftFromText="180" w:rightFromText="180" w:vertAnchor="text" w:horzAnchor="page" w:tblpX="1390" w:tblpY="273"/>
        <w:tblOverlap w:val="never"/>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945"/>
        <w:gridCol w:w="5700"/>
        <w:gridCol w:w="7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序号</w:t>
            </w:r>
          </w:p>
        </w:tc>
        <w:tc>
          <w:tcPr>
            <w:tcW w:w="94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名称</w:t>
            </w:r>
          </w:p>
        </w:tc>
        <w:tc>
          <w:tcPr>
            <w:tcW w:w="57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hAnsi="宋体" w:cs="宋体"/>
                <w:b/>
                <w:bCs/>
                <w:i w:val="0"/>
                <w:iCs w:val="0"/>
                <w:color w:val="000000"/>
                <w:sz w:val="24"/>
                <w:szCs w:val="24"/>
                <w:u w:val="none"/>
                <w:lang w:val="en-US" w:eastAsia="zh-CN"/>
              </w:rPr>
              <w:t>内容</w:t>
            </w:r>
          </w:p>
        </w:tc>
        <w:tc>
          <w:tcPr>
            <w:tcW w:w="7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单位</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hAnsi="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4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PC砖铺装</w:t>
            </w:r>
          </w:p>
        </w:tc>
        <w:tc>
          <w:tcPr>
            <w:tcW w:w="57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铺设600</w:t>
            </w:r>
            <w:bookmarkStart w:id="8" w:name="OLE_LINK1"/>
            <w:r>
              <w:rPr>
                <w:rStyle w:val="41"/>
                <w:rFonts w:hint="eastAsia"/>
                <w:sz w:val="24"/>
                <w:szCs w:val="24"/>
                <w:lang w:val="en-US" w:eastAsia="zh-CN" w:bidi="ar"/>
              </w:rPr>
              <w:t>*300*25mm</w:t>
            </w:r>
            <w:bookmarkEnd w:id="8"/>
            <w:r>
              <w:rPr>
                <w:rStyle w:val="41"/>
                <w:rFonts w:hint="eastAsia"/>
                <w:sz w:val="24"/>
                <w:szCs w:val="24"/>
                <w:lang w:val="en-US" w:eastAsia="zh-CN" w:bidi="ar"/>
              </w:rPr>
              <w:t xml:space="preserve"> 900*300*25mm等尺寸PC砖,面层材质和周边铺装一致，包含拆除侧石，场地整理，挖掘基坑、地基、基层、面层、路平石等附属工程的安装与制作。详情见图纸</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m2</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树池制作</w:t>
            </w:r>
          </w:p>
        </w:tc>
        <w:tc>
          <w:tcPr>
            <w:tcW w:w="570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待现场确认</w:t>
            </w:r>
          </w:p>
        </w:tc>
        <w:tc>
          <w:tcPr>
            <w:tcW w:w="75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sz w:val="24"/>
                <w:szCs w:val="24"/>
                <w:lang w:val="en-US" w:eastAsia="zh-CN" w:bidi="ar"/>
              </w:rPr>
              <w:t>个</w:t>
            </w:r>
          </w:p>
        </w:tc>
        <w:tc>
          <w:tcPr>
            <w:tcW w:w="1080" w:type="dxa"/>
            <w:tcBorders>
              <w:top w:val="nil"/>
              <w:left w:val="nil"/>
              <w:bottom w:val="single" w:color="auto" w:sz="4"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栏杆</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制作与安装，详情见图纸</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人行道修复</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岛头卵石硬化</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标线施划</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hAnsi="宋体" w:cs="宋体"/>
                <w:i w:val="0"/>
                <w:iCs w:val="0"/>
                <w:color w:val="000000"/>
                <w:sz w:val="24"/>
                <w:szCs w:val="24"/>
                <w:u w:val="none"/>
                <w:lang w:val="en-US" w:eastAsia="zh-CN"/>
              </w:rPr>
            </w:pPr>
            <w:r>
              <w:rPr>
                <w:rFonts w:hint="eastAsia" w:hAnsi="宋体" w:cs="宋体"/>
                <w:b/>
                <w:bCs/>
                <w:i w:val="0"/>
                <w:iCs w:val="0"/>
                <w:color w:val="000000"/>
                <w:sz w:val="24"/>
                <w:szCs w:val="24"/>
                <w:highlight w:val="yellow"/>
                <w:u w:val="none"/>
                <w:lang w:val="en-US" w:eastAsia="zh-CN"/>
              </w:rPr>
              <w:t>备注：图纸方案和工程量清单仅供参考，图纸和工程量清单根据现场实际情况再进一步细化，最终以现场实际发生为准。最终结算金额不超过30万元。</w:t>
            </w:r>
          </w:p>
        </w:tc>
      </w:tr>
    </w:tbl>
    <w:p>
      <w:pPr>
        <w:keepNext/>
        <w:keepLines/>
        <w:spacing w:before="260" w:after="260" w:line="416" w:lineRule="auto"/>
        <w:jc w:val="left"/>
        <w:outlineLvl w:val="2"/>
        <w:rPr>
          <w:rFonts w:ascii="Times New Roman"/>
          <w:b/>
          <w:sz w:val="32"/>
          <w:szCs w:val="32"/>
        </w:rPr>
      </w:pPr>
      <w:r>
        <w:rPr>
          <w:rFonts w:hint="eastAsia" w:hAnsi="宋体" w:cs="宋体"/>
          <w:szCs w:val="24"/>
          <w:lang w:bidi="ar"/>
        </w:rPr>
        <w:t xml:space="preserve">（一） </w:t>
      </w:r>
      <w:r>
        <w:rPr>
          <w:rFonts w:hint="eastAsia" w:ascii="Times New Roman"/>
          <w:b/>
          <w:sz w:val="28"/>
          <w:szCs w:val="28"/>
          <w:lang w:val="en-US" w:eastAsia="zh-CN"/>
        </w:rPr>
        <w:t>工程质量</w:t>
      </w:r>
      <w:r>
        <w:rPr>
          <w:rFonts w:hint="eastAsia" w:ascii="Times New Roman"/>
          <w:b/>
          <w:sz w:val="28"/>
          <w:szCs w:val="28"/>
        </w:rPr>
        <w:t>需求</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rPr>
        <w:t>1、</w:t>
      </w:r>
      <w:r>
        <w:rPr>
          <w:rFonts w:hint="eastAsia" w:hAnsi="宋体"/>
          <w:b w:val="0"/>
          <w:bCs w:val="0"/>
          <w:sz w:val="24"/>
          <w:szCs w:val="24"/>
          <w:lang w:val="en-US" w:eastAsia="zh-CN"/>
        </w:rPr>
        <w:t>制作安装材料规格符合图中要求，按图中要求施工。</w:t>
      </w:r>
    </w:p>
    <w:p>
      <w:pPr>
        <w:spacing w:before="156" w:beforeLines="50" w:after="93" w:afterLines="30" w:line="400" w:lineRule="exact"/>
        <w:rPr>
          <w:rFonts w:hint="default" w:hAnsi="宋体"/>
          <w:b w:val="0"/>
          <w:bCs w:val="0"/>
          <w:sz w:val="24"/>
          <w:szCs w:val="24"/>
          <w:lang w:val="en-US" w:eastAsia="zh-CN"/>
        </w:rPr>
      </w:pPr>
      <w:r>
        <w:rPr>
          <w:rFonts w:hint="eastAsia" w:hAnsi="宋体"/>
          <w:b w:val="0"/>
          <w:bCs w:val="0"/>
          <w:sz w:val="24"/>
          <w:szCs w:val="24"/>
          <w:lang w:val="en-US" w:eastAsia="zh-CN"/>
        </w:rPr>
        <w:t>2、所有提供的材料符合国家关于此用途的行业要求标准，且符合环保各项强制性要求。</w:t>
      </w:r>
    </w:p>
    <w:p>
      <w:pPr>
        <w:spacing w:before="156" w:beforeLines="50" w:after="93" w:afterLines="30" w:line="400" w:lineRule="exact"/>
        <w:rPr>
          <w:rFonts w:hAnsi="宋体"/>
          <w:b w:val="0"/>
          <w:bCs w:val="0"/>
          <w:sz w:val="24"/>
          <w:szCs w:val="24"/>
        </w:rPr>
      </w:pPr>
      <w:r>
        <w:rPr>
          <w:rFonts w:hint="eastAsia" w:hAnsi="宋体"/>
          <w:b w:val="0"/>
          <w:bCs w:val="0"/>
          <w:sz w:val="24"/>
          <w:szCs w:val="24"/>
          <w:lang w:val="en-US" w:eastAsia="zh-CN"/>
        </w:rPr>
        <w:t>3</w:t>
      </w:r>
      <w:r>
        <w:rPr>
          <w:rFonts w:hint="eastAsia" w:hAnsi="宋体"/>
          <w:b w:val="0"/>
          <w:bCs w:val="0"/>
          <w:sz w:val="24"/>
          <w:szCs w:val="24"/>
        </w:rPr>
        <w:t>、</w:t>
      </w:r>
      <w:r>
        <w:rPr>
          <w:rFonts w:hint="eastAsia" w:hAnsi="宋体"/>
          <w:b w:val="0"/>
          <w:bCs w:val="0"/>
          <w:sz w:val="24"/>
          <w:szCs w:val="24"/>
          <w:lang w:val="en-US" w:eastAsia="zh-CN"/>
        </w:rPr>
        <w:t>乙方负责材料的采购安装及隐蔽性工程接受监理、审计和甲方的现场验收</w:t>
      </w:r>
      <w:r>
        <w:rPr>
          <w:rFonts w:hint="eastAsia" w:hAnsi="宋体"/>
          <w:b w:val="0"/>
          <w:bCs w:val="0"/>
          <w:sz w:val="24"/>
          <w:szCs w:val="24"/>
        </w:rPr>
        <w:t>。</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lang w:val="en-US" w:eastAsia="zh-CN"/>
        </w:rPr>
        <w:t>4</w:t>
      </w:r>
      <w:r>
        <w:rPr>
          <w:rFonts w:hint="eastAsia" w:hAnsi="宋体"/>
          <w:b w:val="0"/>
          <w:bCs w:val="0"/>
          <w:sz w:val="24"/>
          <w:szCs w:val="24"/>
        </w:rPr>
        <w:t>、</w:t>
      </w:r>
      <w:r>
        <w:rPr>
          <w:rFonts w:hint="eastAsia" w:hAnsi="宋体"/>
          <w:b w:val="0"/>
          <w:bCs w:val="0"/>
          <w:sz w:val="24"/>
          <w:szCs w:val="24"/>
          <w:lang w:val="en-US" w:eastAsia="zh-CN"/>
        </w:rPr>
        <w:t>投标人需制作详细报价清单包含材料费用和制作工艺。</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6、</w:t>
      </w:r>
      <w:r>
        <w:rPr>
          <w:rFonts w:hint="eastAsia" w:ascii="宋体" w:hAnsi="宋体"/>
          <w:b w:val="0"/>
          <w:bCs w:val="0"/>
          <w:snapToGrid w:val="0"/>
          <w:kern w:val="0"/>
          <w:sz w:val="24"/>
          <w:szCs w:val="24"/>
        </w:rPr>
        <w:t>中标人在施工过程中严格执行国家、行业、地方及承包方在建设工程中相关的法律、法规、验收标准及规范。</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7、</w:t>
      </w:r>
      <w:r>
        <w:rPr>
          <w:rFonts w:hint="eastAsia" w:ascii="宋体" w:hAnsi="宋体"/>
          <w:b w:val="0"/>
          <w:bCs w:val="0"/>
          <w:snapToGrid w:val="0"/>
          <w:kern w:val="0"/>
          <w:sz w:val="24"/>
          <w:szCs w:val="24"/>
        </w:rPr>
        <w:t>杜绝发生任何质量事故。</w:t>
      </w:r>
      <w:r>
        <w:rPr>
          <w:rFonts w:hint="eastAsia" w:hAnsi="宋体"/>
          <w:b w:val="0"/>
          <w:bCs w:val="0"/>
          <w:snapToGrid w:val="0"/>
          <w:kern w:val="0"/>
          <w:sz w:val="24"/>
          <w:szCs w:val="24"/>
        </w:rPr>
        <w:t>如发生质量事故或由质量事故引起的安全事故</w:t>
      </w:r>
      <w:r>
        <w:rPr>
          <w:rFonts w:hAnsi="宋体"/>
          <w:b w:val="0"/>
          <w:bCs w:val="0"/>
          <w:snapToGrid w:val="0"/>
          <w:kern w:val="0"/>
          <w:sz w:val="24"/>
          <w:szCs w:val="24"/>
        </w:rPr>
        <w:t>，</w:t>
      </w:r>
      <w:r>
        <w:rPr>
          <w:rFonts w:hint="eastAsia" w:ascii="宋体" w:hAnsi="宋体"/>
          <w:b w:val="0"/>
          <w:bCs w:val="0"/>
          <w:snapToGrid w:val="0"/>
          <w:kern w:val="0"/>
          <w:sz w:val="24"/>
          <w:szCs w:val="24"/>
        </w:rPr>
        <w:t>按国家、行业、地方相关的制度按责任处理，费用自理，并承担由此给竞价人带来的影响与损失。</w:t>
      </w:r>
    </w:p>
    <w:p>
      <w:pPr>
        <w:spacing w:line="440" w:lineRule="exact"/>
        <w:rPr>
          <w:rFonts w:hint="eastAsia" w:hAnsi="宋体"/>
          <w:b w:val="0"/>
          <w:bCs w:val="0"/>
          <w:snapToGrid w:val="0"/>
          <w:kern w:val="0"/>
          <w:sz w:val="24"/>
          <w:szCs w:val="24"/>
          <w:lang w:eastAsia="zh-CN"/>
        </w:rPr>
      </w:pPr>
      <w:r>
        <w:rPr>
          <w:rFonts w:hint="eastAsia" w:hAnsi="宋体"/>
          <w:b w:val="0"/>
          <w:bCs w:val="0"/>
          <w:snapToGrid w:val="0"/>
          <w:kern w:val="0"/>
          <w:sz w:val="24"/>
          <w:szCs w:val="24"/>
          <w:lang w:val="en-US" w:eastAsia="zh-CN"/>
        </w:rPr>
        <w:t>8、</w:t>
      </w:r>
      <w:r>
        <w:rPr>
          <w:rFonts w:hint="eastAsia" w:ascii="宋体" w:hAnsi="宋体"/>
          <w:b w:val="0"/>
          <w:bCs w:val="0"/>
          <w:snapToGrid w:val="0"/>
          <w:kern w:val="0"/>
          <w:sz w:val="24"/>
          <w:szCs w:val="24"/>
        </w:rPr>
        <w:t>工程完工后，由</w:t>
      </w:r>
      <w:r>
        <w:rPr>
          <w:rFonts w:hint="eastAsia" w:hAnsi="宋体"/>
          <w:b w:val="0"/>
          <w:bCs w:val="0"/>
          <w:snapToGrid w:val="0"/>
          <w:kern w:val="0"/>
          <w:sz w:val="24"/>
          <w:szCs w:val="24"/>
          <w:lang w:val="en-US" w:eastAsia="zh-CN"/>
        </w:rPr>
        <w:t>甲方</w:t>
      </w:r>
      <w:r>
        <w:rPr>
          <w:rFonts w:hint="eastAsia" w:ascii="宋体" w:hAnsi="宋体"/>
          <w:b w:val="0"/>
          <w:bCs w:val="0"/>
          <w:snapToGrid w:val="0"/>
          <w:kern w:val="0"/>
          <w:sz w:val="24"/>
          <w:szCs w:val="24"/>
        </w:rPr>
        <w:t>组织人员，对中标人施工的工程进行验收</w:t>
      </w:r>
      <w:r>
        <w:rPr>
          <w:rFonts w:hint="eastAsia" w:hAnsi="宋体"/>
          <w:b w:val="0"/>
          <w:bCs w:val="0"/>
          <w:snapToGrid w:val="0"/>
          <w:kern w:val="0"/>
          <w:sz w:val="24"/>
          <w:szCs w:val="24"/>
          <w:lang w:eastAsia="zh-CN"/>
        </w:rPr>
        <w:t>。</w:t>
      </w:r>
    </w:p>
    <w:p>
      <w:pPr>
        <w:spacing w:line="440" w:lineRule="exact"/>
        <w:rPr>
          <w:rFonts w:hint="eastAsia"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9、施工过程中乙方单位做好安全文明施工，施工过程中做好安全围挡和标识等相关安全文明施工措施。</w:t>
      </w:r>
    </w:p>
    <w:p>
      <w:pPr>
        <w:spacing w:line="440" w:lineRule="exact"/>
        <w:rPr>
          <w:rFonts w:hint="default"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10、中标人禁止将工程进行分包转包。</w:t>
      </w:r>
    </w:p>
    <w:p>
      <w:pPr>
        <w:keepNext/>
        <w:keepLines/>
        <w:spacing w:before="260" w:after="260" w:line="416" w:lineRule="auto"/>
        <w:jc w:val="left"/>
        <w:outlineLvl w:val="2"/>
        <w:rPr>
          <w:rFonts w:hint="eastAsia" w:ascii="Times New Roman"/>
          <w:b/>
          <w:sz w:val="24"/>
          <w:szCs w:val="24"/>
        </w:rPr>
      </w:pPr>
      <w:r>
        <w:rPr>
          <w:rFonts w:hint="eastAsia" w:hAnsi="宋体" w:cs="宋体"/>
          <w:sz w:val="24"/>
          <w:szCs w:val="24"/>
          <w:lang w:bidi="ar"/>
        </w:rPr>
        <w:t>（</w:t>
      </w:r>
      <w:r>
        <w:rPr>
          <w:rFonts w:hint="eastAsia" w:hAnsi="宋体" w:cs="宋体"/>
          <w:sz w:val="24"/>
          <w:szCs w:val="24"/>
          <w:lang w:val="en-US" w:eastAsia="zh-CN" w:bidi="ar"/>
        </w:rPr>
        <w:t>二</w:t>
      </w:r>
      <w:r>
        <w:rPr>
          <w:rFonts w:hint="eastAsia" w:hAnsi="宋体" w:cs="宋体"/>
          <w:sz w:val="24"/>
          <w:szCs w:val="24"/>
          <w:lang w:bidi="ar"/>
        </w:rPr>
        <w:t xml:space="preserve">） </w:t>
      </w:r>
      <w:r>
        <w:rPr>
          <w:rFonts w:hint="eastAsia" w:ascii="Times New Roman"/>
          <w:b/>
          <w:sz w:val="24"/>
          <w:szCs w:val="24"/>
          <w:lang w:val="en-US" w:eastAsia="zh-CN"/>
        </w:rPr>
        <w:t>报价要</w:t>
      </w:r>
      <w:r>
        <w:rPr>
          <w:rFonts w:hint="eastAsia" w:ascii="Times New Roman"/>
          <w:b/>
          <w:sz w:val="24"/>
          <w:szCs w:val="24"/>
        </w:rPr>
        <w:t>求</w:t>
      </w:r>
    </w:p>
    <w:p>
      <w:pPr>
        <w:spacing w:before="156" w:beforeLines="50" w:after="93" w:afterLines="30" w:line="400" w:lineRule="exact"/>
        <w:rPr>
          <w:rFonts w:hint="eastAsia" w:hAnsi="宋体"/>
          <w:sz w:val="24"/>
          <w:szCs w:val="24"/>
          <w:lang w:val="en-US" w:eastAsia="zh-CN"/>
        </w:rPr>
      </w:pPr>
      <w:r>
        <w:rPr>
          <w:rFonts w:hint="eastAsia" w:hAnsi="宋体"/>
          <w:b/>
          <w:bCs/>
          <w:sz w:val="24"/>
          <w:szCs w:val="24"/>
          <w:lang w:val="en-US" w:eastAsia="zh-CN"/>
        </w:rPr>
        <w:t>1、按费率进行报价，控制费率70%，工程预算30万元，</w:t>
      </w:r>
      <w:r>
        <w:rPr>
          <w:rFonts w:hint="eastAsia" w:hAnsi="宋体"/>
          <w:b w:val="0"/>
          <w:bCs w:val="0"/>
          <w:sz w:val="24"/>
          <w:szCs w:val="24"/>
          <w:lang w:val="en-US" w:eastAsia="zh-CN"/>
        </w:rPr>
        <w:t>工程结算</w:t>
      </w:r>
      <w:r>
        <w:rPr>
          <w:rFonts w:hint="eastAsia" w:asciiTheme="minorEastAsia" w:hAnsiTheme="minorEastAsia" w:eastAsiaTheme="minorEastAsia"/>
          <w:bCs/>
          <w:kern w:val="0"/>
          <w:sz w:val="24"/>
          <w:szCs w:val="24"/>
          <w:lang w:val="en-US" w:eastAsia="zh-CN"/>
        </w:rPr>
        <w:t>根据甲方上家审计2018造价清单结合中标费率进行据实结算，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r>
        <w:rPr>
          <w:rFonts w:hint="eastAsia" w:hAnsi="宋体"/>
          <w:b w:val="0"/>
          <w:bCs w:val="0"/>
          <w:sz w:val="24"/>
          <w:szCs w:val="24"/>
          <w:lang w:val="en-US" w:eastAsia="zh-CN"/>
        </w:rPr>
        <w:t>。人工费按照合肥市现行规定调整主要材料单价按照开工当月公布的《合肥地区市场价格信息》价格计取，无市场价格信息的，由甲方上家组成的询价确认;定额中没有的机械费参照《安徽省建设工程清单计价施工机械台班费用定额》，据实决算。</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2.综合单价包含内容：包工、包料、包机具。中标人为完成合同规定的全部工作需支付的一切费用。</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3、中标人安全防护用品和劳保用品自行采购配备并且要符合国家、行业、地方及甲方安全规定。</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4、投标人须认真研究评标文件的所有资料，一经承诺，必须履行。</w:t>
      </w:r>
    </w:p>
    <w:p>
      <w:pPr>
        <w:spacing w:before="156" w:beforeLines="50" w:after="93" w:afterLines="30" w:line="400" w:lineRule="exact"/>
        <w:rPr>
          <w:rFonts w:hint="default" w:hAnsi="宋体"/>
          <w:sz w:val="24"/>
          <w:szCs w:val="24"/>
          <w:lang w:val="en-US" w:eastAsia="zh-CN"/>
        </w:rPr>
      </w:pPr>
      <w:r>
        <w:rPr>
          <w:rFonts w:hint="eastAsia" w:hAnsi="宋体"/>
          <w:sz w:val="24"/>
          <w:szCs w:val="24"/>
          <w:lang w:val="en-US" w:eastAsia="zh-CN"/>
        </w:rPr>
        <w:t>5、勘察现场研究：投标人应认真对现场进行勘查，对工程的地理位置、周围环境、施工现场情况及工作内容和工程量进行综合考虑，作出自己的判断结论和估价，中标后不得再以没有进行现场勘察或不了解等原因提出索赔（包括工期和价格）要求。</w:t>
      </w:r>
    </w:p>
    <w:p>
      <w:pPr>
        <w:rPr>
          <w:rFonts w:hint="default" w:eastAsiaTheme="minorEastAsia"/>
          <w:sz w:val="24"/>
          <w:szCs w:val="24"/>
          <w:lang w:val="en-US" w:eastAsia="zh-CN"/>
        </w:rPr>
      </w:pPr>
      <w:r>
        <w:rPr>
          <w:rFonts w:hint="eastAsia"/>
          <w:sz w:val="24"/>
          <w:szCs w:val="24"/>
          <w:lang w:val="en-US" w:eastAsia="zh-CN"/>
        </w:rPr>
        <w:t>6、设计图详见附件。</w:t>
      </w:r>
    </w:p>
    <w:p>
      <w:pPr>
        <w:rPr>
          <w:sz w:val="24"/>
          <w:szCs w:val="24"/>
        </w:rPr>
      </w:pPr>
    </w:p>
    <w:p>
      <w:pPr>
        <w:rPr>
          <w:rFonts w:hint="eastAsia"/>
          <w:sz w:val="24"/>
          <w:szCs w:val="24"/>
          <w:lang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0EA75F43"/>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19"/>
    <w:autoRedefine/>
    <w:uiPriority w:val="0"/>
    <w:rPr>
      <w:rFonts w:hint="eastAsia" w:ascii="宋体" w:hAnsi="宋体" w:eastAsia="宋体" w:cs="宋体"/>
      <w:color w:val="000000"/>
      <w:sz w:val="24"/>
      <w:szCs w:val="24"/>
      <w:u w:val="single"/>
    </w:rPr>
  </w:style>
  <w:style w:type="character" w:customStyle="1" w:styleId="41">
    <w:name w:val="font41"/>
    <w:basedOn w:val="1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71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2025-06-26T00:55:16Z</cp:lastPrinted>
  <dcterms:modified xsi:type="dcterms:W3CDTF">2025-06-26T09:28:04Z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