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5"/>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8"/>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26" w:firstLineChars="392"/>
              <w:rPr>
                <w:rFonts w:hint="default" w:eastAsia="宋体"/>
                <w:lang w:val="en-US" w:eastAsia="zh-CN"/>
              </w:rPr>
            </w:pPr>
            <w:r>
              <w:rPr>
                <w:rFonts w:hint="eastAsia" w:hAnsi="宋体"/>
                <w:b/>
                <w:color w:val="000000"/>
                <w:highlight w:val="yellow"/>
                <w:u w:val="single"/>
                <w:lang w:val="en-US" w:eastAsia="zh-CN"/>
              </w:rPr>
              <w:t>金额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2"/>
        <w:ind w:left="438" w:firstLine="600"/>
        <w:rPr>
          <w:rFonts w:hAnsi="宋体"/>
          <w:b/>
          <w:bCs/>
          <w:color w:val="000000"/>
          <w:szCs w:val="28"/>
        </w:rPr>
      </w:pPr>
    </w:p>
    <w:p>
      <w:pPr>
        <w:pStyle w:val="2"/>
        <w:ind w:left="438" w:firstLine="60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12"/>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12"/>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12"/>
        <w:snapToGrid w:val="0"/>
        <w:spacing w:line="360" w:lineRule="auto"/>
        <w:ind w:firstLine="480" w:firstLineChars="200"/>
        <w:jc w:val="left"/>
        <w:rPr>
          <w:rFonts w:hAnsi="宋体"/>
          <w:color w:val="000000"/>
          <w:sz w:val="24"/>
        </w:rPr>
      </w:pPr>
    </w:p>
    <w:p>
      <w:pPr>
        <w:pStyle w:val="12"/>
        <w:snapToGrid w:val="0"/>
        <w:spacing w:line="360" w:lineRule="auto"/>
        <w:ind w:firstLine="480" w:firstLineChars="200"/>
        <w:jc w:val="left"/>
        <w:rPr>
          <w:rFonts w:hAnsi="宋体"/>
          <w:color w:val="000000"/>
          <w:sz w:val="24"/>
        </w:rPr>
      </w:pPr>
    </w:p>
    <w:p>
      <w:pPr>
        <w:pStyle w:val="12"/>
        <w:snapToGrid w:val="0"/>
        <w:spacing w:line="360" w:lineRule="auto"/>
        <w:ind w:firstLine="480" w:firstLineChars="200"/>
        <w:jc w:val="left"/>
        <w:rPr>
          <w:rFonts w:hAnsi="宋体"/>
          <w:color w:val="000000"/>
          <w:sz w:val="24"/>
        </w:rPr>
      </w:pPr>
    </w:p>
    <w:p>
      <w:pPr>
        <w:pStyle w:val="12"/>
        <w:snapToGrid w:val="0"/>
        <w:spacing w:line="360" w:lineRule="auto"/>
        <w:ind w:firstLine="480" w:firstLineChars="200"/>
        <w:jc w:val="left"/>
        <w:rPr>
          <w:rFonts w:hAnsi="宋体"/>
          <w:color w:val="000000"/>
          <w:sz w:val="24"/>
        </w:rPr>
      </w:pPr>
    </w:p>
    <w:p>
      <w:pPr>
        <w:pStyle w:val="12"/>
        <w:snapToGrid w:val="0"/>
        <w:spacing w:line="360" w:lineRule="auto"/>
        <w:ind w:firstLine="480" w:firstLineChars="200"/>
        <w:jc w:val="left"/>
        <w:rPr>
          <w:rFonts w:hAnsi="宋体"/>
          <w:color w:val="000000"/>
          <w:sz w:val="24"/>
        </w:rPr>
      </w:pPr>
    </w:p>
    <w:p>
      <w:pPr>
        <w:pStyle w:val="12"/>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12"/>
        <w:snapToGrid w:val="0"/>
        <w:spacing w:line="360" w:lineRule="auto"/>
        <w:jc w:val="left"/>
        <w:rPr>
          <w:rFonts w:hAnsi="宋体"/>
          <w:color w:val="000000"/>
          <w:sz w:val="24"/>
          <w:szCs w:val="28"/>
        </w:rPr>
      </w:pPr>
      <w:r>
        <w:rPr>
          <w:rFonts w:hint="eastAsia" w:hAnsi="宋体"/>
          <w:color w:val="000000"/>
          <w:sz w:val="24"/>
          <w:szCs w:val="28"/>
        </w:rPr>
        <w:t>注：</w:t>
      </w:r>
    </w:p>
    <w:p>
      <w:pPr>
        <w:pStyle w:val="12"/>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pPr>
        <w:jc w:val="center"/>
        <w:rPr>
          <w:rFonts w:hint="default" w:hAnsi="宋体"/>
          <w:b/>
          <w:color w:val="000000"/>
          <w:lang w:val="en-US" w:eastAsia="zh-CN"/>
        </w:rPr>
      </w:pP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2"/>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1</w:t>
            </w:r>
          </w:p>
        </w:tc>
        <w:tc>
          <w:tcPr>
            <w:tcW w:w="1447" w:type="dxa"/>
            <w:vAlign w:val="center"/>
          </w:tcPr>
          <w:p>
            <w:pPr>
              <w:jc w:val="center"/>
              <w:rPr>
                <w:rFonts w:hint="default" w:hAnsi="宋体" w:eastAsia="宋体"/>
                <w:bCs/>
                <w:color w:val="000000" w:themeColor="text1"/>
                <w:highlight w:val="yellow"/>
                <w:shd w:val="clear" w:color="auto" w:fill="auto"/>
                <w:lang w:val="en-US" w:eastAsia="zh-CN"/>
                <w14:textFill>
                  <w14:solidFill>
                    <w14:schemeClr w14:val="tx1"/>
                  </w14:solidFill>
                </w14:textFill>
              </w:rPr>
            </w:pPr>
            <w:r>
              <w:rPr>
                <w:rFonts w:hint="eastAsia"/>
                <w:lang w:val="en-US" w:eastAsia="zh-CN"/>
              </w:rPr>
              <w:t>项目名称</w:t>
            </w:r>
          </w:p>
        </w:tc>
        <w:tc>
          <w:tcPr>
            <w:tcW w:w="7223" w:type="dxa"/>
            <w:vAlign w:val="center"/>
          </w:tcPr>
          <w:p>
            <w:pPr>
              <w:ind w:firstLine="480" w:firstLineChars="200"/>
              <w:jc w:val="left"/>
              <w:rPr>
                <w:rFonts w:hint="default"/>
                <w:b w:val="0"/>
                <w:bCs w:val="0"/>
                <w:color w:val="000000" w:themeColor="text1"/>
                <w:sz w:val="24"/>
                <w:szCs w:val="18"/>
                <w:shd w:val="clear" w:color="auto" w:fill="auto"/>
                <w:lang w:val="en-US"/>
                <w14:textFill>
                  <w14:solidFill>
                    <w14:schemeClr w14:val="tx1"/>
                  </w14:solidFill>
                </w14:textFill>
              </w:rPr>
            </w:pPr>
            <w:r>
              <w:rPr>
                <w:rFonts w:hint="eastAsia"/>
                <w:color w:val="000000" w:themeColor="text1"/>
                <w:sz w:val="24"/>
                <w:szCs w:val="24"/>
                <w:shd w:val="clear" w:color="auto" w:fill="auto"/>
                <w:lang w:val="en-US" w:eastAsia="zh-CN"/>
                <w14:textFill>
                  <w14:solidFill>
                    <w14:schemeClr w14:val="tx1"/>
                  </w14:solidFill>
                </w14:textFill>
              </w:rPr>
              <w:t>2025年合经区</w:t>
            </w:r>
            <w:r>
              <w:rPr>
                <w:rFonts w:hint="eastAsia"/>
                <w:color w:val="000000" w:themeColor="text1"/>
                <w:sz w:val="24"/>
                <w:szCs w:val="24"/>
                <w:shd w:val="clear" w:color="auto" w:fill="auto"/>
                <w14:textFill>
                  <w14:solidFill>
                    <w14:schemeClr w14:val="tx1"/>
                  </w14:solidFill>
                </w14:textFill>
              </w:rPr>
              <w:t>公用公司</w:t>
            </w:r>
            <w:r>
              <w:rPr>
                <w:rFonts w:hint="eastAsia"/>
                <w:color w:val="000000" w:themeColor="text1"/>
                <w:sz w:val="24"/>
                <w:szCs w:val="24"/>
                <w:shd w:val="clear" w:color="auto" w:fill="auto"/>
                <w:lang w:val="en-US" w:eastAsia="zh-CN"/>
                <w14:textFill>
                  <w14:solidFill>
                    <w14:schemeClr w14:val="tx1"/>
                  </w14:solidFill>
                </w14:textFill>
              </w:rPr>
              <w:t>桥梁、隧道设施巡检、常规性检测服务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2</w:t>
            </w:r>
          </w:p>
        </w:tc>
        <w:tc>
          <w:tcPr>
            <w:tcW w:w="1447" w:type="dxa"/>
            <w:vAlign w:val="center"/>
          </w:tcPr>
          <w:p>
            <w:pPr>
              <w:jc w:val="center"/>
              <w:rPr>
                <w:rFonts w:hint="eastAsia" w:hAnsi="宋体" w:eastAsia="宋体"/>
                <w:color w:val="000000" w:themeColor="text1"/>
                <w:sz w:val="21"/>
                <w:szCs w:val="21"/>
                <w:highlight w:val="yellow"/>
                <w:shd w:val="clear" w:color="auto" w:fill="auto"/>
                <w:lang w:eastAsia="zh-CN"/>
                <w14:textFill>
                  <w14:solidFill>
                    <w14:schemeClr w14:val="tx1"/>
                  </w14:solidFill>
                </w14:textFill>
              </w:rPr>
            </w:pPr>
            <w:r>
              <w:rPr>
                <w:rFonts w:hint="eastAsia"/>
              </w:rPr>
              <w:t>项目</w:t>
            </w:r>
            <w:r>
              <w:rPr>
                <w:rFonts w:hint="eastAsia"/>
                <w:lang w:val="en-US" w:eastAsia="zh-CN"/>
              </w:rPr>
              <w:t>概况</w:t>
            </w:r>
          </w:p>
        </w:tc>
        <w:tc>
          <w:tcPr>
            <w:tcW w:w="7223" w:type="dxa"/>
            <w:vAlign w:val="center"/>
          </w:tcPr>
          <w:p>
            <w:pPr>
              <w:spacing w:line="360" w:lineRule="auto"/>
              <w:rPr>
                <w:rFonts w:hint="default" w:eastAsia="宋体"/>
                <w:b w:val="0"/>
                <w:bCs w:val="0"/>
                <w:color w:val="000000" w:themeColor="text1"/>
                <w:sz w:val="24"/>
                <w:szCs w:val="24"/>
                <w:shd w:val="clear" w:color="auto" w:fill="auto"/>
                <w:lang w:val="en-US" w:eastAsia="zh-CN"/>
                <w14:textFill>
                  <w14:solidFill>
                    <w14:schemeClr w14:val="tx1"/>
                  </w14:solidFill>
                </w14:textFill>
              </w:rPr>
            </w:pPr>
            <w:r>
              <w:rPr>
                <w:rFonts w:hint="eastAsia"/>
                <w:b w:val="0"/>
                <w:bCs w:val="0"/>
                <w:color w:val="000000" w:themeColor="text1"/>
                <w:sz w:val="24"/>
                <w:szCs w:val="24"/>
                <w:shd w:val="clear" w:color="auto" w:fill="auto"/>
                <w14:textFill>
                  <w14:solidFill>
                    <w14:schemeClr w14:val="tx1"/>
                  </w14:solidFill>
                </w14:textFill>
              </w:rPr>
              <w:t>主要为经开区</w:t>
            </w:r>
            <w:r>
              <w:rPr>
                <w:rFonts w:hint="eastAsia"/>
                <w:b w:val="0"/>
                <w:bCs w:val="0"/>
                <w:color w:val="000000" w:themeColor="text1"/>
                <w:sz w:val="24"/>
                <w:szCs w:val="24"/>
                <w:shd w:val="clear" w:color="auto" w:fill="auto"/>
                <w:lang w:val="en-US" w:eastAsia="zh-CN"/>
                <w14:textFill>
                  <w14:solidFill>
                    <w14:schemeClr w14:val="tx1"/>
                  </w14:solidFill>
                </w14:textFill>
              </w:rPr>
              <w:t>南区、北区</w:t>
            </w:r>
            <w:r>
              <w:rPr>
                <w:rFonts w:hint="eastAsia" w:ascii="宋体" w:hAnsi="宋体" w:eastAsia="宋体"/>
                <w:b w:val="0"/>
                <w:bCs/>
                <w:sz w:val="24"/>
                <w:szCs w:val="18"/>
              </w:rPr>
              <w:t>现有城市桥梁</w:t>
            </w:r>
            <w:r>
              <w:rPr>
                <w:rFonts w:hint="eastAsia" w:hAnsi="宋体"/>
                <w:b w:val="0"/>
                <w:bCs/>
                <w:sz w:val="24"/>
                <w:szCs w:val="18"/>
                <w:lang w:val="en-US" w:eastAsia="zh-CN"/>
              </w:rPr>
              <w:t>59</w:t>
            </w:r>
            <w:r>
              <w:rPr>
                <w:rFonts w:hint="eastAsia" w:ascii="宋体" w:hAnsi="宋体" w:eastAsia="宋体"/>
                <w:b w:val="0"/>
                <w:bCs/>
                <w:sz w:val="24"/>
                <w:szCs w:val="18"/>
              </w:rPr>
              <w:t>座，其中人行天桥</w:t>
            </w:r>
            <w:r>
              <w:rPr>
                <w:rFonts w:hint="eastAsia" w:hAnsi="宋体"/>
                <w:b w:val="0"/>
                <w:bCs/>
                <w:sz w:val="24"/>
                <w:szCs w:val="18"/>
                <w:lang w:val="en-US" w:eastAsia="zh-CN"/>
              </w:rPr>
              <w:t>23</w:t>
            </w:r>
            <w:r>
              <w:rPr>
                <w:rFonts w:hint="eastAsia" w:ascii="宋体" w:hAnsi="宋体" w:eastAsia="宋体"/>
                <w:b w:val="0"/>
                <w:bCs/>
                <w:sz w:val="24"/>
                <w:szCs w:val="18"/>
              </w:rPr>
              <w:t>座，</w:t>
            </w:r>
            <w:r>
              <w:rPr>
                <w:rFonts w:hint="eastAsia" w:ascii="宋体" w:hAnsi="宋体" w:eastAsia="宋体"/>
                <w:b w:val="0"/>
                <w:bCs/>
                <w:sz w:val="24"/>
                <w:szCs w:val="18"/>
                <w:lang w:val="en-US" w:eastAsia="zh-CN"/>
              </w:rPr>
              <w:t>上跨、下穿桥</w:t>
            </w:r>
            <w:r>
              <w:rPr>
                <w:rFonts w:hint="eastAsia" w:hAnsi="宋体"/>
                <w:b w:val="0"/>
                <w:bCs/>
                <w:sz w:val="24"/>
                <w:szCs w:val="18"/>
                <w:lang w:val="en-US" w:eastAsia="zh-CN"/>
              </w:rPr>
              <w:t>35</w:t>
            </w:r>
            <w:r>
              <w:rPr>
                <w:rFonts w:hint="eastAsia" w:ascii="宋体" w:hAnsi="宋体" w:eastAsia="宋体"/>
                <w:b w:val="0"/>
                <w:bCs/>
                <w:sz w:val="24"/>
                <w:szCs w:val="18"/>
              </w:rPr>
              <w:t>座</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含跨河桥、跨铁路桥</w:t>
            </w:r>
            <w:r>
              <w:rPr>
                <w:rFonts w:hint="eastAsia" w:ascii="宋体" w:hAnsi="宋体" w:eastAsia="宋体"/>
                <w:b w:val="0"/>
                <w:bCs/>
                <w:sz w:val="24"/>
                <w:szCs w:val="18"/>
                <w:lang w:eastAsia="zh-CN"/>
              </w:rPr>
              <w:t>）</w:t>
            </w:r>
            <w:r>
              <w:rPr>
                <w:rFonts w:hint="eastAsia" w:ascii="宋体" w:hAnsi="宋体" w:eastAsia="宋体"/>
                <w:b w:val="0"/>
                <w:bCs/>
                <w:sz w:val="24"/>
                <w:szCs w:val="18"/>
              </w:rPr>
              <w:t>，</w:t>
            </w:r>
            <w:r>
              <w:rPr>
                <w:rFonts w:hint="eastAsia" w:ascii="宋体" w:hAnsi="宋体" w:eastAsia="宋体"/>
                <w:b w:val="0"/>
                <w:bCs/>
                <w:sz w:val="24"/>
                <w:szCs w:val="18"/>
                <w:lang w:val="en-US" w:eastAsia="zh-CN"/>
              </w:rPr>
              <w:t>隧</w:t>
            </w:r>
            <w:r>
              <w:rPr>
                <w:rFonts w:hint="eastAsia" w:ascii="宋体" w:hAnsi="宋体" w:eastAsia="宋体"/>
                <w:b w:val="0"/>
                <w:bCs/>
                <w:sz w:val="24"/>
                <w:szCs w:val="18"/>
              </w:rPr>
              <w:t>道1座</w:t>
            </w:r>
            <w:r>
              <w:rPr>
                <w:rFonts w:hint="eastAsia" w:ascii="宋体" w:hAnsi="宋体" w:eastAsia="宋体"/>
                <w:b w:val="0"/>
                <w:bCs/>
                <w:sz w:val="24"/>
                <w:szCs w:val="18"/>
                <w:lang w:eastAsia="zh-CN"/>
              </w:rPr>
              <w:t>。</w:t>
            </w:r>
            <w:r>
              <w:rPr>
                <w:rFonts w:hint="eastAsia" w:ascii="宋体" w:hAnsi="宋体" w:eastAsia="宋体"/>
                <w:b w:val="0"/>
                <w:bCs/>
                <w:sz w:val="24"/>
                <w:szCs w:val="18"/>
              </w:rPr>
              <w:t>为及时掌握桥梁的使用状况，提供科学养护依据，根据《城市桥梁养护技术标准》《城市桥梁检测与评定技术规范》《合肥市市政设施管理绩效考核办法》等及</w:t>
            </w:r>
            <w:r>
              <w:rPr>
                <w:rFonts w:hint="eastAsia" w:hAnsi="宋体"/>
                <w:b w:val="0"/>
                <w:bCs/>
                <w:sz w:val="24"/>
                <w:szCs w:val="18"/>
                <w:lang w:val="en-US" w:eastAsia="zh-CN"/>
              </w:rPr>
              <w:t>经开</w:t>
            </w:r>
            <w:r>
              <w:rPr>
                <w:rFonts w:hint="eastAsia" w:ascii="宋体" w:hAnsi="宋体" w:eastAsia="宋体"/>
                <w:b w:val="0"/>
                <w:bCs/>
                <w:sz w:val="24"/>
                <w:szCs w:val="18"/>
              </w:rPr>
              <w:t>区实际，开展桥梁经常性检查、定期常规检测，对存在病害提出养护需求，配合</w:t>
            </w:r>
            <w:r>
              <w:rPr>
                <w:rFonts w:hint="eastAsia" w:ascii="宋体" w:hAnsi="宋体" w:eastAsia="宋体"/>
                <w:b w:val="0"/>
                <w:bCs/>
                <w:sz w:val="24"/>
                <w:szCs w:val="18"/>
                <w:lang w:eastAsia="zh-CN"/>
              </w:rPr>
              <w:t>采购人</w:t>
            </w:r>
            <w:r>
              <w:rPr>
                <w:rFonts w:hint="eastAsia" w:ascii="宋体" w:hAnsi="宋体" w:eastAsia="宋体"/>
                <w:b w:val="0"/>
                <w:bCs/>
                <w:sz w:val="24"/>
                <w:szCs w:val="18"/>
              </w:rPr>
              <w:t>开展突发事件应急处置，并提供相关技术支持等</w:t>
            </w:r>
            <w:r>
              <w:rPr>
                <w:rFonts w:hint="eastAsia" w:ascii="宋体" w:hAnsi="宋体" w:eastAsia="宋体"/>
                <w:b w:val="0"/>
                <w:bCs/>
                <w:sz w:val="24"/>
                <w:szCs w:val="18"/>
                <w:lang w:eastAsia="zh-CN"/>
              </w:rPr>
              <w:t>。</w:t>
            </w:r>
            <w:r>
              <w:rPr>
                <w:rFonts w:hint="eastAsia" w:hAnsi="宋体"/>
                <w:b w:val="0"/>
                <w:bCs/>
                <w:sz w:val="24"/>
                <w:szCs w:val="18"/>
                <w:lang w:val="en-US" w:eastAsia="zh-CN"/>
              </w:rPr>
              <w:t>月巡检、</w:t>
            </w:r>
            <w:r>
              <w:rPr>
                <w:rFonts w:hint="eastAsia"/>
                <w:color w:val="000000" w:themeColor="text1"/>
                <w:sz w:val="24"/>
                <w:szCs w:val="24"/>
                <w:shd w:val="clear" w:color="auto" w:fill="auto"/>
                <w:lang w:val="en-US" w:eastAsia="zh-CN"/>
                <w14:textFill>
                  <w14:solidFill>
                    <w14:schemeClr w14:val="tx1"/>
                  </w14:solidFill>
                </w14:textFill>
              </w:rPr>
              <w:t>常规性检测费用</w:t>
            </w:r>
            <w:r>
              <w:rPr>
                <w:rFonts w:hint="eastAsia"/>
                <w:b w:val="0"/>
                <w:bCs w:val="0"/>
                <w:color w:val="000000" w:themeColor="text1"/>
                <w:sz w:val="24"/>
                <w:szCs w:val="24"/>
                <w:shd w:val="clear" w:color="auto" w:fill="auto"/>
                <w:lang w:val="en-US" w:eastAsia="zh-CN"/>
                <w14:textFill>
                  <w14:solidFill>
                    <w14:schemeClr w14:val="tx1"/>
                  </w14:solidFill>
                </w14:textFill>
              </w:rPr>
              <w:t>不超过28.8万元，检测过程中养护数量调整服务费用不变。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lang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14:textFill>
                  <w14:solidFill>
                    <w14:schemeClr w14:val="tx1"/>
                  </w14:solidFill>
                </w14:textFill>
              </w:rPr>
              <w:t>3</w:t>
            </w:r>
          </w:p>
        </w:tc>
        <w:tc>
          <w:tcPr>
            <w:tcW w:w="1447" w:type="dxa"/>
            <w:vAlign w:val="center"/>
          </w:tcPr>
          <w:p>
            <w:pPr>
              <w:jc w:val="center"/>
            </w:pPr>
            <w:r>
              <w:rPr>
                <w:rFonts w:hint="eastAsia"/>
              </w:rPr>
              <w:t>供应商资格</w:t>
            </w:r>
          </w:p>
        </w:tc>
        <w:tc>
          <w:tcPr>
            <w:tcW w:w="7223" w:type="dxa"/>
            <w:shd w:val="clear" w:color="auto" w:fill="auto"/>
            <w:vAlign w:val="center"/>
          </w:tcPr>
          <w:p>
            <w:pPr>
              <w:autoSpaceDE w:val="0"/>
              <w:autoSpaceDN w:val="0"/>
              <w:adjustRightInd w:val="0"/>
              <w:spacing w:line="360" w:lineRule="auto"/>
              <w:jc w:val="left"/>
              <w:rPr>
                <w:rFonts w:hint="eastAsia" w:ascii="宋体" w:hAnsi="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1</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具有有效的建设工程质量检测机构专项资质证书(专项资质须包括：桥梁与地下工程、钢结构)或建设工程质量检测机构综合资质证书和检验检测机构资质认定证书（CMA计量认证证书）；</w:t>
            </w:r>
          </w:p>
          <w:p>
            <w:pPr>
              <w:autoSpaceDE w:val="0"/>
              <w:autoSpaceDN w:val="0"/>
              <w:adjustRightInd w:val="0"/>
              <w:jc w:val="left"/>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b w:val="0"/>
                <w:bCs w:val="0"/>
                <w:color w:val="000000" w:themeColor="text1"/>
                <w:sz w:val="24"/>
                <w:szCs w:val="24"/>
                <w:shd w:val="clear" w:color="auto" w:fill="auto"/>
                <w:lang w:val="en-US" w:eastAsia="zh-CN"/>
                <w14:textFill>
                  <w14:solidFill>
                    <w14:schemeClr w14:val="tx1"/>
                  </w14:solidFill>
                </w14:textFill>
              </w:rPr>
              <w:t>2</w:t>
            </w:r>
            <w:r>
              <w:rPr>
                <w:rFonts w:hint="eastAsia" w:ascii="宋体" w:hAnsi="宋体"/>
                <w:b w:val="0"/>
                <w:bCs w:val="0"/>
                <w:color w:val="000000" w:themeColor="text1"/>
                <w:sz w:val="24"/>
                <w:szCs w:val="24"/>
                <w:shd w:val="clear" w:color="auto" w:fill="auto"/>
                <w14:textFill>
                  <w14:solidFill>
                    <w14:schemeClr w14:val="tx1"/>
                  </w14:solidFill>
                </w14:textFill>
              </w:rPr>
              <w:t>、</w:t>
            </w:r>
            <w:r>
              <w:rPr>
                <w:rFonts w:hint="eastAsia" w:ascii="宋体" w:hAnsi="宋体" w:cs="宋体"/>
                <w:b w:val="0"/>
                <w:bCs w:val="0"/>
                <w:color w:val="000000" w:themeColor="text1"/>
                <w:sz w:val="24"/>
                <w:szCs w:val="24"/>
                <w:shd w:val="clear" w:color="auto" w:fill="auto"/>
                <w14:textFill>
                  <w14:solidFill>
                    <w14:schemeClr w14:val="tx1"/>
                  </w14:solidFill>
                </w14:textFill>
              </w:rPr>
              <w:t>本项目不接受联合体投标；</w:t>
            </w:r>
          </w:p>
          <w:p>
            <w:pPr>
              <w:autoSpaceDE w:val="0"/>
              <w:autoSpaceDN w:val="0"/>
              <w:adjustRightInd w:val="0"/>
              <w:jc w:val="left"/>
              <w:rPr>
                <w:rFonts w:hint="eastAsia" w:ascii="宋体" w:hAnsi="宋体" w:cs="宋体"/>
                <w:b w:val="0"/>
                <w:bCs w:val="0"/>
                <w:color w:val="000000" w:themeColor="text1"/>
                <w:sz w:val="24"/>
                <w:szCs w:val="24"/>
                <w:shd w:val="clear" w:color="auto" w:fill="auto"/>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3</w:t>
            </w:r>
            <w:r>
              <w:rPr>
                <w:rFonts w:hint="eastAsia" w:ascii="宋体" w:hAnsi="宋体" w:cs="宋体"/>
                <w:b w:val="0"/>
                <w:bCs w:val="0"/>
                <w:color w:val="000000" w:themeColor="text1"/>
                <w:sz w:val="24"/>
                <w:szCs w:val="24"/>
                <w:shd w:val="clear" w:color="auto" w:fill="auto"/>
                <w14:textFill>
                  <w14:solidFill>
                    <w14:schemeClr w14:val="tx1"/>
                  </w14:solidFill>
                </w14:textFill>
              </w:rPr>
              <w:t>、具有本地化服务的能力；</w:t>
            </w:r>
          </w:p>
          <w:p>
            <w:pPr>
              <w:autoSpaceDE w:val="0"/>
              <w:autoSpaceDN w:val="0"/>
              <w:adjustRightInd w:val="0"/>
              <w:jc w:val="left"/>
              <w:rPr>
                <w:rFonts w:ascii="宋体" w:hAnsi="宋体" w:eastAsia="宋体" w:cs="宋体"/>
                <w:b w:val="0"/>
                <w:bCs w:val="0"/>
                <w:color w:val="000000" w:themeColor="text1"/>
                <w:sz w:val="24"/>
                <w:shd w:val="clear" w:color="auto" w:fill="auto"/>
                <w:lang w:val="en-US" w:eastAsia="zh-CN" w:bidi="ar-SA"/>
                <w14:textFill>
                  <w14:solidFill>
                    <w14:schemeClr w14:val="tx1"/>
                  </w14:solidFill>
                </w14:textFill>
              </w:rPr>
            </w:pPr>
            <w:r>
              <w:rPr>
                <w:rFonts w:hint="eastAsia" w:ascii="宋体" w:hAnsi="宋体" w:cs="宋体"/>
                <w:b w:val="0"/>
                <w:bCs w:val="0"/>
                <w:color w:val="000000" w:themeColor="text1"/>
                <w:sz w:val="24"/>
                <w:szCs w:val="24"/>
                <w:shd w:val="clear" w:color="auto" w:fill="auto"/>
                <w:lang w:val="en-US" w:eastAsia="zh-CN"/>
                <w14:textFill>
                  <w14:solidFill>
                    <w14:schemeClr w14:val="tx1"/>
                  </w14:solidFill>
                </w14:textFill>
              </w:rPr>
              <w:t>4</w:t>
            </w:r>
            <w:r>
              <w:rPr>
                <w:rFonts w:hint="eastAsia" w:ascii="宋体" w:hAnsi="宋体" w:cs="宋体"/>
                <w:b w:val="0"/>
                <w:bCs w:val="0"/>
                <w:color w:val="000000" w:themeColor="text1"/>
                <w:sz w:val="24"/>
                <w:szCs w:val="24"/>
                <w:shd w:val="clear" w:color="auto" w:fill="auto"/>
                <w14:textFill>
                  <w14:solidFill>
                    <w14:schemeClr w14:val="tx1"/>
                  </w14:solidFill>
                </w14:textFill>
              </w:rPr>
              <w:t>、</w:t>
            </w:r>
            <w:r>
              <w:rPr>
                <w:rFonts w:hint="eastAsia"/>
                <w:b w:val="0"/>
                <w:bCs w:val="0"/>
                <w:color w:val="000000" w:themeColor="text1"/>
                <w:sz w:val="24"/>
                <w:szCs w:val="24"/>
                <w:shd w:val="clear" w:color="auto" w:fill="auto"/>
                <w14:textFill>
                  <w14:solidFill>
                    <w14:schemeClr w14:val="tx1"/>
                  </w14:solidFill>
                </w14:textFill>
              </w:rPr>
              <w:t>开标日前两年内未被合肥市安监部门处罚或通报批评的。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4</w:t>
            </w:r>
          </w:p>
        </w:tc>
        <w:tc>
          <w:tcPr>
            <w:tcW w:w="1447" w:type="dxa"/>
            <w:vAlign w:val="center"/>
          </w:tcPr>
          <w:p>
            <w:pPr>
              <w:jc w:val="center"/>
            </w:pPr>
            <w:r>
              <w:rPr>
                <w:rFonts w:hint="eastAsia"/>
              </w:rPr>
              <w:t>项目性质</w:t>
            </w:r>
          </w:p>
        </w:tc>
        <w:tc>
          <w:tcPr>
            <w:tcW w:w="7223" w:type="dxa"/>
            <w:vAlign w:val="center"/>
          </w:tcPr>
          <w:p>
            <w:pPr>
              <w:pStyle w:val="42"/>
              <w:widowControl w:val="0"/>
              <w:spacing w:before="0" w:beforeAutospacing="0" w:after="0" w:afterAutospacing="0"/>
              <w:ind w:firstLine="480" w:firstLineChars="200"/>
              <w:jc w:val="both"/>
              <w:rPr>
                <w:rFonts w:hint="eastAsia" w:eastAsia="宋体"/>
                <w:b w:val="0"/>
                <w:bCs w:val="0"/>
                <w:color w:val="000000" w:themeColor="text1"/>
                <w:sz w:val="24"/>
                <w:shd w:val="clear" w:color="auto" w:fill="auto"/>
                <w:lang w:eastAsia="zh-CN"/>
                <w14:textFill>
                  <w14:solidFill>
                    <w14:schemeClr w14:val="tx1"/>
                  </w14:solidFill>
                </w14:textFill>
              </w:rPr>
            </w:pPr>
            <w:r>
              <w:rPr>
                <w:rFonts w:hint="eastAsia"/>
                <w:b w:val="0"/>
                <w:bCs w:val="0"/>
                <w:color w:val="000000" w:themeColor="text1"/>
                <w:sz w:val="24"/>
                <w:szCs w:val="24"/>
                <w:u w:val="single"/>
                <w:shd w:val="clear" w:color="auto" w:fill="auto"/>
                <w:lang w:val="en-US" w:eastAsia="zh-CN"/>
                <w14:textFill>
                  <w14:solidFill>
                    <w14:schemeClr w14:val="tx1"/>
                  </w14:solidFill>
                </w14:textFill>
              </w:rPr>
              <w:t>服务</w:t>
            </w:r>
            <w:r>
              <w:rPr>
                <w:rFonts w:hint="eastAsia"/>
                <w:b w:val="0"/>
                <w:bCs w:val="0"/>
                <w:color w:val="000000" w:themeColor="text1"/>
                <w:sz w:val="28"/>
                <w:szCs w:val="28"/>
                <w:u w:val="single"/>
                <w:shd w:val="clear" w:color="auto" w:fill="auto"/>
                <w:lang w:val="en-US" w:eastAsia="zh-CN"/>
                <w14:textFill>
                  <w14:solidFill>
                    <w14:schemeClr w14:val="tx1"/>
                  </w14:solidFill>
                </w14:textFill>
              </w:rPr>
              <w:t xml:space="preserve"> </w:t>
            </w:r>
            <w:r>
              <w:rPr>
                <w:rFonts w:hint="eastAsia"/>
                <w:b w:val="0"/>
                <w:bCs w:val="0"/>
                <w:color w:val="000000" w:themeColor="text1"/>
                <w:sz w:val="24"/>
                <w:shd w:val="clear" w:color="auto" w:fill="auto"/>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5</w:t>
            </w:r>
          </w:p>
        </w:tc>
        <w:tc>
          <w:tcPr>
            <w:tcW w:w="1447" w:type="dxa"/>
            <w:vAlign w:val="center"/>
          </w:tcPr>
          <w:p>
            <w:pPr>
              <w:jc w:val="center"/>
            </w:pPr>
            <w:r>
              <w:rPr>
                <w:rFonts w:hint="eastAsia"/>
              </w:rPr>
              <w:t>资金来源</w:t>
            </w:r>
          </w:p>
        </w:tc>
        <w:tc>
          <w:tcPr>
            <w:tcW w:w="7223" w:type="dxa"/>
            <w:vAlign w:val="center"/>
          </w:tcPr>
          <w:p>
            <w:pPr>
              <w:pStyle w:val="42"/>
              <w:widowControl w:val="0"/>
              <w:spacing w:before="0" w:beforeAutospacing="0" w:after="0" w:afterAutospacing="0"/>
              <w:jc w:val="both"/>
              <w:rPr>
                <w:b w:val="0"/>
                <w:bCs w:val="0"/>
                <w:color w:val="000000" w:themeColor="text1"/>
                <w:sz w:val="24"/>
                <w:shd w:val="clear" w:color="auto" w:fill="auto"/>
                <w14:textFill>
                  <w14:solidFill>
                    <w14:schemeClr w14:val="tx1"/>
                  </w14:solidFill>
                </w14:textFill>
              </w:rPr>
            </w:pPr>
            <w:r>
              <w:rPr>
                <w:color w:val="000000" w:themeColor="text1"/>
                <w:shd w:val="clear" w:color="auto" w:fill="auto"/>
                <w14:textFill>
                  <w14:solidFill>
                    <w14:schemeClr w14:val="tx1"/>
                  </w14:solidFill>
                </w14:textFill>
              </w:rPr>
              <w:sym w:font="Wingdings" w:char="00FE"/>
            </w:r>
            <w:r>
              <w:rPr>
                <w:rFonts w:hint="eastAsia"/>
                <w:b w:val="0"/>
                <w:bCs w:val="0"/>
                <w:color w:val="000000" w:themeColor="text1"/>
                <w:sz w:val="24"/>
                <w:shd w:val="clear" w:color="auto" w:fill="auto"/>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themeColor="text1"/>
                <w:shd w:val="clear" w:color="auto" w:fill="auto"/>
                <w14:textFill>
                  <w14:solidFill>
                    <w14:schemeClr w14:val="tx1"/>
                  </w14:solidFill>
                </w14:textFill>
              </w:rPr>
            </w:pPr>
            <w:bookmarkStart w:id="9" w:name="OLE_LINK2" w:colFirst="2" w:colLast="2"/>
            <w:r>
              <w:rPr>
                <w:rFonts w:hint="eastAsia" w:hAnsi="宋体"/>
                <w:color w:val="000000" w:themeColor="text1"/>
                <w:shd w:val="clear" w:color="auto" w:fill="auto"/>
                <w14:textFill>
                  <w14:solidFill>
                    <w14:schemeClr w14:val="tx1"/>
                  </w14:solidFill>
                </w14:textFill>
              </w:rPr>
              <w:t>6</w:t>
            </w:r>
          </w:p>
        </w:tc>
        <w:tc>
          <w:tcPr>
            <w:tcW w:w="1447" w:type="dxa"/>
          </w:tcPr>
          <w:p>
            <w:pPr>
              <w:jc w:val="center"/>
              <w:rPr>
                <w:lang w:val="zh-CN"/>
              </w:rPr>
            </w:pPr>
            <w:r>
              <w:rPr>
                <w:rFonts w:hint="eastAsia"/>
              </w:rPr>
              <w:t>标段划分</w:t>
            </w:r>
          </w:p>
        </w:tc>
        <w:tc>
          <w:tcPr>
            <w:tcW w:w="7223" w:type="dxa"/>
            <w:vAlign w:val="center"/>
          </w:tcPr>
          <w:p>
            <w:pPr>
              <w:spacing w:line="500" w:lineRule="exact"/>
              <w:rPr>
                <w:rFonts w:hAnsi="宋体"/>
                <w:bCs/>
                <w:color w:val="000000" w:themeColor="text1"/>
                <w:shd w:val="clear" w:color="auto" w:fill="auto"/>
                <w14:textFill>
                  <w14:solidFill>
                    <w14:schemeClr w14:val="tx1"/>
                  </w14:solidFill>
                </w14:textFill>
              </w:rPr>
            </w:pPr>
            <w:r>
              <w:rPr>
                <w:b/>
                <w:bCs/>
                <w:color w:val="000000" w:themeColor="text1"/>
                <w:shd w:val="clear" w:color="auto" w:fill="auto"/>
                <w14:textFill>
                  <w14:solidFill>
                    <w14:schemeClr w14:val="tx1"/>
                  </w14:solidFill>
                </w14:textFill>
              </w:rPr>
              <w:sym w:font="Wingdings" w:char="00FE"/>
            </w:r>
            <w:r>
              <w:rPr>
                <w:rFonts w:hint="eastAsia" w:hAnsi="宋体"/>
                <w:color w:val="000000" w:themeColor="text1"/>
                <w:shd w:val="clear" w:color="auto" w:fill="auto"/>
                <w14:textFill>
                  <w14:solidFill>
                    <w14:schemeClr w14:val="tx1"/>
                  </w14:solidFill>
                </w14:textFill>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675" w:type="dxa"/>
            <w:vAlign w:val="center"/>
          </w:tcPr>
          <w:p>
            <w:pPr>
              <w:spacing w:line="500" w:lineRule="exact"/>
              <w:ind w:right="102"/>
              <w:jc w:val="cente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7</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付款方式</w:t>
            </w:r>
          </w:p>
        </w:tc>
        <w:tc>
          <w:tcPr>
            <w:tcW w:w="7223" w:type="dxa"/>
          </w:tcPr>
          <w:p>
            <w:pPr>
              <w:pStyle w:val="16"/>
              <w:spacing w:line="440" w:lineRule="exact"/>
              <w:ind w:left="0" w:leftChars="0" w:firstLine="0" w:firstLineChars="0"/>
              <w:jc w:val="lef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4"/>
                <w:szCs w:val="24"/>
                <w:u w:val="single"/>
                <w:shd w:val="clear" w:color="auto" w:fill="auto"/>
                <w14:textFill>
                  <w14:solidFill>
                    <w14:schemeClr w14:val="tx1"/>
                  </w14:solidFill>
                </w14:textFill>
              </w:rPr>
              <w:t>以转账形式</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支付乙方。</w:t>
            </w:r>
          </w:p>
          <w:p>
            <w:pPr>
              <w:pStyle w:val="35"/>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2．具体支付方式和时间如下：</w:t>
            </w:r>
            <w:r>
              <w:rPr>
                <w:rFonts w:hint="eastAsia" w:ascii="宋体" w:hAnsi="宋体" w:eastAsia="宋体"/>
                <w:b w:val="0"/>
                <w:sz w:val="24"/>
              </w:rPr>
              <w:t>2</w:t>
            </w:r>
            <w:r>
              <w:rPr>
                <w:rFonts w:ascii="宋体" w:hAnsi="宋体" w:eastAsia="宋体"/>
                <w:b w:val="0"/>
                <w:sz w:val="24"/>
              </w:rPr>
              <w:t>02</w:t>
            </w:r>
            <w:r>
              <w:rPr>
                <w:rFonts w:hint="eastAsia" w:ascii="宋体" w:hAnsi="宋体" w:eastAsia="宋体"/>
                <w:b w:val="0"/>
                <w:sz w:val="24"/>
                <w:lang w:val="en-US" w:eastAsia="zh-CN"/>
              </w:rPr>
              <w:t>5</w:t>
            </w:r>
            <w:r>
              <w:rPr>
                <w:rFonts w:hint="eastAsia" w:ascii="宋体" w:hAnsi="宋体" w:eastAsia="宋体"/>
                <w:b w:val="0"/>
                <w:sz w:val="24"/>
              </w:rPr>
              <w:t>至</w:t>
            </w:r>
            <w:r>
              <w:rPr>
                <w:rFonts w:ascii="宋体" w:hAnsi="宋体" w:eastAsia="宋体"/>
                <w:b w:val="0"/>
                <w:sz w:val="24"/>
              </w:rPr>
              <w:t>202</w:t>
            </w:r>
            <w:r>
              <w:rPr>
                <w:rFonts w:hint="eastAsia" w:ascii="宋体" w:hAnsi="宋体" w:eastAsia="宋体"/>
                <w:b w:val="0"/>
                <w:sz w:val="24"/>
                <w:lang w:val="en-US" w:eastAsia="zh-CN"/>
              </w:rPr>
              <w:t>6</w:t>
            </w:r>
            <w:r>
              <w:rPr>
                <w:rFonts w:ascii="宋体" w:hAnsi="宋体" w:eastAsia="宋体"/>
                <w:b w:val="0"/>
                <w:sz w:val="24"/>
              </w:rPr>
              <w:t>年</w:t>
            </w:r>
            <w:r>
              <w:rPr>
                <w:rFonts w:hint="eastAsia" w:ascii="宋体" w:hAnsi="宋体" w:eastAsia="宋体"/>
                <w:b w:val="0"/>
                <w:sz w:val="24"/>
              </w:rPr>
              <w:t>每年依据采购人要求时间提交正式常规定期检测报告并通过采购人专家审查</w:t>
            </w:r>
            <w:r>
              <w:rPr>
                <w:rFonts w:hint="eastAsia" w:ascii="宋体" w:hAnsi="宋体"/>
                <w:b w:val="0"/>
                <w:sz w:val="24"/>
                <w:lang w:val="en-US" w:eastAsia="zh-CN"/>
              </w:rPr>
              <w:t>后</w:t>
            </w:r>
            <w:r>
              <w:rPr>
                <w:rFonts w:hint="eastAsia" w:ascii="宋体" w:hAnsi="宋体" w:eastAsia="宋体"/>
                <w:b w:val="0"/>
                <w:sz w:val="24"/>
              </w:rPr>
              <w:t>，</w:t>
            </w:r>
            <w:r>
              <w:rPr>
                <w:rFonts w:hint="eastAsia" w:ascii="宋体" w:hAnsi="宋体"/>
                <w:b w:val="0"/>
                <w:sz w:val="24"/>
                <w:lang w:val="en-US" w:eastAsia="zh-CN"/>
              </w:rPr>
              <w:t>并</w:t>
            </w:r>
            <w:r>
              <w:rPr>
                <w:rFonts w:ascii="宋体" w:hAnsi="宋体" w:eastAsia="宋体"/>
                <w:b w:val="0"/>
                <w:sz w:val="24"/>
              </w:rPr>
              <w:t>完成1</w:t>
            </w:r>
            <w:r>
              <w:rPr>
                <w:rFonts w:hint="eastAsia" w:ascii="宋体" w:hAnsi="宋体" w:eastAsia="宋体"/>
                <w:b w:val="0"/>
                <w:sz w:val="24"/>
                <w:lang w:val="en-US" w:eastAsia="zh-CN"/>
              </w:rPr>
              <w:t>2</w:t>
            </w:r>
            <w:r>
              <w:rPr>
                <w:rFonts w:ascii="宋体" w:hAnsi="宋体" w:eastAsia="宋体"/>
                <w:b w:val="0"/>
                <w:sz w:val="24"/>
              </w:rPr>
              <w:t>次月度巡检后一次性无息付清</w:t>
            </w:r>
            <w:r>
              <w:rPr>
                <w:rFonts w:hint="eastAsia" w:asciiTheme="minorEastAsia" w:hAnsiTheme="minorEastAsia" w:eastAsiaTheme="minorEastAsia" w:cstheme="minorEastAsia"/>
                <w:bCs/>
                <w:color w:val="000000" w:themeColor="text1"/>
                <w:sz w:val="24"/>
                <w:szCs w:val="24"/>
                <w:u w:val="none"/>
                <w:shd w:val="clear" w:color="auto" w:fill="auto"/>
                <w14:textFill>
                  <w14:solidFill>
                    <w14:schemeClr w14:val="tx1"/>
                  </w14:solidFill>
                </w14:textFill>
              </w:rPr>
              <w:t>，乙方按税务规定向甲方开具合适的发票</w:t>
            </w:r>
            <w:r>
              <w:rPr>
                <w:rFonts w:ascii="宋体" w:hAnsi="宋体" w:eastAsia="宋体"/>
                <w:b w:val="0"/>
                <w:sz w:val="24"/>
              </w:rPr>
              <w:t>（未通过审查业主将不予支付合同价款，损失由中标人承担）</w:t>
            </w:r>
            <w:r>
              <w:rPr>
                <w:rFonts w:hint="eastAsia" w:asciiTheme="minorEastAsia" w:hAnsiTheme="minorEastAsia" w:eastAsiaTheme="minorEastAsia" w:cstheme="minorEastAsia"/>
                <w:color w:val="000000" w:themeColor="text1"/>
                <w:sz w:val="24"/>
                <w:szCs w:val="24"/>
                <w:u w:val="none"/>
                <w:shd w:val="clear" w:color="auto" w:fill="auto"/>
                <w14:textFill>
                  <w14:solidFill>
                    <w14:schemeClr w14:val="tx1"/>
                  </w14:solidFill>
                </w14:textFill>
              </w:rPr>
              <w:t>。</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ind w:right="102"/>
              <w:jc w:val="cente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8</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 xml:space="preserve">接受  </w:t>
            </w:r>
            <w:r>
              <w:rPr>
                <w:rFonts w:hint="eastAsia" w:asciiTheme="minorEastAsia" w:hAnsiTheme="minorEastAsia" w:eastAsiaTheme="minorEastAsia" w:cstheme="minorEastAsia"/>
                <w:b/>
                <w:bCs/>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9</w:t>
            </w:r>
          </w:p>
        </w:tc>
        <w:tc>
          <w:tcPr>
            <w:tcW w:w="1447"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服务地点</w:t>
            </w:r>
          </w:p>
        </w:tc>
        <w:tc>
          <w:tcPr>
            <w:tcW w:w="7223" w:type="dxa"/>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10</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7223" w:type="dxa"/>
            <w:vAlign w:val="center"/>
          </w:tcPr>
          <w:p>
            <w:pPr>
              <w:spacing w:line="500" w:lineRule="exact"/>
              <w:rPr>
                <w:rFonts w:hint="default" w:asciiTheme="minorEastAsia" w:hAnsiTheme="minorEastAsia" w:eastAsiaTheme="minorEastAsia" w:cstheme="minorEastAsia"/>
                <w:color w:val="000000" w:themeColor="text1"/>
                <w:sz w:val="24"/>
                <w:szCs w:val="24"/>
                <w:shd w:val="clear" w:color="auto" w:fill="auto"/>
                <w:lang w:val="en-US"/>
                <w14:textFill>
                  <w14:solidFill>
                    <w14:schemeClr w14:val="tx1"/>
                  </w14:solidFill>
                </w14:textFill>
              </w:rPr>
            </w:pPr>
            <w:r>
              <w:rPr>
                <w:rFonts w:hint="eastAsia" w:ascii="宋体" w:hAnsi="宋体" w:eastAsia="宋体"/>
                <w:b w:val="0"/>
                <w:sz w:val="24"/>
                <w:lang w:val="en-US" w:eastAsia="zh-CN"/>
              </w:rPr>
              <w:t>合同签订后一年，暂定服务期为2025年</w:t>
            </w:r>
            <w:r>
              <w:rPr>
                <w:rFonts w:hint="eastAsia" w:hAnsi="宋体"/>
                <w:b w:val="0"/>
                <w:sz w:val="24"/>
                <w:lang w:val="en-US" w:eastAsia="zh-CN"/>
              </w:rPr>
              <w:t>8</w:t>
            </w:r>
            <w:r>
              <w:rPr>
                <w:rFonts w:hint="eastAsia" w:ascii="宋体" w:hAnsi="宋体" w:eastAsia="宋体"/>
                <w:b w:val="0"/>
                <w:sz w:val="24"/>
                <w:lang w:val="en-US" w:eastAsia="zh-CN"/>
              </w:rPr>
              <w:t>月31日-2026年</w:t>
            </w:r>
            <w:r>
              <w:rPr>
                <w:rFonts w:hint="eastAsia" w:hAnsi="宋体"/>
                <w:b w:val="0"/>
                <w:sz w:val="24"/>
                <w:lang w:val="en-US" w:eastAsia="zh-CN"/>
              </w:rPr>
              <w:t>8</w:t>
            </w:r>
            <w:r>
              <w:rPr>
                <w:rFonts w:hint="eastAsia" w:ascii="宋体" w:hAnsi="宋体" w:eastAsia="宋体"/>
                <w:b w:val="0"/>
                <w:sz w:val="24"/>
                <w:lang w:val="en-US" w:eastAsia="zh-CN"/>
              </w:rPr>
              <w:t>月31日，具体以合同签订的服务起始时间为准。合同到期前，经双方协商无异议，且资金落实的情况下，可续签一年，最多续签2次，</w:t>
            </w:r>
            <w:r>
              <w:rPr>
                <w:rFonts w:hint="eastAsia" w:ascii="宋体" w:hAnsi="宋体" w:eastAsia="宋体"/>
                <w:b w:val="0"/>
                <w:sz w:val="24"/>
                <w:highlight w:val="none"/>
                <w:lang w:val="en-US" w:eastAsia="zh-CN"/>
              </w:rPr>
              <w:t>续签金额不超过合同暂定价</w:t>
            </w:r>
            <w:r>
              <w:rPr>
                <w:rFonts w:hint="eastAsia" w:hAnsi="宋体"/>
                <w:b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踏勘现场</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自行踏勘</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 xml:space="preserve">  □采购人</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w:t>
            </w:r>
          </w:p>
        </w:tc>
        <w:tc>
          <w:tcPr>
            <w:tcW w:w="7223" w:type="dxa"/>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23" w:type="dxa"/>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14</w:t>
            </w:r>
          </w:p>
        </w:tc>
        <w:tc>
          <w:tcPr>
            <w:tcW w:w="1447"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本项目是否要求本地化服务能力：</w:t>
            </w:r>
            <w:r>
              <w:rPr>
                <w:rFonts w:hint="eastAsia" w:asciiTheme="minorEastAsia" w:hAnsiTheme="minorEastAsia" w:eastAsiaTheme="minorEastAsia" w:cstheme="minorEastAsia"/>
                <w:b/>
                <w:bCs/>
                <w:color w:val="000000" w:themeColor="text1"/>
                <w:sz w:val="24"/>
                <w:szCs w:val="24"/>
                <w:u w:val="single"/>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要求□不要求</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本地化服务的能力是指具有以下条件之一：</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1）在本地具有固定的办公场所及人员；</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2）在本地注册成立的；</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3）承诺成交即设立本地化服务机构。</w:t>
            </w:r>
          </w:p>
          <w:p>
            <w:pPr>
              <w:spacing w:line="500" w:lineRule="exact"/>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675" w:type="dxa"/>
            <w:vAlign w:val="center"/>
          </w:tcPr>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tc>
        <w:tc>
          <w:tcPr>
            <w:tcW w:w="7223" w:type="dxa"/>
            <w:vAlign w:val="center"/>
          </w:tcPr>
          <w:p>
            <w:pPr>
              <w:rPr>
                <w:rFonts w:hint="eastAsia" w:asciiTheme="minorEastAsia" w:hAnsiTheme="minorEastAsia" w:eastAsiaTheme="minorEastAsia" w:cstheme="minorEastAsia"/>
                <w:sz w:val="24"/>
                <w:szCs w:val="24"/>
              </w:rPr>
            </w:pPr>
            <w:r>
              <w:rPr>
                <w:rFonts w:hint="eastAsia" w:cs="@仿宋_GB2312" w:asciiTheme="minorEastAsia" w:hAnsiTheme="minorEastAsia" w:eastAsiaTheme="minorEastAsia"/>
                <w:b w:val="0"/>
                <w:bCs w:val="0"/>
                <w:kern w:val="2"/>
                <w:sz w:val="24"/>
                <w:szCs w:val="20"/>
                <w:lang w:val="en-US" w:eastAsia="zh-CN" w:bidi="ar-SA"/>
              </w:rPr>
              <w:t>自2020年1月1日以来（以合同签订日期为准），供应商具有城市桥梁定期检测或城市桥梁经常性检查（日常巡查）业绩</w:t>
            </w:r>
          </w:p>
        </w:tc>
      </w:tr>
    </w:tbl>
    <w:p>
      <w:pPr>
        <w:pStyle w:val="7"/>
        <w:numPr>
          <w:ilvl w:val="0"/>
          <w:numId w:val="0"/>
        </w:numPr>
        <w:spacing w:before="260" w:after="260" w:line="500" w:lineRule="exact"/>
        <w:jc w:val="both"/>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bookmarkStart w:id="10" w:name="_Toc527131323"/>
      <w:bookmarkStart w:id="11" w:name="_Toc527117258"/>
      <w: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2"/>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5"/>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shd w:val="clear" w:color="auto" w:fill="auto"/>
          <w:lang w:val="en-US" w:eastAsia="zh-CN"/>
          <w14:textFill>
            <w14:solidFill>
              <w14:schemeClr w14:val="tx1"/>
            </w14:solidFill>
          </w14:textFill>
        </w:rPr>
      </w:pPr>
    </w:p>
    <w:p>
      <w:pPr>
        <w:pStyle w:val="2"/>
        <w:rPr>
          <w:rFonts w:hint="eastAsia"/>
          <w:lang w:val="en-US" w:eastAsia="zh-CN"/>
        </w:rPr>
      </w:pPr>
    </w:p>
    <w:bookmarkEnd w:id="10"/>
    <w:bookmarkEnd w:id="11"/>
    <w:p>
      <w:pPr>
        <w:pStyle w:val="7"/>
        <w:numPr>
          <w:ilvl w:val="0"/>
          <w:numId w:val="0"/>
        </w:numPr>
        <w:spacing w:before="260" w:after="260" w:line="500" w:lineRule="exact"/>
        <w:jc w:val="both"/>
        <w:rPr>
          <w:rFonts w:hint="eastAsia"/>
        </w:rPr>
      </w:pPr>
      <w:bookmarkStart w:id="12" w:name="_GoBack"/>
      <w:bookmarkEnd w:id="12"/>
      <w:r>
        <w:rPr>
          <w:rFonts w:hint="eastAsia" w:asciiTheme="minorEastAsia" w:hAnsiTheme="minorEastAsia" w:cstheme="minorEastAsia"/>
          <w:color w:val="000000" w:themeColor="text1"/>
          <w:sz w:val="24"/>
          <w:szCs w:val="24"/>
          <w:highlight w:val="none"/>
          <w:shd w:val="clear" w:color="auto" w:fill="auto"/>
          <w:lang w:val="en-US" w:eastAsia="zh-CN"/>
          <w14:textFill>
            <w14:solidFill>
              <w14:schemeClr w14:val="tx1"/>
            </w14:solidFill>
          </w14:textFill>
        </w:rPr>
        <w:t>1、</w:t>
      </w:r>
      <w:r>
        <w:rPr>
          <w:rFonts w:hint="eastAsia" w:ascii="宋体" w:hAnsi="宋体" w:eastAsia="宋体"/>
          <w:b/>
          <w:bCs w:val="0"/>
          <w:sz w:val="24"/>
          <w:szCs w:val="18"/>
        </w:rPr>
        <w:t>人员配备要求如下表：</w:t>
      </w:r>
    </w:p>
    <w:tbl>
      <w:tblPr>
        <w:tblStyle w:val="2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55"/>
        <w:gridCol w:w="705"/>
        <w:gridCol w:w="3660"/>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79"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分项名称</w:t>
            </w:r>
          </w:p>
        </w:tc>
        <w:tc>
          <w:tcPr>
            <w:tcW w:w="115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岗位</w:t>
            </w:r>
          </w:p>
        </w:tc>
        <w:tc>
          <w:tcPr>
            <w:tcW w:w="70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人数</w:t>
            </w:r>
          </w:p>
        </w:tc>
        <w:tc>
          <w:tcPr>
            <w:tcW w:w="3660"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基本要求</w:t>
            </w:r>
          </w:p>
        </w:tc>
        <w:tc>
          <w:tcPr>
            <w:tcW w:w="2056"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1179" w:type="dxa"/>
            <w:vMerge w:val="restart"/>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经常性检查、定期检测</w:t>
            </w:r>
          </w:p>
        </w:tc>
        <w:tc>
          <w:tcPr>
            <w:tcW w:w="115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项目负责人</w:t>
            </w:r>
          </w:p>
        </w:tc>
        <w:tc>
          <w:tcPr>
            <w:tcW w:w="70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1人</w:t>
            </w:r>
          </w:p>
        </w:tc>
        <w:tc>
          <w:tcPr>
            <w:tcW w:w="3660" w:type="dxa"/>
            <w:vAlign w:val="center"/>
          </w:tcPr>
          <w:p>
            <w:pPr>
              <w:spacing w:line="360" w:lineRule="auto"/>
              <w:jc w:val="center"/>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同时具有以下证书：</w:t>
            </w:r>
          </w:p>
          <w:p>
            <w:pPr>
              <w:numPr>
                <w:ilvl w:val="0"/>
                <w:numId w:val="0"/>
              </w:numPr>
              <w:spacing w:line="360" w:lineRule="auto"/>
              <w:jc w:val="center"/>
              <w:rPr>
                <w:rFonts w:hint="eastAsia" w:ascii="宋体" w:hAnsi="宋体" w:eastAsia="宋体"/>
                <w:b w:val="0"/>
                <w:bCs/>
                <w:sz w:val="24"/>
                <w:szCs w:val="18"/>
                <w:lang w:eastAsia="zh-CN"/>
              </w:rPr>
            </w:pPr>
            <w:r>
              <w:rPr>
                <w:rFonts w:hint="eastAsia" w:ascii="宋体" w:hAnsi="宋体" w:eastAsia="宋体" w:cs="@仿宋_GB2312"/>
                <w:b w:val="0"/>
                <w:bCs/>
                <w:kern w:val="2"/>
                <w:sz w:val="24"/>
                <w:szCs w:val="18"/>
                <w:lang w:val="en-US" w:eastAsia="zh-CN" w:bidi="ar-SA"/>
              </w:rPr>
              <w:t>1.</w:t>
            </w:r>
            <w:r>
              <w:rPr>
                <w:rFonts w:hint="eastAsia" w:ascii="宋体" w:hAnsi="宋体" w:eastAsia="宋体"/>
                <w:b w:val="0"/>
                <w:bCs/>
                <w:sz w:val="24"/>
                <w:szCs w:val="18"/>
                <w:lang w:val="en-US" w:eastAsia="zh-CN"/>
              </w:rPr>
              <w:t>桥梁工程相关专业中级</w:t>
            </w:r>
            <w:r>
              <w:rPr>
                <w:rFonts w:hint="eastAsia" w:ascii="宋体" w:hAnsi="宋体" w:eastAsia="宋体"/>
                <w:b w:val="0"/>
                <w:bCs/>
                <w:sz w:val="24"/>
                <w:szCs w:val="18"/>
              </w:rPr>
              <w:t>及以上职称</w:t>
            </w:r>
            <w:r>
              <w:rPr>
                <w:rFonts w:hint="eastAsia" w:ascii="宋体" w:hAnsi="宋体" w:eastAsia="宋体"/>
                <w:b w:val="0"/>
                <w:bCs/>
                <w:sz w:val="24"/>
                <w:szCs w:val="18"/>
                <w:lang w:val="en-US" w:eastAsia="zh-CN"/>
              </w:rPr>
              <w:t>证书</w:t>
            </w:r>
            <w:r>
              <w:rPr>
                <w:rFonts w:hint="eastAsia" w:ascii="宋体" w:hAnsi="宋体" w:eastAsia="宋体"/>
                <w:b w:val="0"/>
                <w:bCs/>
                <w:sz w:val="24"/>
                <w:szCs w:val="18"/>
                <w:lang w:eastAsia="zh-CN"/>
              </w:rPr>
              <w:t>；</w:t>
            </w:r>
          </w:p>
          <w:p>
            <w:pPr>
              <w:numPr>
                <w:ilvl w:val="0"/>
                <w:numId w:val="0"/>
              </w:numPr>
              <w:spacing w:line="360" w:lineRule="auto"/>
              <w:jc w:val="center"/>
              <w:rPr>
                <w:rFonts w:hint="default" w:ascii="宋体" w:hAnsi="宋体" w:eastAsia="宋体"/>
                <w:b w:val="0"/>
                <w:bCs/>
                <w:sz w:val="24"/>
                <w:szCs w:val="18"/>
                <w:lang w:val="en-US"/>
              </w:rPr>
            </w:pPr>
            <w:r>
              <w:rPr>
                <w:rFonts w:hint="eastAsia" w:ascii="宋体" w:hAnsi="宋体" w:eastAsia="宋体"/>
                <w:b w:val="0"/>
                <w:bCs/>
                <w:sz w:val="24"/>
                <w:szCs w:val="18"/>
                <w:lang w:val="en-US" w:eastAsia="zh-CN"/>
              </w:rPr>
              <w:t>2.</w:t>
            </w:r>
            <w:r>
              <w:rPr>
                <w:rFonts w:hint="eastAsia" w:ascii="宋体" w:hAnsi="宋体" w:eastAsia="宋体"/>
                <w:b w:val="0"/>
                <w:bCs/>
                <w:sz w:val="24"/>
                <w:szCs w:val="18"/>
              </w:rPr>
              <w:t>公路水运工程试验检测师证书</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桥梁隧道专业）或试验检测工程师证书</w:t>
            </w:r>
          </w:p>
        </w:tc>
        <w:tc>
          <w:tcPr>
            <w:tcW w:w="2056" w:type="dxa"/>
            <w:vMerge w:val="restart"/>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lang w:val="en-US" w:eastAsia="zh-CN"/>
              </w:rPr>
              <w:t>响应</w:t>
            </w:r>
            <w:r>
              <w:rPr>
                <w:rFonts w:hint="eastAsia" w:ascii="宋体" w:hAnsi="宋体" w:eastAsia="宋体"/>
                <w:b w:val="0"/>
                <w:bCs/>
                <w:sz w:val="24"/>
                <w:szCs w:val="18"/>
              </w:rPr>
              <w:t>文件中须同时提供</w:t>
            </w:r>
            <w:r>
              <w:rPr>
                <w:rFonts w:hint="eastAsia" w:ascii="宋体" w:hAnsi="宋体" w:eastAsia="宋体"/>
                <w:b w:val="0"/>
                <w:bCs/>
                <w:sz w:val="24"/>
                <w:szCs w:val="18"/>
                <w:lang w:val="en-US" w:eastAsia="zh-CN"/>
              </w:rPr>
              <w:t>项目负责人相关证书扫描件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continue"/>
            <w:vAlign w:val="center"/>
          </w:tcPr>
          <w:p>
            <w:pPr>
              <w:spacing w:line="360" w:lineRule="auto"/>
              <w:jc w:val="center"/>
              <w:rPr>
                <w:rFonts w:hint="eastAsia" w:ascii="宋体" w:hAnsi="宋体" w:eastAsia="宋体"/>
                <w:b w:val="0"/>
                <w:bCs/>
                <w:sz w:val="24"/>
                <w:szCs w:val="18"/>
              </w:rPr>
            </w:pPr>
          </w:p>
        </w:tc>
        <w:tc>
          <w:tcPr>
            <w:tcW w:w="115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rPr>
              <w:t>经常性检查、定期检测人员</w:t>
            </w:r>
          </w:p>
        </w:tc>
        <w:tc>
          <w:tcPr>
            <w:tcW w:w="705" w:type="dxa"/>
            <w:vAlign w:val="center"/>
          </w:tcPr>
          <w:p>
            <w:pPr>
              <w:spacing w:line="360" w:lineRule="auto"/>
              <w:jc w:val="center"/>
              <w:rPr>
                <w:rFonts w:hint="eastAsia" w:ascii="宋体" w:hAnsi="宋体" w:eastAsia="宋体"/>
                <w:b w:val="0"/>
                <w:bCs/>
                <w:sz w:val="24"/>
                <w:szCs w:val="18"/>
              </w:rPr>
            </w:pPr>
            <w:r>
              <w:rPr>
                <w:rFonts w:hint="eastAsia" w:ascii="宋体" w:hAnsi="宋体" w:eastAsia="宋体"/>
                <w:b w:val="0"/>
                <w:bCs/>
                <w:sz w:val="24"/>
                <w:szCs w:val="18"/>
                <w:lang w:val="en-US" w:eastAsia="zh-CN"/>
              </w:rPr>
              <w:t>6</w:t>
            </w:r>
            <w:r>
              <w:rPr>
                <w:rFonts w:hint="eastAsia" w:ascii="宋体" w:hAnsi="宋体" w:eastAsia="宋体"/>
                <w:b w:val="0"/>
                <w:bCs/>
                <w:sz w:val="24"/>
                <w:szCs w:val="18"/>
              </w:rPr>
              <w:t>人</w:t>
            </w:r>
          </w:p>
        </w:tc>
        <w:tc>
          <w:tcPr>
            <w:tcW w:w="3660" w:type="dxa"/>
            <w:vAlign w:val="center"/>
          </w:tcPr>
          <w:p>
            <w:pPr>
              <w:spacing w:line="360" w:lineRule="auto"/>
              <w:jc w:val="center"/>
              <w:rPr>
                <w:rFonts w:hint="eastAsia" w:ascii="宋体" w:hAnsi="宋体" w:eastAsia="宋体"/>
                <w:b w:val="0"/>
                <w:bCs/>
                <w:sz w:val="24"/>
                <w:szCs w:val="18"/>
                <w:lang w:val="en-US" w:eastAsia="zh-CN"/>
              </w:rPr>
            </w:pPr>
            <w:r>
              <w:rPr>
                <w:rFonts w:hint="eastAsia" w:ascii="宋体" w:hAnsi="宋体" w:eastAsia="宋体"/>
                <w:b w:val="0"/>
                <w:bCs/>
                <w:sz w:val="24"/>
                <w:szCs w:val="18"/>
                <w:lang w:val="en-US" w:eastAsia="zh-CN"/>
              </w:rPr>
              <w:t>同时下列证书之一：</w:t>
            </w:r>
          </w:p>
          <w:p>
            <w:pPr>
              <w:numPr>
                <w:ilvl w:val="0"/>
                <w:numId w:val="0"/>
              </w:numPr>
              <w:spacing w:line="360" w:lineRule="auto"/>
              <w:jc w:val="center"/>
              <w:rPr>
                <w:rFonts w:hint="eastAsia" w:ascii="宋体" w:hAnsi="宋体" w:eastAsia="宋体"/>
                <w:b w:val="0"/>
                <w:bCs/>
                <w:sz w:val="24"/>
                <w:szCs w:val="18"/>
                <w:lang w:val="en-US" w:eastAsia="zh-CN"/>
              </w:rPr>
            </w:pPr>
            <w:r>
              <w:rPr>
                <w:rFonts w:hint="eastAsia" w:ascii="宋体" w:hAnsi="宋体" w:eastAsia="宋体" w:cs="@仿宋_GB2312"/>
                <w:b w:val="0"/>
                <w:bCs/>
                <w:kern w:val="2"/>
                <w:sz w:val="24"/>
                <w:szCs w:val="18"/>
                <w:lang w:val="en-US" w:eastAsia="zh-CN" w:bidi="ar-SA"/>
              </w:rPr>
              <w:t>1.</w:t>
            </w:r>
            <w:r>
              <w:rPr>
                <w:rFonts w:hint="eastAsia" w:ascii="宋体" w:hAnsi="宋体" w:eastAsia="宋体"/>
                <w:b w:val="0"/>
                <w:bCs/>
                <w:sz w:val="24"/>
                <w:szCs w:val="18"/>
              </w:rPr>
              <w:t>公路水运工程助理试验检测师</w:t>
            </w:r>
            <w:r>
              <w:rPr>
                <w:rFonts w:hint="eastAsia" w:ascii="宋体" w:hAnsi="宋体" w:eastAsia="宋体"/>
                <w:b w:val="0"/>
                <w:bCs/>
                <w:sz w:val="24"/>
                <w:szCs w:val="18"/>
                <w:lang w:val="en-US" w:eastAsia="zh-CN"/>
              </w:rPr>
              <w:t>及以上证书（桥梁隧道专业）</w:t>
            </w:r>
          </w:p>
          <w:p>
            <w:pPr>
              <w:numPr>
                <w:ilvl w:val="0"/>
                <w:numId w:val="0"/>
              </w:numPr>
              <w:spacing w:line="360" w:lineRule="auto"/>
              <w:jc w:val="center"/>
              <w:rPr>
                <w:rFonts w:hint="eastAsia" w:ascii="宋体" w:hAnsi="宋体" w:eastAsia="宋体"/>
                <w:b w:val="0"/>
                <w:bCs/>
                <w:sz w:val="24"/>
                <w:szCs w:val="18"/>
              </w:rPr>
            </w:pPr>
            <w:r>
              <w:rPr>
                <w:rFonts w:hint="eastAsia" w:ascii="宋体" w:hAnsi="宋体" w:eastAsia="宋体" w:cs="@仿宋_GB2312"/>
                <w:b w:val="0"/>
                <w:bCs/>
                <w:kern w:val="2"/>
                <w:sz w:val="24"/>
                <w:szCs w:val="18"/>
                <w:lang w:val="en-US" w:eastAsia="zh-CN" w:bidi="ar-SA"/>
              </w:rPr>
              <w:t>2.</w:t>
            </w:r>
            <w:r>
              <w:rPr>
                <w:rFonts w:hint="eastAsia" w:ascii="宋体" w:hAnsi="宋体" w:eastAsia="宋体"/>
                <w:b w:val="0"/>
                <w:bCs/>
                <w:sz w:val="24"/>
                <w:szCs w:val="18"/>
                <w:lang w:val="en-US" w:eastAsia="zh-CN"/>
              </w:rPr>
              <w:t>助理试验检测工程师及以上证书</w:t>
            </w:r>
          </w:p>
        </w:tc>
        <w:tc>
          <w:tcPr>
            <w:tcW w:w="2056" w:type="dxa"/>
            <w:vMerge w:val="continue"/>
            <w:vAlign w:val="center"/>
          </w:tcPr>
          <w:p>
            <w:pPr>
              <w:spacing w:line="360" w:lineRule="auto"/>
              <w:ind w:firstLine="480" w:firstLineChars="200"/>
              <w:rPr>
                <w:rFonts w:hint="eastAsia" w:ascii="宋体" w:hAnsi="宋体" w:eastAsia="宋体"/>
                <w:b w:val="0"/>
                <w:bCs/>
                <w:sz w:val="24"/>
                <w:szCs w:val="18"/>
              </w:rPr>
            </w:pPr>
          </w:p>
        </w:tc>
      </w:tr>
    </w:tbl>
    <w:p>
      <w:pPr>
        <w:spacing w:line="360" w:lineRule="auto"/>
        <w:ind w:firstLine="480" w:firstLineChars="200"/>
        <w:rPr>
          <w:rFonts w:hint="eastAsia" w:ascii="宋体" w:hAnsi="宋体" w:eastAsia="宋体"/>
          <w:b w:val="0"/>
          <w:bCs/>
          <w:sz w:val="24"/>
          <w:szCs w:val="18"/>
          <w:highlight w:val="none"/>
        </w:rPr>
      </w:pPr>
      <w:r>
        <w:rPr>
          <w:rFonts w:hint="eastAsia" w:ascii="宋体" w:hAnsi="宋体" w:eastAsia="宋体"/>
          <w:b w:val="0"/>
          <w:bCs/>
          <w:sz w:val="24"/>
          <w:szCs w:val="18"/>
        </w:rPr>
        <w:t>项目</w:t>
      </w:r>
      <w:r>
        <w:rPr>
          <w:rFonts w:hint="eastAsia" w:ascii="宋体" w:hAnsi="宋体" w:eastAsia="宋体"/>
          <w:b w:val="0"/>
          <w:bCs/>
          <w:sz w:val="24"/>
          <w:szCs w:val="18"/>
          <w:highlight w:val="none"/>
        </w:rPr>
        <w:t>负责人作为初审项</w:t>
      </w:r>
      <w:r>
        <w:rPr>
          <w:rFonts w:hint="eastAsia" w:ascii="宋体" w:hAnsi="宋体" w:eastAsia="宋体"/>
          <w:b w:val="0"/>
          <w:bCs/>
          <w:sz w:val="24"/>
          <w:szCs w:val="18"/>
          <w:highlight w:val="none"/>
          <w:lang w:eastAsia="zh-CN"/>
        </w:rPr>
        <w:t>，</w:t>
      </w:r>
      <w:r>
        <w:rPr>
          <w:rFonts w:hint="eastAsia" w:ascii="宋体" w:hAnsi="宋体" w:eastAsia="宋体"/>
          <w:b w:val="0"/>
          <w:bCs/>
          <w:sz w:val="24"/>
          <w:szCs w:val="18"/>
          <w:highlight w:val="none"/>
          <w:lang w:val="en-US" w:eastAsia="zh-CN"/>
        </w:rPr>
        <w:t>其他人员相关证书扫描件无需在响应文件中提供，合同签订后由采购人核查</w:t>
      </w:r>
      <w:r>
        <w:rPr>
          <w:rFonts w:hint="eastAsia" w:ascii="宋体" w:hAnsi="宋体" w:eastAsia="宋体"/>
          <w:b w:val="0"/>
          <w:bCs/>
          <w:sz w:val="24"/>
          <w:szCs w:val="18"/>
          <w:highlight w:val="none"/>
        </w:rPr>
        <w:t>，</w:t>
      </w:r>
      <w:r>
        <w:rPr>
          <w:rFonts w:hint="eastAsia" w:ascii="宋体" w:hAnsi="宋体" w:eastAsia="宋体"/>
          <w:b w:val="0"/>
          <w:bCs/>
          <w:sz w:val="24"/>
          <w:szCs w:val="18"/>
          <w:highlight w:val="none"/>
          <w:lang w:val="en-US" w:eastAsia="zh-CN"/>
        </w:rPr>
        <w:t>若成交供应商无法配备相关人员，</w:t>
      </w:r>
      <w:r>
        <w:rPr>
          <w:rFonts w:hint="eastAsia" w:ascii="宋体" w:hAnsi="宋体" w:eastAsia="宋体"/>
          <w:b w:val="0"/>
          <w:bCs/>
          <w:sz w:val="24"/>
          <w:szCs w:val="18"/>
          <w:highlight w:val="none"/>
        </w:rPr>
        <w:t>采购人有权上报监督管理部门处理。另根据工作需要，</w:t>
      </w:r>
      <w:r>
        <w:rPr>
          <w:rFonts w:hint="eastAsia" w:ascii="宋体" w:hAnsi="宋体" w:eastAsia="宋体"/>
          <w:b w:val="0"/>
          <w:bCs/>
          <w:sz w:val="24"/>
          <w:szCs w:val="18"/>
          <w:highlight w:val="none"/>
          <w:lang w:eastAsia="zh-CN"/>
        </w:rPr>
        <w:t>采购人</w:t>
      </w:r>
      <w:r>
        <w:rPr>
          <w:rFonts w:hint="eastAsia" w:ascii="宋体" w:hAnsi="宋体" w:eastAsia="宋体"/>
          <w:b w:val="0"/>
          <w:bCs/>
          <w:sz w:val="24"/>
          <w:szCs w:val="18"/>
          <w:highlight w:val="none"/>
        </w:rPr>
        <w:t>有权要求</w:t>
      </w:r>
      <w:r>
        <w:rPr>
          <w:rFonts w:hint="eastAsia" w:ascii="宋体" w:hAnsi="宋体" w:eastAsia="宋体"/>
          <w:b w:val="0"/>
          <w:bCs/>
          <w:sz w:val="24"/>
          <w:szCs w:val="18"/>
          <w:highlight w:val="none"/>
          <w:lang w:eastAsia="zh-CN"/>
        </w:rPr>
        <w:t>成交供应商</w:t>
      </w:r>
      <w:r>
        <w:rPr>
          <w:rFonts w:hint="eastAsia" w:ascii="宋体" w:hAnsi="宋体" w:eastAsia="宋体"/>
          <w:b w:val="0"/>
          <w:bCs/>
          <w:sz w:val="24"/>
          <w:szCs w:val="18"/>
          <w:highlight w:val="none"/>
        </w:rPr>
        <w:t>增加相关作业人员。</w:t>
      </w:r>
    </w:p>
    <w:p>
      <w:pPr>
        <w:spacing w:line="360" w:lineRule="auto"/>
        <w:rPr>
          <w:rFonts w:hint="eastAsia" w:eastAsia="宋体"/>
          <w:lang w:val="en-US" w:eastAsia="zh-CN"/>
        </w:rPr>
      </w:pPr>
      <w:r>
        <w:rPr>
          <w:rFonts w:hint="eastAsia" w:ascii="宋体" w:hAnsi="宋体" w:eastAsia="宋体"/>
          <w:b w:val="0"/>
          <w:bCs/>
          <w:sz w:val="24"/>
          <w:szCs w:val="18"/>
          <w:highlight w:val="none"/>
          <w:lang w:val="en-US" w:eastAsia="zh-CN"/>
        </w:rPr>
        <w:t>2、</w:t>
      </w:r>
      <w:r>
        <w:rPr>
          <w:rFonts w:hint="eastAsia" w:ascii="宋体" w:hAnsi="宋体" w:eastAsia="宋体"/>
          <w:b w:val="0"/>
          <w:bCs/>
          <w:sz w:val="24"/>
          <w:szCs w:val="18"/>
          <w:lang w:eastAsia="zh-CN"/>
        </w:rPr>
        <w:t>成交供应商</w:t>
      </w:r>
      <w:r>
        <w:rPr>
          <w:rFonts w:hint="eastAsia" w:ascii="宋体" w:hAnsi="宋体" w:eastAsia="宋体"/>
          <w:b w:val="0"/>
          <w:bCs/>
          <w:sz w:val="24"/>
          <w:szCs w:val="18"/>
        </w:rPr>
        <w:t>未在规定时间配备</w:t>
      </w:r>
      <w:r>
        <w:rPr>
          <w:rFonts w:hint="eastAsia" w:ascii="宋体" w:hAnsi="宋体" w:eastAsia="宋体"/>
          <w:b w:val="0"/>
          <w:bCs/>
          <w:sz w:val="24"/>
          <w:szCs w:val="18"/>
          <w:lang w:eastAsia="zh-CN"/>
        </w:rPr>
        <w:t>响应文件</w:t>
      </w:r>
      <w:r>
        <w:rPr>
          <w:rFonts w:hint="eastAsia" w:ascii="宋体" w:hAnsi="宋体" w:eastAsia="宋体"/>
          <w:b w:val="0"/>
          <w:bCs/>
          <w:sz w:val="24"/>
          <w:szCs w:val="18"/>
        </w:rPr>
        <w:t>承诺</w:t>
      </w:r>
      <w:r>
        <w:rPr>
          <w:rFonts w:hint="eastAsia" w:ascii="宋体" w:hAnsi="宋体" w:eastAsia="宋体"/>
          <w:b w:val="0"/>
          <w:bCs/>
          <w:sz w:val="24"/>
          <w:szCs w:val="18"/>
          <w:lang w:val="en-US" w:eastAsia="zh-CN"/>
        </w:rPr>
        <w:t>的</w:t>
      </w:r>
      <w:r>
        <w:rPr>
          <w:rFonts w:hint="eastAsia" w:ascii="宋体" w:hAnsi="宋体" w:eastAsia="宋体"/>
          <w:b w:val="0"/>
          <w:bCs/>
          <w:sz w:val="24"/>
          <w:szCs w:val="18"/>
        </w:rPr>
        <w:t>人员的，需承担相应的违约金，其中项目负责人未到</w:t>
      </w:r>
      <w:r>
        <w:rPr>
          <w:rFonts w:hint="eastAsia" w:ascii="宋体" w:hAnsi="宋体" w:eastAsia="宋体"/>
          <w:b w:val="0"/>
          <w:bCs/>
          <w:sz w:val="24"/>
          <w:szCs w:val="18"/>
          <w:highlight w:val="none"/>
        </w:rPr>
        <w:t>位的5000元/天，其他技术人员等未到位的2000元/</w:t>
      </w:r>
      <w:r>
        <w:rPr>
          <w:rFonts w:hint="eastAsia" w:ascii="宋体" w:hAnsi="宋体" w:eastAsia="宋体"/>
          <w:b w:val="0"/>
          <w:bCs/>
          <w:sz w:val="24"/>
          <w:szCs w:val="18"/>
          <w:highlight w:val="none"/>
          <w:lang w:val="en-US" w:eastAsia="zh-CN"/>
        </w:rPr>
        <w:t>人/</w:t>
      </w:r>
      <w:r>
        <w:rPr>
          <w:rFonts w:hint="eastAsia" w:ascii="宋体" w:hAnsi="宋体" w:eastAsia="宋体"/>
          <w:b w:val="0"/>
          <w:bCs/>
          <w:sz w:val="24"/>
          <w:szCs w:val="18"/>
          <w:highlight w:val="none"/>
        </w:rPr>
        <w:t>天。5</w:t>
      </w:r>
      <w:r>
        <w:rPr>
          <w:rFonts w:hint="eastAsia" w:ascii="宋体" w:hAnsi="宋体" w:eastAsia="宋体"/>
          <w:b w:val="0"/>
          <w:bCs/>
          <w:sz w:val="24"/>
          <w:szCs w:val="18"/>
          <w:highlight w:val="none"/>
          <w:lang w:val="en-US" w:eastAsia="zh-CN"/>
        </w:rPr>
        <w:t>个</w:t>
      </w:r>
      <w:r>
        <w:rPr>
          <w:rFonts w:hint="eastAsia" w:ascii="宋体" w:hAnsi="宋体" w:eastAsia="宋体"/>
          <w:b w:val="0"/>
          <w:bCs/>
          <w:sz w:val="24"/>
          <w:szCs w:val="18"/>
          <w:highlight w:val="none"/>
        </w:rPr>
        <w:t>日历日</w:t>
      </w:r>
      <w:r>
        <w:rPr>
          <w:rFonts w:hint="eastAsia" w:ascii="宋体" w:hAnsi="宋体" w:eastAsia="宋体"/>
          <w:b w:val="0"/>
          <w:bCs/>
          <w:sz w:val="24"/>
          <w:szCs w:val="18"/>
        </w:rPr>
        <w:t>内仍未配齐的</w:t>
      </w:r>
      <w:r>
        <w:rPr>
          <w:rFonts w:hint="eastAsia" w:ascii="宋体" w:hAnsi="宋体" w:eastAsia="宋体"/>
          <w:b w:val="0"/>
          <w:bCs/>
          <w:sz w:val="24"/>
          <w:szCs w:val="18"/>
          <w:lang w:eastAsia="zh-CN"/>
        </w:rPr>
        <w:t>，</w:t>
      </w:r>
      <w:r>
        <w:rPr>
          <w:rFonts w:hint="eastAsia" w:ascii="宋体" w:hAnsi="宋体" w:eastAsia="宋体"/>
          <w:b w:val="0"/>
          <w:bCs/>
          <w:sz w:val="24"/>
          <w:szCs w:val="18"/>
          <w:lang w:val="en-US" w:eastAsia="zh-CN"/>
        </w:rPr>
        <w:t>采购人有权追究违约责任。</w:t>
      </w:r>
    </w:p>
    <w:p>
      <w:pPr>
        <w:adjustRightInd w:val="0"/>
        <w:snapToGrid w:val="0"/>
        <w:spacing w:line="360" w:lineRule="auto"/>
        <w:jc w:val="left"/>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本项目最高限价为</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28.88</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万元，投标人的总价不得超过</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28.88</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万元，否则投标无效。</w:t>
      </w:r>
    </w:p>
    <w:p>
      <w:pPr>
        <w:pStyle w:val="6"/>
        <w:spacing w:before="30" w:line="355" w:lineRule="auto"/>
        <w:ind w:left="0" w:leftChars="0" w:right="240" w:firstLine="0" w:firstLine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themeColor="text1"/>
          <w:spacing w:val="-2"/>
          <w:sz w:val="24"/>
          <w:szCs w:val="24"/>
          <w:shd w:val="clear" w:color="auto" w:fill="auto"/>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2"/>
          <w:sz w:val="24"/>
          <w:szCs w:val="24"/>
          <w:shd w:val="clear" w:color="auto" w:fill="auto"/>
          <w:lang w:eastAsia="zh-CN"/>
          <w14:textFill>
            <w14:solidFill>
              <w14:schemeClr w14:val="tx1"/>
            </w14:solidFill>
          </w14:textFill>
        </w:rPr>
        <w:t>、投标人所报单价在合同实施期间不因市场变化因素而变动。投标人一旦中标，须按招标</w:t>
      </w: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文</w:t>
      </w:r>
      <w:r>
        <w:rPr>
          <w:rFonts w:hint="eastAsia" w:asciiTheme="minorEastAsia" w:hAnsiTheme="minorEastAsia" w:eastAsiaTheme="minorEastAsia" w:cstheme="minorEastAsia"/>
          <w:color w:val="000000" w:themeColor="text1"/>
          <w:sz w:val="24"/>
          <w:szCs w:val="24"/>
          <w:highlight w:val="none"/>
          <w:shd w:val="clear" w:color="auto" w:fill="auto"/>
          <w:lang w:eastAsia="zh-CN"/>
          <w14:textFill>
            <w14:solidFill>
              <w14:schemeClr w14:val="tx1"/>
            </w14:solidFill>
          </w14:textFill>
        </w:rPr>
        <w:t xml:space="preserve">件及招标人要求完成项目内容，不得以任何理由提出增加单价费用的要求。 </w:t>
      </w:r>
    </w:p>
    <w:p>
      <w:pPr>
        <w:pStyle w:val="6"/>
        <w:spacing w:before="32" w:line="357" w:lineRule="auto"/>
        <w:ind w:left="0" w:leftChars="0" w:right="160" w:firstLine="0" w:firstLineChars="0"/>
        <w:jc w:val="both"/>
        <w:rPr>
          <w:rFonts w:hint="eastAsia" w:ascii="Times New Roman" w:hAnsi="Times New Roman" w:eastAsia="宋体" w:cs="Times New Roman"/>
          <w:b w:val="0"/>
          <w:bCs w:val="0"/>
          <w:color w:val="auto"/>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5</w:t>
      </w:r>
      <w:r>
        <w:rPr>
          <w:rFonts w:hint="eastAsia" w:asciiTheme="minorEastAsia" w:hAnsiTheme="minorEastAsia" w:eastAsiaTheme="minorEastAsia" w:cstheme="minorEastAsia"/>
          <w:spacing w:val="-2"/>
          <w:sz w:val="24"/>
          <w:szCs w:val="24"/>
          <w:highlight w:val="none"/>
          <w:lang w:eastAsia="zh-CN"/>
        </w:rPr>
        <w:t>、招标人</w:t>
      </w:r>
      <w:r>
        <w:rPr>
          <w:rFonts w:hint="eastAsia" w:asciiTheme="minorEastAsia" w:hAnsiTheme="minorEastAsia" w:eastAsiaTheme="minorEastAsia" w:cstheme="minorEastAsia"/>
          <w:spacing w:val="-2"/>
          <w:sz w:val="24"/>
          <w:szCs w:val="24"/>
          <w:lang w:eastAsia="zh-CN"/>
        </w:rPr>
        <w:t>在中国境内使用投标设备、资料、技术、服务或其任何一部分时，享有不受限制</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的无偿使用权，不会产生因第三方提出侵犯其专利权、商标权或其它知识产权而引起的法律或</w:t>
      </w:r>
      <w:r>
        <w:rPr>
          <w:rFonts w:hint="eastAsia" w:asciiTheme="minorEastAsia" w:hAnsiTheme="minorEastAsia" w:eastAsiaTheme="minorEastAsia" w:cstheme="minorEastAsia"/>
          <w:spacing w:val="-28"/>
          <w:sz w:val="24"/>
          <w:szCs w:val="24"/>
          <w:lang w:eastAsia="zh-CN"/>
        </w:rPr>
        <w:t xml:space="preserve"> </w:t>
      </w:r>
      <w:r>
        <w:rPr>
          <w:rFonts w:hint="eastAsia" w:asciiTheme="minorEastAsia" w:hAnsiTheme="minorEastAsia" w:eastAsiaTheme="minorEastAsia" w:cstheme="minorEastAsia"/>
          <w:spacing w:val="-2"/>
          <w:sz w:val="24"/>
          <w:szCs w:val="24"/>
          <w:lang w:eastAsia="zh-CN"/>
        </w:rPr>
        <w:t>经济纠纷。</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293A5F"/>
    <w:rsid w:val="0B4E0F31"/>
    <w:rsid w:val="0B5F2C55"/>
    <w:rsid w:val="0CC51CA1"/>
    <w:rsid w:val="10C30FE8"/>
    <w:rsid w:val="12375F75"/>
    <w:rsid w:val="12E66D1C"/>
    <w:rsid w:val="132E7BF0"/>
    <w:rsid w:val="1474453F"/>
    <w:rsid w:val="147A6B5F"/>
    <w:rsid w:val="174F3E72"/>
    <w:rsid w:val="19371A3D"/>
    <w:rsid w:val="1B562B38"/>
    <w:rsid w:val="1BBE6F12"/>
    <w:rsid w:val="1BE340FE"/>
    <w:rsid w:val="1CD51C99"/>
    <w:rsid w:val="1EA9518B"/>
    <w:rsid w:val="1EF02DBA"/>
    <w:rsid w:val="229D0F23"/>
    <w:rsid w:val="24F1010E"/>
    <w:rsid w:val="2560638D"/>
    <w:rsid w:val="2888575B"/>
    <w:rsid w:val="288C7083"/>
    <w:rsid w:val="2A060596"/>
    <w:rsid w:val="2BCB60A1"/>
    <w:rsid w:val="2DC35BE2"/>
    <w:rsid w:val="2DFD6DA8"/>
    <w:rsid w:val="2F5C3B54"/>
    <w:rsid w:val="326170B4"/>
    <w:rsid w:val="3401034F"/>
    <w:rsid w:val="365F5108"/>
    <w:rsid w:val="38451629"/>
    <w:rsid w:val="39202096"/>
    <w:rsid w:val="3956631D"/>
    <w:rsid w:val="3977637C"/>
    <w:rsid w:val="39A323C9"/>
    <w:rsid w:val="3D0656AD"/>
    <w:rsid w:val="3D827E09"/>
    <w:rsid w:val="3D995F73"/>
    <w:rsid w:val="3DD40ACC"/>
    <w:rsid w:val="3E7A3FF6"/>
    <w:rsid w:val="3F7C42B6"/>
    <w:rsid w:val="40821E95"/>
    <w:rsid w:val="42331D89"/>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5E5A3B17"/>
    <w:rsid w:val="607071A1"/>
    <w:rsid w:val="65374BCA"/>
    <w:rsid w:val="6562740E"/>
    <w:rsid w:val="65FC1861"/>
    <w:rsid w:val="6610463D"/>
    <w:rsid w:val="662E5966"/>
    <w:rsid w:val="6747066A"/>
    <w:rsid w:val="699F737A"/>
    <w:rsid w:val="6B1A1662"/>
    <w:rsid w:val="6DEB7675"/>
    <w:rsid w:val="6EAC5D22"/>
    <w:rsid w:val="6F1E00AA"/>
    <w:rsid w:val="6FE07D2F"/>
    <w:rsid w:val="71DF2C74"/>
    <w:rsid w:val="73136DD6"/>
    <w:rsid w:val="73922BF0"/>
    <w:rsid w:val="73B72B30"/>
    <w:rsid w:val="744F5002"/>
    <w:rsid w:val="76271B88"/>
    <w:rsid w:val="76C41664"/>
    <w:rsid w:val="77AD62C7"/>
    <w:rsid w:val="792768C4"/>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8">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9">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10">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left="420" w:leftChars="200" w:firstLine="420" w:firstLineChars="200"/>
    </w:pPr>
  </w:style>
  <w:style w:type="paragraph" w:styleId="3">
    <w:name w:val="Body Text Indent"/>
    <w:basedOn w:val="1"/>
    <w:next w:val="4"/>
    <w:autoRedefine/>
    <w:qFormat/>
    <w:uiPriority w:val="0"/>
    <w:pPr>
      <w:ind w:firstLine="645"/>
    </w:pPr>
    <w:rPr>
      <w:rFonts w:ascii="楷体_GB2312" w:eastAsia="楷体_GB2312"/>
      <w:kern w:val="2"/>
      <w:sz w:val="32"/>
    </w:rPr>
  </w:style>
  <w:style w:type="paragraph" w:styleId="4">
    <w:name w:val="envelope return"/>
    <w:basedOn w:val="1"/>
    <w:unhideWhenUsed/>
    <w:qFormat/>
    <w:uiPriority w:val="0"/>
    <w:pPr>
      <w:snapToGrid w:val="0"/>
      <w:spacing w:before="156" w:beforeLines="50" w:after="156" w:afterLines="50" w:line="360" w:lineRule="auto"/>
      <w:ind w:firstLine="480" w:firstLineChars="200"/>
    </w:pPr>
    <w:rPr>
      <w:rFonts w:ascii="Arial" w:hAnsi="Arial" w:cs="Arial"/>
      <w:sz w:val="24"/>
    </w:rPr>
  </w:style>
  <w:style w:type="paragraph" w:styleId="5">
    <w:name w:val="Body Text First Indent"/>
    <w:basedOn w:val="6"/>
    <w:unhideWhenUsed/>
    <w:qFormat/>
    <w:uiPriority w:val="99"/>
    <w:pPr>
      <w:ind w:firstLine="420" w:firstLineChars="100"/>
    </w:pPr>
  </w:style>
  <w:style w:type="paragraph" w:styleId="6">
    <w:name w:val="Body Text"/>
    <w:basedOn w:val="1"/>
    <w:next w:val="1"/>
    <w:autoRedefine/>
    <w:qFormat/>
    <w:uiPriority w:val="1"/>
    <w:pPr>
      <w:ind w:left="140"/>
    </w:pPr>
    <w:rPr>
      <w:rFonts w:ascii="宋体" w:hAnsi="宋体"/>
      <w:sz w:val="21"/>
      <w:szCs w:val="21"/>
    </w:rPr>
  </w:style>
  <w:style w:type="paragraph" w:styleId="11">
    <w:name w:val="annotation text"/>
    <w:basedOn w:val="1"/>
    <w:link w:val="29"/>
    <w:autoRedefine/>
    <w:semiHidden/>
    <w:unhideWhenUsed/>
    <w:qFormat/>
    <w:uiPriority w:val="99"/>
    <w:pPr>
      <w:jc w:val="left"/>
    </w:pPr>
  </w:style>
  <w:style w:type="paragraph" w:styleId="12">
    <w:name w:val="Plain Text"/>
    <w:basedOn w:val="1"/>
    <w:autoRedefine/>
    <w:qFormat/>
    <w:uiPriority w:val="0"/>
    <w:rPr>
      <w:rFonts w:hAnsi="Courier New"/>
      <w:kern w:val="2"/>
      <w:sz w:val="21"/>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27"/>
    <w:autoRedefine/>
    <w:unhideWhenUsed/>
    <w:qFormat/>
    <w:uiPriority w:val="99"/>
    <w:pPr>
      <w:tabs>
        <w:tab w:val="center" w:pos="4153"/>
        <w:tab w:val="right" w:pos="8306"/>
      </w:tabs>
      <w:snapToGrid w:val="0"/>
      <w:jc w:val="left"/>
    </w:pPr>
    <w:rPr>
      <w:sz w:val="18"/>
      <w:szCs w:val="18"/>
    </w:rPr>
  </w:style>
  <w:style w:type="paragraph" w:styleId="15">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autoRedefine/>
    <w:qFormat/>
    <w:uiPriority w:val="0"/>
    <w:pPr>
      <w:ind w:firstLine="645"/>
    </w:pPr>
    <w:rPr>
      <w:rFonts w:ascii="仿宋_GB2312" w:hAnsi="Arial" w:eastAsia="仿宋_GB2312"/>
      <w:color w:val="000000"/>
      <w:sz w:val="30"/>
    </w:rPr>
  </w:style>
  <w:style w:type="paragraph" w:styleId="17">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autoRedefine/>
    <w:unhideWhenUsed/>
    <w:qFormat/>
    <w:uiPriority w:val="99"/>
    <w:pPr>
      <w:spacing w:before="100" w:beforeAutospacing="1" w:after="100" w:afterAutospacing="1"/>
      <w:jc w:val="left"/>
    </w:pPr>
    <w:rPr>
      <w:kern w:val="0"/>
      <w:sz w:val="24"/>
      <w:szCs w:val="22"/>
    </w:rPr>
  </w:style>
  <w:style w:type="paragraph" w:styleId="19">
    <w:name w:val="annotation subject"/>
    <w:basedOn w:val="11"/>
    <w:next w:val="11"/>
    <w:link w:val="30"/>
    <w:autoRedefine/>
    <w:semiHidden/>
    <w:unhideWhenUsed/>
    <w:qFormat/>
    <w:uiPriority w:val="99"/>
    <w:rPr>
      <w:b/>
      <w:bCs/>
    </w:r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annotation reference"/>
    <w:basedOn w:val="22"/>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2"/>
    <w:link w:val="15"/>
    <w:autoRedefine/>
    <w:qFormat/>
    <w:uiPriority w:val="99"/>
    <w:rPr>
      <w:sz w:val="18"/>
      <w:szCs w:val="18"/>
    </w:rPr>
  </w:style>
  <w:style w:type="character" w:customStyle="1" w:styleId="27">
    <w:name w:val="页脚 Char"/>
    <w:basedOn w:val="22"/>
    <w:link w:val="14"/>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2"/>
    <w:link w:val="11"/>
    <w:autoRedefine/>
    <w:semiHidden/>
    <w:qFormat/>
    <w:uiPriority w:val="99"/>
  </w:style>
  <w:style w:type="character" w:customStyle="1" w:styleId="30">
    <w:name w:val="批注主题 Char"/>
    <w:basedOn w:val="29"/>
    <w:link w:val="19"/>
    <w:autoRedefine/>
    <w:semiHidden/>
    <w:qFormat/>
    <w:uiPriority w:val="99"/>
    <w:rPr>
      <w:b/>
      <w:bCs/>
    </w:rPr>
  </w:style>
  <w:style w:type="character" w:customStyle="1" w:styleId="31">
    <w:name w:val="批注框文本 Char"/>
    <w:basedOn w:val="22"/>
    <w:link w:val="13"/>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2"/>
    <w:autoRedefine/>
    <w:qFormat/>
    <w:uiPriority w:val="0"/>
    <w:rPr>
      <w:rFonts w:hint="eastAsia" w:ascii="宋体" w:hAnsi="宋体" w:eastAsia="宋体" w:cs="宋体"/>
      <w:b/>
      <w:bCs/>
      <w:color w:val="000000"/>
      <w:sz w:val="40"/>
      <w:szCs w:val="40"/>
      <w:u w:val="none"/>
    </w:rPr>
  </w:style>
  <w:style w:type="character" w:customStyle="1" w:styleId="37">
    <w:name w:val="font71"/>
    <w:basedOn w:val="22"/>
    <w:autoRedefine/>
    <w:qFormat/>
    <w:uiPriority w:val="0"/>
    <w:rPr>
      <w:rFonts w:hint="eastAsia" w:ascii="宋体" w:hAnsi="宋体" w:eastAsia="宋体" w:cs="宋体"/>
      <w:b/>
      <w:bCs/>
      <w:color w:val="000000"/>
      <w:sz w:val="40"/>
      <w:szCs w:val="40"/>
      <w:u w:val="single"/>
    </w:rPr>
  </w:style>
  <w:style w:type="character" w:customStyle="1" w:styleId="38">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2"/>
    <w:autoRedefine/>
    <w:qFormat/>
    <w:uiPriority w:val="0"/>
    <w:rPr>
      <w:rFonts w:hint="eastAsia" w:ascii="宋体" w:hAnsi="宋体" w:eastAsia="宋体" w:cs="宋体"/>
      <w:color w:val="000000"/>
      <w:sz w:val="40"/>
      <w:szCs w:val="40"/>
      <w:u w:val="single"/>
    </w:rPr>
  </w:style>
  <w:style w:type="character" w:customStyle="1" w:styleId="40">
    <w:name w:val="font141"/>
    <w:basedOn w:val="22"/>
    <w:autoRedefine/>
    <w:qFormat/>
    <w:uiPriority w:val="0"/>
    <w:rPr>
      <w:rFonts w:hint="eastAsia" w:ascii="宋体" w:hAnsi="宋体" w:eastAsia="宋体" w:cs="宋体"/>
      <w:color w:val="000000"/>
      <w:sz w:val="20"/>
      <w:szCs w:val="20"/>
      <w:u w:val="single"/>
    </w:rPr>
  </w:style>
  <w:style w:type="character" w:customStyle="1" w:styleId="41">
    <w:name w:val="font151"/>
    <w:basedOn w:val="22"/>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2157</Words>
  <Characters>2169</Characters>
  <Lines>5</Lines>
  <Paragraphs>1</Paragraphs>
  <TotalTime>5</TotalTime>
  <ScaleCrop>false</ScaleCrop>
  <LinksUpToDate>false</LinksUpToDate>
  <CharactersWithSpaces>2378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2025-07-10T01:43:18Z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7488DFEC4CED446C8B360F87974074DD_13</vt:lpwstr>
  </property>
  <property fmtid="{D5CDD505-2E9C-101B-9397-08002B2CF9AE}" pid="4" name="KSOTemplateDocerSaveRecord">
    <vt:lpwstr>eyJoZGlkIjoiNzA1NWQ1NzNjNjhlZmZmYTRmNDgyMjJkNDRhYjk1M2QiLCJ1c2VySWQiOiIxNTg2MTUyOTM4In0=</vt:lpwstr>
  </property>
</Properties>
</file>