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3"/>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9"/>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2774249"/>
      <w:bookmarkStart w:id="3" w:name="_Toc461056631"/>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default" w:hAnsi="宋体" w:eastAsiaTheme="minorEastAsia"/>
                <w:bCs/>
                <w:color w:val="000000"/>
                <w:u w:val="single"/>
                <w:lang w:val="en-US" w:eastAsia="zh-CN"/>
              </w:rPr>
            </w:pPr>
            <w:r>
              <w:rPr>
                <w:rFonts w:hint="eastAsia" w:hAnsi="宋体"/>
                <w:bCs/>
                <w:color w:val="000000"/>
                <w:lang w:val="en-US" w:eastAsia="zh-CN"/>
              </w:rPr>
              <w:t>金额</w:t>
            </w:r>
            <w:r>
              <w:rPr>
                <w:rFonts w:hint="eastAsia" w:hAnsi="宋体"/>
                <w:bCs/>
                <w:color w:val="000000"/>
              </w:rPr>
              <w:t>：</w:t>
            </w:r>
            <w:r>
              <w:rPr>
                <w:rFonts w:hint="eastAsia" w:hAnsi="宋体"/>
                <w:bCs/>
                <w:color w:val="000000"/>
                <w:u w:val="single"/>
              </w:rPr>
              <w:t xml:space="preserve">          </w:t>
            </w:r>
            <w:r>
              <w:rPr>
                <w:rFonts w:hint="eastAsia" w:hAnsi="宋体"/>
                <w:bCs/>
                <w:color w:val="000000"/>
                <w:u w:val="none"/>
                <w:lang w:val="en-US" w:eastAsia="zh-CN"/>
              </w:rPr>
              <w:t>元</w:t>
            </w:r>
          </w:p>
          <w:p>
            <w:pPr>
              <w:snapToGrid w:val="0"/>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int="eastAsia" w:hAnsi="宋体"/>
          <w:b/>
          <w:color w:val="000000"/>
        </w:rPr>
      </w:pPr>
    </w:p>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8"/>
        <w:ind w:left="0" w:leftChars="0" w:firstLine="0" w:firstLineChars="0"/>
        <w:rPr>
          <w:rFonts w:hAnsi="宋体"/>
          <w:b/>
          <w:bCs/>
          <w:color w:val="000000"/>
          <w:szCs w:val="28"/>
        </w:rPr>
      </w:pPr>
    </w:p>
    <w:p>
      <w:pPr>
        <w:pStyle w:val="18"/>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spacing w:line="360" w:lineRule="auto"/>
        <w:jc w:val="center"/>
        <w:outlineLvl w:val="1"/>
        <w:rPr>
          <w:rFonts w:hint="eastAsia" w:asciiTheme="minorEastAsia" w:hAnsiTheme="minorEastAsia" w:eastAsiaTheme="minorEastAsia"/>
          <w:b/>
          <w:sz w:val="44"/>
          <w:szCs w:val="44"/>
          <w:lang w:eastAsia="zh-CN"/>
        </w:rPr>
      </w:pPr>
      <w:bookmarkStart w:id="8" w:name="_Toc81497928"/>
      <w:bookmarkStart w:id="9" w:name="_Hlk23621890"/>
      <w:r>
        <w:rPr>
          <w:rFonts w:hint="eastAsia" w:asciiTheme="minorEastAsia" w:hAnsiTheme="minorEastAsia" w:eastAsiaTheme="minorEastAsia"/>
          <w:b/>
          <w:sz w:val="44"/>
          <w:szCs w:val="44"/>
          <w:lang w:eastAsia="zh-CN"/>
        </w:rPr>
        <w:t>服务类</w:t>
      </w:r>
      <w:r>
        <w:rPr>
          <w:rFonts w:hint="eastAsia" w:asciiTheme="minorEastAsia" w:hAnsiTheme="minorEastAsia" w:eastAsiaTheme="minorEastAsia"/>
          <w:b/>
          <w:sz w:val="44"/>
          <w:szCs w:val="44"/>
        </w:rPr>
        <w:t>需求</w:t>
      </w:r>
      <w:bookmarkEnd w:id="8"/>
      <w:r>
        <w:rPr>
          <w:rFonts w:hint="eastAsia" w:asciiTheme="minorEastAsia" w:hAnsiTheme="minorEastAsia" w:eastAsiaTheme="minorEastAsia"/>
          <w:b/>
          <w:sz w:val="44"/>
          <w:szCs w:val="44"/>
          <w:lang w:eastAsia="zh-CN"/>
        </w:rPr>
        <w:t>表</w:t>
      </w:r>
    </w:p>
    <w:p>
      <w:pPr>
        <w:spacing w:line="360" w:lineRule="auto"/>
        <w:jc w:val="center"/>
        <w:outlineLvl w:val="1"/>
        <w:rPr>
          <w:rFonts w:hint="eastAsia" w:asciiTheme="minorEastAsia" w:hAnsiTheme="minorEastAsia" w:eastAsiaTheme="minorEastAsia"/>
          <w:b/>
          <w:sz w:val="44"/>
          <w:szCs w:val="44"/>
          <w:lang w:eastAsia="zh-CN"/>
        </w:rPr>
      </w:pPr>
    </w:p>
    <w:bookmarkEnd w:id="9"/>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812"/>
        <w:gridCol w:w="4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 w:val="24"/>
                <w:szCs w:val="24"/>
                <w:u w:val="none"/>
              </w:rPr>
            </w:pPr>
            <w:r>
              <w:rPr>
                <w:rFonts w:hint="eastAsia" w:ascii="宋体" w:hAnsi="宋体" w:eastAsia="宋体" w:cs="宋体"/>
                <w:b/>
                <w:color w:val="000000"/>
                <w:kern w:val="0"/>
                <w:sz w:val="24"/>
                <w:szCs w:val="24"/>
                <w:u w:val="none"/>
              </w:rPr>
              <w:t>项目名称</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bCs/>
                <w:color w:val="000000"/>
                <w:kern w:val="0"/>
                <w:sz w:val="24"/>
                <w:szCs w:val="24"/>
                <w:u w:val="none"/>
                <w:lang w:val="en-US" w:eastAsia="zh-CN"/>
              </w:rPr>
            </w:pPr>
            <w:r>
              <w:rPr>
                <w:rFonts w:hint="eastAsia" w:ascii="宋体" w:hAnsi="宋体" w:eastAsia="宋体" w:cs="宋体"/>
                <w:bCs/>
                <w:color w:val="000000"/>
                <w:kern w:val="0"/>
                <w:sz w:val="24"/>
                <w:szCs w:val="24"/>
                <w:u w:val="none"/>
              </w:rPr>
              <w:t>2025-2028年合肥经开区社区安置房及公共设施维修</w:t>
            </w:r>
            <w:r>
              <w:rPr>
                <w:rFonts w:hint="eastAsia" w:ascii="宋体" w:hAnsi="宋体" w:cs="宋体"/>
                <w:bCs/>
                <w:color w:val="000000"/>
                <w:kern w:val="0"/>
                <w:sz w:val="24"/>
                <w:szCs w:val="24"/>
                <w:u w:val="none"/>
                <w:lang w:eastAsia="zh-CN"/>
              </w:rPr>
              <w:t>跟踪审计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 w:val="24"/>
                <w:szCs w:val="24"/>
                <w:u w:val="none"/>
              </w:rPr>
            </w:pPr>
            <w:r>
              <w:rPr>
                <w:rFonts w:hint="eastAsia" w:ascii="宋体" w:hAnsi="宋体" w:eastAsia="宋体" w:cs="宋体"/>
                <w:b/>
                <w:color w:val="000000"/>
                <w:kern w:val="0"/>
                <w:sz w:val="24"/>
                <w:szCs w:val="24"/>
                <w:u w:val="none"/>
              </w:rPr>
              <w:t>项目预算</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color w:val="000000"/>
                <w:kern w:val="0"/>
                <w:sz w:val="24"/>
                <w:szCs w:val="24"/>
                <w:u w:val="none"/>
              </w:rPr>
            </w:pPr>
            <w:r>
              <w:rPr>
                <w:rFonts w:hint="eastAsia" w:ascii="宋体" w:hAnsi="宋体" w:cs="宋体"/>
                <w:color w:val="000000"/>
                <w:kern w:val="0"/>
                <w:sz w:val="24"/>
                <w:szCs w:val="24"/>
                <w:u w:val="none"/>
                <w:lang w:val="en-US" w:eastAsia="zh-CN"/>
              </w:rPr>
              <w:t>15</w:t>
            </w:r>
            <w:r>
              <w:rPr>
                <w:rFonts w:hint="eastAsia" w:ascii="宋体" w:hAnsi="宋体" w:eastAsia="宋体" w:cs="宋体"/>
                <w:color w:val="000000"/>
                <w:kern w:val="0"/>
                <w:sz w:val="24"/>
                <w:szCs w:val="24"/>
                <w:u w:val="none"/>
              </w:rPr>
              <w:t xml:space="preserve">万元/年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 w:val="24"/>
                <w:szCs w:val="24"/>
                <w:u w:val="none"/>
              </w:rPr>
            </w:pPr>
            <w:r>
              <w:rPr>
                <w:rFonts w:hint="eastAsia" w:ascii="宋体" w:hAnsi="宋体" w:eastAsia="宋体" w:cs="宋体"/>
                <w:b/>
                <w:color w:val="000000"/>
                <w:kern w:val="0"/>
                <w:sz w:val="24"/>
                <w:szCs w:val="24"/>
                <w:u w:val="none"/>
              </w:rPr>
              <w:t>项目概况</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color w:val="000000"/>
                <w:kern w:val="0"/>
                <w:sz w:val="24"/>
                <w:szCs w:val="24"/>
                <w:u w:val="none"/>
              </w:rPr>
            </w:pPr>
            <w:r>
              <w:rPr>
                <w:rFonts w:hint="eastAsia" w:ascii="宋体" w:hAnsi="宋体" w:cs="宋体"/>
                <w:color w:val="000000"/>
                <w:kern w:val="0"/>
                <w:sz w:val="24"/>
                <w:szCs w:val="24"/>
                <w:u w:val="none"/>
                <w:lang w:eastAsia="zh-CN"/>
              </w:rPr>
              <w:t>为</w:t>
            </w:r>
            <w:r>
              <w:rPr>
                <w:rFonts w:hint="eastAsia" w:ascii="宋体" w:hAnsi="宋体" w:eastAsia="宋体" w:cs="宋体"/>
                <w:color w:val="000000"/>
                <w:kern w:val="0"/>
                <w:sz w:val="24"/>
                <w:szCs w:val="24"/>
                <w:u w:val="none"/>
              </w:rPr>
              <w:t>经开区锦绣社区、临湖社区、芙蓉社区、莲花社区、新港</w:t>
            </w:r>
            <w:r>
              <w:rPr>
                <w:rFonts w:hint="eastAsia" w:ascii="宋体" w:hAnsi="宋体" w:cs="宋体"/>
                <w:color w:val="000000"/>
                <w:kern w:val="0"/>
                <w:sz w:val="24"/>
                <w:szCs w:val="24"/>
                <w:u w:val="none"/>
                <w:lang w:eastAsia="zh-CN"/>
              </w:rPr>
              <w:t>社区</w:t>
            </w:r>
            <w:r>
              <w:rPr>
                <w:rFonts w:hint="eastAsia" w:ascii="宋体" w:hAnsi="宋体" w:eastAsia="宋体" w:cs="宋体"/>
                <w:color w:val="000000"/>
                <w:kern w:val="0"/>
                <w:sz w:val="24"/>
                <w:szCs w:val="24"/>
                <w:u w:val="none"/>
              </w:rPr>
              <w:t>、高刘街道6个社区（街道）的社区安置房及公共设施维修</w:t>
            </w:r>
            <w:r>
              <w:rPr>
                <w:rFonts w:hint="eastAsia" w:ascii="宋体" w:hAnsi="宋体" w:cs="宋体"/>
                <w:color w:val="000000"/>
                <w:kern w:val="0"/>
                <w:sz w:val="24"/>
                <w:szCs w:val="24"/>
                <w:u w:val="none"/>
                <w:lang w:eastAsia="zh-CN"/>
              </w:rPr>
              <w:t>提供跟踪审计服务</w:t>
            </w:r>
            <w:r>
              <w:rPr>
                <w:rFonts w:hint="eastAsia" w:ascii="宋体" w:hAnsi="宋体" w:eastAsia="宋体" w:cs="宋体"/>
                <w:color w:val="000000"/>
                <w:kern w:val="0"/>
                <w:sz w:val="24"/>
                <w:szCs w:val="24"/>
                <w:u w:val="none"/>
              </w:rPr>
              <w:t>，项目涵盖经开区南北两个区，涉及安置房面积约380万平方米。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 w:val="24"/>
                <w:szCs w:val="24"/>
                <w:u w:val="none"/>
              </w:rPr>
            </w:pPr>
            <w:r>
              <w:rPr>
                <w:rFonts w:hint="eastAsia" w:ascii="宋体" w:hAnsi="宋体" w:eastAsia="宋体" w:cs="宋体"/>
                <w:b/>
                <w:color w:val="000000"/>
                <w:kern w:val="0"/>
                <w:sz w:val="24"/>
                <w:szCs w:val="24"/>
                <w:u w:val="none"/>
              </w:rPr>
              <w:t>项目联系人</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default" w:ascii="宋体" w:hAnsi="宋体" w:eastAsia="宋体" w:cs="宋体"/>
                <w:color w:val="000000"/>
                <w:kern w:val="0"/>
                <w:sz w:val="24"/>
                <w:szCs w:val="24"/>
                <w:u w:val="none"/>
                <w:lang w:val="en-US" w:eastAsia="zh-CN"/>
              </w:rPr>
            </w:pPr>
            <w:r>
              <w:rPr>
                <w:rFonts w:hint="eastAsia" w:ascii="宋体" w:hAnsi="宋体" w:cs="宋体"/>
                <w:color w:val="000000"/>
                <w:kern w:val="0"/>
                <w:sz w:val="24"/>
                <w:szCs w:val="24"/>
                <w:u w:val="none"/>
                <w:lang w:eastAsia="zh-CN"/>
              </w:rPr>
              <w:t>聂宗琨</w:t>
            </w:r>
            <w:r>
              <w:rPr>
                <w:rFonts w:hint="eastAsia" w:ascii="宋体" w:hAnsi="宋体" w:eastAsia="宋体" w:cs="宋体"/>
                <w:color w:val="000000"/>
                <w:kern w:val="0"/>
                <w:sz w:val="24"/>
                <w:szCs w:val="24"/>
                <w:u w:val="none"/>
                <w:lang w:val="en-US" w:eastAsia="zh-CN"/>
              </w:rPr>
              <w:t xml:space="preserve">  </w:t>
            </w:r>
            <w:r>
              <w:rPr>
                <w:rFonts w:hint="eastAsia" w:ascii="宋体" w:hAnsi="宋体" w:cs="宋体"/>
                <w:color w:val="000000"/>
                <w:kern w:val="0"/>
                <w:sz w:val="24"/>
                <w:szCs w:val="24"/>
                <w:u w:val="none"/>
                <w:lang w:val="en-US" w:eastAsia="zh-CN"/>
              </w:rPr>
              <w:t>13956017131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 w:val="24"/>
                <w:szCs w:val="24"/>
                <w:u w:val="none"/>
              </w:rPr>
            </w:pPr>
            <w:r>
              <w:rPr>
                <w:rFonts w:hint="eastAsia" w:ascii="宋体" w:hAnsi="宋体" w:eastAsia="宋体" w:cs="宋体"/>
                <w:b/>
                <w:color w:val="000000"/>
                <w:kern w:val="0"/>
                <w:sz w:val="24"/>
                <w:szCs w:val="24"/>
                <w:u w:val="none"/>
              </w:rPr>
              <w:t>是否允许联合体</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hint="eastAsia" w:ascii="宋体" w:hAnsi="宋体" w:eastAsia="宋体" w:cs="宋体"/>
                <w:sz w:val="24"/>
                <w:szCs w:val="24"/>
                <w:u w:val="none"/>
              </w:rPr>
            </w:pPr>
            <w:r>
              <w:rPr>
                <w:rFonts w:hint="eastAsia" w:ascii="宋体" w:hAnsi="宋体" w:eastAsia="宋体" w:cs="宋体"/>
                <w:sz w:val="24"/>
                <w:szCs w:val="24"/>
                <w:u w:val="none"/>
              </w:rPr>
              <w:t>□</w:t>
            </w:r>
            <w:r>
              <w:rPr>
                <w:rFonts w:hint="eastAsia" w:ascii="宋体" w:hAnsi="宋体" w:eastAsia="宋体" w:cs="宋体"/>
                <w:color w:val="000000"/>
                <w:kern w:val="0"/>
                <w:sz w:val="24"/>
                <w:szCs w:val="24"/>
                <w:u w:val="none"/>
              </w:rPr>
              <w:t xml:space="preserve">允许    </w:t>
            </w:r>
            <w:r>
              <w:rPr>
                <w:rFonts w:hint="eastAsia" w:ascii="宋体" w:hAnsi="宋体" w:eastAsia="宋体" w:cs="宋体"/>
                <w:sz w:val="24"/>
                <w:szCs w:val="24"/>
                <w:u w:val="none"/>
                <w:lang w:eastAsia="zh-CN"/>
              </w:rPr>
              <w:t>☑</w:t>
            </w:r>
            <w:r>
              <w:rPr>
                <w:rFonts w:hint="eastAsia" w:ascii="宋体" w:hAnsi="宋体" w:eastAsia="宋体" w:cs="宋体"/>
                <w:color w:val="000000"/>
                <w:kern w:val="0"/>
                <w:sz w:val="24"/>
                <w:szCs w:val="24"/>
                <w:u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 w:val="24"/>
                <w:szCs w:val="24"/>
                <w:u w:val="none"/>
              </w:rPr>
            </w:pPr>
            <w:r>
              <w:rPr>
                <w:rFonts w:hint="eastAsia" w:ascii="宋体" w:hAnsi="宋体" w:eastAsia="宋体" w:cs="宋体"/>
                <w:b/>
                <w:color w:val="000000"/>
                <w:kern w:val="0"/>
                <w:sz w:val="24"/>
                <w:szCs w:val="24"/>
                <w:u w:val="none"/>
              </w:rPr>
              <w:t>投标人资格要求</w:t>
            </w:r>
          </w:p>
          <w:p>
            <w:pPr>
              <w:widowControl/>
              <w:spacing w:line="320" w:lineRule="exact"/>
              <w:jc w:val="center"/>
              <w:rPr>
                <w:rFonts w:hint="eastAsia" w:ascii="宋体" w:hAnsi="宋体" w:eastAsia="宋体" w:cs="宋体"/>
                <w:b/>
                <w:color w:val="000000"/>
                <w:kern w:val="0"/>
                <w:sz w:val="24"/>
                <w:szCs w:val="24"/>
                <w:u w:val="none"/>
              </w:rPr>
            </w:pPr>
            <w:r>
              <w:rPr>
                <w:rFonts w:hint="eastAsia" w:ascii="宋体" w:hAnsi="宋体" w:eastAsia="宋体" w:cs="宋体"/>
                <w:b/>
                <w:color w:val="000000"/>
                <w:kern w:val="0"/>
                <w:sz w:val="24"/>
                <w:szCs w:val="24"/>
                <w:u w:val="none"/>
              </w:rPr>
              <w:t>（应符合《合肥市建设工程货物服务项目评标办法实施导则》）</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20" w:lineRule="exact"/>
              <w:rPr>
                <w:rFonts w:hint="eastAsia" w:ascii="宋体" w:hAnsi="宋体" w:eastAsia="宋体" w:cs="宋体"/>
                <w:color w:val="000000"/>
                <w:kern w:val="0"/>
                <w:sz w:val="24"/>
                <w:szCs w:val="24"/>
                <w:u w:val="none"/>
              </w:rPr>
            </w:pPr>
            <w:r>
              <w:rPr>
                <w:rFonts w:hint="eastAsia" w:ascii="宋体" w:hAnsi="宋体" w:cs="宋体"/>
                <w:color w:val="000000"/>
                <w:kern w:val="0"/>
                <w:sz w:val="24"/>
                <w:szCs w:val="24"/>
                <w:u w:val="none"/>
                <w:lang w:val="en-US" w:eastAsia="zh-CN"/>
              </w:rPr>
              <w:t>1.</w:t>
            </w:r>
            <w:r>
              <w:rPr>
                <w:rFonts w:hint="eastAsia" w:ascii="宋体" w:hAnsi="宋体" w:eastAsia="宋体" w:cs="宋体"/>
                <w:color w:val="000000"/>
                <w:kern w:val="0"/>
                <w:sz w:val="24"/>
                <w:szCs w:val="24"/>
                <w:u w:val="none"/>
              </w:rPr>
              <w:t xml:space="preserve">具有本地化服务。     </w:t>
            </w:r>
          </w:p>
          <w:p>
            <w:pPr>
              <w:widowControl/>
              <w:spacing w:line="320" w:lineRule="exact"/>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2.投标人初审业绩要求： 具有自 2021年1月1日以来（以竣工验收时间为准），投标人具有单个项目总投资额不低于 1000万元的房屋建筑工程</w:t>
            </w:r>
            <w:r>
              <w:rPr>
                <w:rFonts w:hint="eastAsia" w:ascii="宋体" w:hAnsi="宋体" w:cs="宋体"/>
                <w:color w:val="000000"/>
                <w:kern w:val="0"/>
                <w:sz w:val="24"/>
                <w:szCs w:val="24"/>
                <w:u w:val="none"/>
                <w:lang w:eastAsia="zh-CN"/>
              </w:rPr>
              <w:t>项目审计</w:t>
            </w:r>
            <w:r>
              <w:rPr>
                <w:rFonts w:hint="eastAsia" w:ascii="宋体" w:hAnsi="宋体" w:eastAsia="宋体" w:cs="宋体"/>
                <w:color w:val="000000"/>
                <w:kern w:val="0"/>
                <w:sz w:val="24"/>
                <w:szCs w:val="24"/>
                <w:u w:val="none"/>
              </w:rPr>
              <w:t>业绩或市政公用工程</w:t>
            </w:r>
            <w:r>
              <w:rPr>
                <w:rFonts w:hint="eastAsia" w:ascii="宋体" w:hAnsi="宋体" w:cs="宋体"/>
                <w:color w:val="000000"/>
                <w:kern w:val="0"/>
                <w:sz w:val="24"/>
                <w:szCs w:val="24"/>
                <w:u w:val="none"/>
                <w:lang w:eastAsia="zh-CN"/>
              </w:rPr>
              <w:t>项目审计</w:t>
            </w:r>
            <w:r>
              <w:rPr>
                <w:rFonts w:hint="eastAsia" w:ascii="宋体" w:hAnsi="宋体" w:eastAsia="宋体" w:cs="宋体"/>
                <w:color w:val="000000"/>
                <w:kern w:val="0"/>
                <w:sz w:val="24"/>
                <w:szCs w:val="24"/>
                <w:u w:val="none"/>
              </w:rPr>
              <w:t xml:space="preserve">业绩。 </w:t>
            </w:r>
          </w:p>
          <w:p>
            <w:pPr>
              <w:widowControl/>
              <w:spacing w:line="320" w:lineRule="exact"/>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3.</w:t>
            </w:r>
            <w:r>
              <w:rPr>
                <w:rFonts w:hint="eastAsia" w:ascii="宋体" w:hAnsi="宋体" w:eastAsia="宋体" w:cs="宋体"/>
                <w:sz w:val="24"/>
                <w:szCs w:val="24"/>
                <w:u w:val="none"/>
              </w:rPr>
              <w:t xml:space="preserve"> </w:t>
            </w:r>
            <w:r>
              <w:rPr>
                <w:rFonts w:hint="eastAsia" w:ascii="宋体" w:hAnsi="宋体" w:eastAsia="宋体" w:cs="宋体"/>
                <w:color w:val="000000"/>
                <w:kern w:val="0"/>
                <w:sz w:val="24"/>
                <w:szCs w:val="24"/>
                <w:u w:val="none"/>
              </w:rPr>
              <w:t>项目负责人资格要求：投标人拟委任项目负责人须具有下列资格之一</w:t>
            </w:r>
          </w:p>
          <w:p>
            <w:pPr>
              <w:widowControl/>
              <w:spacing w:line="320" w:lineRule="exact"/>
              <w:rPr>
                <w:rFonts w:hint="eastAsia" w:ascii="宋体" w:hAnsi="宋体" w:cs="宋体"/>
                <w:color w:val="000000"/>
                <w:kern w:val="0"/>
                <w:sz w:val="24"/>
                <w:szCs w:val="24"/>
                <w:u w:val="none"/>
                <w:lang w:eastAsia="zh-CN"/>
              </w:rPr>
            </w:pPr>
            <w:r>
              <w:rPr>
                <w:rFonts w:hint="eastAsia" w:ascii="宋体" w:hAnsi="宋体" w:cs="宋体"/>
                <w:color w:val="000000"/>
                <w:kern w:val="0"/>
                <w:sz w:val="24"/>
                <w:szCs w:val="24"/>
                <w:u w:val="none"/>
                <w:lang w:eastAsia="zh-CN"/>
              </w:rPr>
              <w:t>（1）土建（或土木建筑）或安装（或安装工程）专业国家级注册造价工程师；</w:t>
            </w:r>
          </w:p>
          <w:p>
            <w:pPr>
              <w:widowControl/>
              <w:spacing w:line="320" w:lineRule="exact"/>
              <w:rPr>
                <w:rFonts w:hint="eastAsia" w:ascii="宋体" w:hAnsi="宋体" w:cs="宋体"/>
                <w:color w:val="000000"/>
                <w:kern w:val="0"/>
                <w:sz w:val="24"/>
                <w:szCs w:val="24"/>
                <w:u w:val="none"/>
                <w:lang w:eastAsia="zh-CN"/>
              </w:rPr>
            </w:pPr>
            <w:r>
              <w:rPr>
                <w:rFonts w:hint="eastAsia" w:ascii="宋体" w:hAnsi="宋体" w:cs="宋体"/>
                <w:color w:val="000000"/>
                <w:kern w:val="0"/>
                <w:sz w:val="24"/>
                <w:szCs w:val="24"/>
                <w:u w:val="none"/>
                <w:lang w:eastAsia="zh-CN"/>
              </w:rPr>
              <w:t>（2）土建（或土木建筑）或安装（或安装工程）专业一级注册造价工程师。</w:t>
            </w:r>
          </w:p>
          <w:p>
            <w:pPr>
              <w:widowControl/>
              <w:spacing w:line="320" w:lineRule="exact"/>
              <w:rPr>
                <w:rFonts w:hint="eastAsia" w:ascii="宋体" w:hAnsi="宋体" w:eastAsia="宋体" w:cs="宋体"/>
                <w:b/>
                <w:color w:val="000000"/>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 w:val="24"/>
                <w:szCs w:val="24"/>
                <w:u w:val="none"/>
              </w:rPr>
            </w:pPr>
            <w:r>
              <w:rPr>
                <w:rFonts w:hint="eastAsia" w:ascii="宋体" w:hAnsi="宋体" w:eastAsia="宋体" w:cs="宋体"/>
                <w:b/>
                <w:color w:val="000000"/>
                <w:kern w:val="0"/>
                <w:sz w:val="24"/>
                <w:szCs w:val="24"/>
                <w:u w:val="none"/>
              </w:rPr>
              <w:t>付款方式</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20" w:lineRule="exact"/>
              <w:rPr>
                <w:rFonts w:hint="eastAsia" w:ascii="宋体" w:hAnsi="宋体" w:cs="宋体"/>
                <w:color w:val="000000"/>
                <w:kern w:val="0"/>
                <w:sz w:val="24"/>
                <w:szCs w:val="24"/>
                <w:u w:val="none"/>
                <w:lang w:eastAsia="zh-CN"/>
              </w:rPr>
            </w:pPr>
            <w:r>
              <w:rPr>
                <w:rFonts w:hint="eastAsia" w:ascii="宋体" w:hAnsi="宋体" w:cs="宋体"/>
                <w:color w:val="000000"/>
                <w:kern w:val="0"/>
                <w:sz w:val="24"/>
                <w:szCs w:val="24"/>
                <w:u w:val="none"/>
                <w:lang w:val="en-US" w:eastAsia="zh-CN"/>
              </w:rPr>
              <w:t>1.</w:t>
            </w:r>
            <w:r>
              <w:rPr>
                <w:rFonts w:hint="eastAsia" w:ascii="宋体" w:hAnsi="宋体" w:eastAsia="宋体" w:cs="宋体"/>
                <w:color w:val="000000"/>
                <w:kern w:val="0"/>
                <w:sz w:val="24"/>
                <w:szCs w:val="24"/>
                <w:u w:val="none"/>
              </w:rPr>
              <w:t>无预付款</w:t>
            </w:r>
            <w:r>
              <w:rPr>
                <w:rFonts w:hint="eastAsia" w:ascii="宋体" w:hAnsi="宋体" w:cs="宋体"/>
                <w:color w:val="000000"/>
                <w:kern w:val="0"/>
                <w:sz w:val="24"/>
                <w:szCs w:val="24"/>
                <w:u w:val="none"/>
                <w:lang w:eastAsia="zh-CN"/>
              </w:rPr>
              <w:t xml:space="preserve">。中标人提交付款申请及附件资料，经采购人审核后，按季度转账支付。 </w:t>
            </w:r>
          </w:p>
          <w:p>
            <w:pPr>
              <w:pStyle w:val="6"/>
              <w:numPr>
                <w:ilvl w:val="0"/>
                <w:numId w:val="0"/>
              </w:numPr>
              <w:rPr>
                <w:rFonts w:hint="eastAsia"/>
                <w:sz w:val="24"/>
                <w:szCs w:val="24"/>
                <w:u w:val="none"/>
                <w:lang w:eastAsia="zh-CN"/>
              </w:rPr>
            </w:pPr>
            <w:r>
              <w:rPr>
                <w:rFonts w:hint="eastAsia" w:ascii="宋体" w:hAnsi="宋体" w:eastAsia="宋体" w:cs="宋体"/>
                <w:color w:val="000000"/>
                <w:kern w:val="0"/>
                <w:sz w:val="24"/>
                <w:szCs w:val="24"/>
                <w:u w:val="none"/>
                <w:lang w:val="en-US" w:eastAsia="zh-CN" w:bidi="ar-SA"/>
              </w:rPr>
              <w:t>2.</w:t>
            </w:r>
            <w:r>
              <w:rPr>
                <w:rFonts w:hint="eastAsia" w:ascii="宋体" w:hAnsi="宋体" w:cs="宋体"/>
                <w:color w:val="000000"/>
                <w:kern w:val="0"/>
                <w:sz w:val="24"/>
                <w:szCs w:val="24"/>
                <w:u w:val="none"/>
                <w:lang w:val="en-US" w:eastAsia="zh-CN" w:bidi="ar-SA"/>
              </w:rPr>
              <w:t>费用</w:t>
            </w:r>
            <w:r>
              <w:rPr>
                <w:rFonts w:hint="eastAsia" w:ascii="宋体" w:hAnsi="宋体" w:cs="宋体"/>
                <w:color w:val="000000"/>
                <w:kern w:val="0"/>
                <w:sz w:val="24"/>
                <w:szCs w:val="24"/>
                <w:u w:val="none"/>
                <w:lang w:eastAsia="zh-CN"/>
              </w:rPr>
              <w:t>支付前，</w:t>
            </w:r>
            <w:r>
              <w:rPr>
                <w:rFonts w:hint="eastAsia" w:eastAsia="宋体" w:cs="宋体"/>
                <w:color w:val="000000"/>
                <w:kern w:val="0"/>
                <w:sz w:val="24"/>
                <w:szCs w:val="24"/>
                <w:u w:val="none"/>
                <w:lang w:val="en-US" w:eastAsia="zh-CN" w:bidi="ar-SA"/>
              </w:rPr>
              <w:t>中标人</w:t>
            </w:r>
            <w:r>
              <w:rPr>
                <w:rFonts w:hint="eastAsia" w:ascii="宋体" w:hAnsi="宋体" w:cs="宋体"/>
                <w:color w:val="000000"/>
                <w:kern w:val="0"/>
                <w:sz w:val="24"/>
                <w:szCs w:val="24"/>
                <w:u w:val="none"/>
                <w:lang w:val="en-US" w:eastAsia="zh-CN" w:bidi="ar-SA"/>
              </w:rPr>
              <w:t>应</w:t>
            </w:r>
            <w:r>
              <w:rPr>
                <w:rFonts w:hint="eastAsia" w:ascii="宋体" w:hAnsi="宋体" w:eastAsia="宋体" w:cs="宋体"/>
                <w:color w:val="000000"/>
                <w:kern w:val="0"/>
                <w:sz w:val="24"/>
                <w:szCs w:val="24"/>
                <w:u w:val="none"/>
                <w:lang w:val="en-US" w:eastAsia="zh-CN" w:bidi="ar-SA"/>
              </w:rPr>
              <w:t>开具审计</w:t>
            </w:r>
            <w:r>
              <w:rPr>
                <w:rFonts w:hint="eastAsia" w:ascii="宋体" w:hAnsi="宋体" w:cs="宋体"/>
                <w:color w:val="000000"/>
                <w:kern w:val="0"/>
                <w:sz w:val="24"/>
                <w:szCs w:val="24"/>
                <w:u w:val="none"/>
                <w:lang w:eastAsia="zh-CN"/>
              </w:rPr>
              <w:t>服务费发票（专票）。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 w:val="24"/>
                <w:szCs w:val="24"/>
                <w:u w:val="none"/>
              </w:rPr>
            </w:pPr>
            <w:r>
              <w:rPr>
                <w:rFonts w:hint="eastAsia" w:ascii="宋体" w:hAnsi="宋体" w:eastAsia="宋体" w:cs="宋体"/>
                <w:b/>
                <w:color w:val="000000"/>
                <w:kern w:val="0"/>
                <w:sz w:val="24"/>
                <w:szCs w:val="24"/>
                <w:u w:val="none"/>
              </w:rPr>
              <w:t>服务地点</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color w:val="000000"/>
                <w:kern w:val="0"/>
                <w:sz w:val="24"/>
                <w:szCs w:val="24"/>
                <w:u w:val="none"/>
                <w:lang w:eastAsia="zh-CN"/>
              </w:rPr>
            </w:pPr>
            <w:r>
              <w:rPr>
                <w:rFonts w:hint="eastAsia" w:ascii="宋体" w:hAnsi="宋体" w:eastAsia="宋体" w:cs="宋体"/>
                <w:color w:val="000000"/>
                <w:kern w:val="0"/>
                <w:sz w:val="24"/>
                <w:szCs w:val="24"/>
                <w:u w:val="none"/>
                <w:lang w:eastAsia="zh-CN"/>
              </w:rPr>
              <w:t>合肥经开区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 w:val="24"/>
                <w:szCs w:val="24"/>
                <w:u w:val="none"/>
              </w:rPr>
            </w:pPr>
            <w:r>
              <w:rPr>
                <w:rFonts w:hint="eastAsia" w:ascii="宋体" w:hAnsi="宋体" w:eastAsia="宋体" w:cs="宋体"/>
                <w:b/>
                <w:color w:val="000000"/>
                <w:kern w:val="0"/>
                <w:sz w:val="24"/>
                <w:szCs w:val="24"/>
                <w:u w:val="none"/>
              </w:rPr>
              <w:t>服务期限、工期</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color w:val="000000"/>
                <w:kern w:val="0"/>
                <w:sz w:val="24"/>
                <w:szCs w:val="24"/>
                <w:u w:val="none"/>
                <w:lang w:eastAsia="zh-CN"/>
              </w:rPr>
            </w:pPr>
            <w:r>
              <w:rPr>
                <w:rFonts w:hint="eastAsia" w:ascii="宋体" w:hAnsi="宋体" w:eastAsia="宋体" w:cs="宋体"/>
                <w:color w:val="000000"/>
                <w:kern w:val="0"/>
                <w:sz w:val="24"/>
                <w:szCs w:val="24"/>
                <w:u w:val="none"/>
                <w:lang w:eastAsia="zh-CN"/>
              </w:rPr>
              <w:t>合同服务期限为1年，服务期满后，中标人履约状况良好且经采购人年度考核合格后， 在年度预算能保障的前提下， 采购人和中标人双方无异议可续签合同， 续签合同服务期限为1年，合同续签次数不超过 2 次，续签合同</w:t>
            </w:r>
            <w:r>
              <w:rPr>
                <w:rFonts w:hint="eastAsia" w:ascii="宋体" w:hAnsi="宋体" w:cs="宋体"/>
                <w:color w:val="000000"/>
                <w:kern w:val="0"/>
                <w:sz w:val="24"/>
                <w:szCs w:val="24"/>
                <w:u w:val="none"/>
                <w:lang w:eastAsia="zh-CN"/>
              </w:rPr>
              <w:t>金额</w:t>
            </w:r>
            <w:r>
              <w:rPr>
                <w:rFonts w:hint="eastAsia" w:ascii="宋体" w:hAnsi="宋体" w:eastAsia="宋体" w:cs="宋体"/>
                <w:color w:val="000000"/>
                <w:kern w:val="0"/>
                <w:sz w:val="24"/>
                <w:szCs w:val="24"/>
                <w:u w:val="none"/>
                <w:lang w:eastAsia="zh-CN"/>
              </w:rPr>
              <w:t>和结算方式不变。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45" w:type="pct"/>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拟采用的评标办法</w:t>
            </w:r>
          </w:p>
        </w:tc>
        <w:tc>
          <w:tcPr>
            <w:tcW w:w="1063" w:type="pct"/>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hint="eastAsia" w:ascii="宋体" w:hAnsi="宋体" w:eastAsia="宋体" w:cs="宋体"/>
                <w:color w:val="000000"/>
                <w:kern w:val="0"/>
                <w:sz w:val="21"/>
                <w:szCs w:val="21"/>
              </w:rPr>
            </w:pPr>
          </w:p>
        </w:tc>
        <w:tc>
          <w:tcPr>
            <w:tcW w:w="2691" w:type="pct"/>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hint="eastAsia" w:ascii="宋体" w:hAnsi="宋体" w:cs="宋体"/>
                <w:sz w:val="21"/>
                <w:szCs w:val="21"/>
                <w:lang w:eastAsia="zh-CN"/>
              </w:rPr>
            </w:pPr>
          </w:p>
          <w:p>
            <w:pPr>
              <w:pStyle w:val="6"/>
              <w:keepNext w:val="0"/>
              <w:keepLines w:val="0"/>
              <w:pageBreakBefore w:val="0"/>
              <w:kinsoku/>
              <w:wordWrap/>
              <w:overflowPunct/>
              <w:topLinePunct w:val="0"/>
              <w:autoSpaceDE/>
              <w:autoSpaceDN/>
              <w:bidi w:val="0"/>
              <w:adjustRightInd/>
              <w:snapToGrid/>
              <w:spacing w:line="280" w:lineRule="exact"/>
              <w:textAlignment w:val="auto"/>
              <w:rPr>
                <w:rFonts w:hint="eastAsia" w:eastAsia="宋体"/>
                <w:sz w:val="21"/>
                <w:szCs w:val="21"/>
                <w:lang w:val="en-US" w:eastAsia="zh-CN"/>
              </w:rPr>
            </w:pPr>
            <w:r>
              <w:rPr>
                <w:rFonts w:hint="eastAsia" w:eastAsia="宋体"/>
                <w:sz w:val="21"/>
                <w:szCs w:val="21"/>
                <w:lang w:val="en-US" w:eastAsia="zh-CN"/>
              </w:rPr>
              <w:t>综合评估法（平均价）</w:t>
            </w:r>
          </w:p>
          <w:p>
            <w:pPr>
              <w:pStyle w:val="6"/>
              <w:keepNext w:val="0"/>
              <w:keepLines w:val="0"/>
              <w:pageBreakBefore w:val="0"/>
              <w:kinsoku/>
              <w:wordWrap/>
              <w:overflowPunct/>
              <w:topLinePunct w:val="0"/>
              <w:autoSpaceDE/>
              <w:autoSpaceDN/>
              <w:bidi w:val="0"/>
              <w:adjustRightInd/>
              <w:snapToGrid/>
              <w:spacing w:line="280" w:lineRule="exact"/>
              <w:textAlignment w:val="auto"/>
              <w:rPr>
                <w:rFonts w:hint="eastAsia" w:eastAsia="宋体"/>
                <w:sz w:val="21"/>
                <w:szCs w:val="21"/>
                <w:lang w:val="en-US" w:eastAsia="zh-CN"/>
              </w:rPr>
            </w:pPr>
          </w:p>
        </w:tc>
      </w:tr>
    </w:tbl>
    <w:p>
      <w:pPr>
        <w:widowControl/>
        <w:jc w:val="left"/>
        <w:rPr>
          <w:rFonts w:ascii="Times New Roman" w:hAnsi="Times New Roman" w:eastAsia="仿宋_GB2312"/>
          <w:bCs/>
          <w:color w:val="000000"/>
          <w:kern w:val="0"/>
          <w:szCs w:val="21"/>
        </w:rPr>
      </w:pPr>
      <w:r>
        <w:rPr>
          <w:rFonts w:ascii="Times New Roman" w:hAnsi="Times New Roman" w:eastAsia="仿宋_GB2312"/>
          <w:bCs/>
          <w:color w:val="000000"/>
          <w:kern w:val="0"/>
          <w:szCs w:val="21"/>
        </w:rPr>
        <w:br w:type="page"/>
      </w:r>
    </w:p>
    <w:p>
      <w:pPr>
        <w:tabs>
          <w:tab w:val="left" w:pos="7575"/>
        </w:tabs>
        <w:spacing w:line="420" w:lineRule="exact"/>
        <w:ind w:firstLine="482" w:firstLineChars="200"/>
        <w:rPr>
          <w:rFonts w:ascii="Times New Roman" w:hAnsi="Times New Roman"/>
          <w:b/>
          <w:sz w:val="24"/>
          <w:szCs w:val="24"/>
        </w:rPr>
      </w:pPr>
      <w:bookmarkStart w:id="10" w:name="_Toc482188645"/>
      <w:bookmarkStart w:id="11" w:name="_Toc482188637"/>
      <w:r>
        <w:rPr>
          <w:rFonts w:hint="eastAsia" w:ascii="Times New Roman" w:hAnsi="Times New Roman"/>
          <w:b/>
          <w:sz w:val="24"/>
          <w:szCs w:val="24"/>
          <w:lang w:eastAsia="zh-CN"/>
        </w:rPr>
        <w:t>二</w:t>
      </w:r>
      <w:r>
        <w:rPr>
          <w:rFonts w:hint="eastAsia" w:ascii="Times New Roman" w:hAnsi="Times New Roman"/>
          <w:b/>
          <w:sz w:val="24"/>
          <w:szCs w:val="24"/>
        </w:rPr>
        <w:t>、项目概况</w:t>
      </w:r>
    </w:p>
    <w:bookmarkEnd w:id="10"/>
    <w:bookmarkEnd w:id="11"/>
    <w:p>
      <w:pPr>
        <w:tabs>
          <w:tab w:val="left" w:pos="7575"/>
        </w:tabs>
        <w:spacing w:line="420" w:lineRule="exact"/>
        <w:ind w:firstLine="480" w:firstLineChars="200"/>
        <w:rPr>
          <w:rFonts w:hint="eastAsia" w:ascii="Times New Roman" w:hAnsi="Times New Roman"/>
          <w:sz w:val="24"/>
          <w:szCs w:val="24"/>
        </w:rPr>
      </w:pPr>
      <w:bookmarkStart w:id="12" w:name="_Toc482188638"/>
      <w:r>
        <w:rPr>
          <w:rFonts w:hint="eastAsia" w:ascii="Times New Roman" w:hAnsi="Times New Roman"/>
          <w:sz w:val="24"/>
          <w:szCs w:val="24"/>
          <w:lang w:eastAsia="zh-CN"/>
        </w:rPr>
        <w:t>为</w:t>
      </w:r>
      <w:r>
        <w:rPr>
          <w:rFonts w:hint="eastAsia" w:ascii="Times New Roman" w:hAnsi="Times New Roman"/>
          <w:sz w:val="24"/>
          <w:szCs w:val="24"/>
        </w:rPr>
        <w:t>经开区锦绣社区、临湖社区、芙蓉社区、莲花社区、新港</w:t>
      </w:r>
      <w:r>
        <w:rPr>
          <w:rFonts w:hint="eastAsia" w:ascii="Times New Roman" w:hAnsi="Times New Roman"/>
          <w:sz w:val="24"/>
          <w:szCs w:val="24"/>
          <w:lang w:eastAsia="zh-CN"/>
        </w:rPr>
        <w:t>社区</w:t>
      </w:r>
      <w:r>
        <w:rPr>
          <w:rFonts w:hint="eastAsia" w:ascii="Times New Roman" w:hAnsi="Times New Roman"/>
          <w:sz w:val="24"/>
          <w:szCs w:val="24"/>
        </w:rPr>
        <w:t>、高刘街道六个社区（街道）的社区安置房及公共设施维修</w:t>
      </w:r>
      <w:r>
        <w:rPr>
          <w:rFonts w:hint="eastAsia" w:ascii="Times New Roman" w:hAnsi="Times New Roman"/>
          <w:sz w:val="24"/>
          <w:szCs w:val="24"/>
          <w:lang w:eastAsia="zh-CN"/>
        </w:rPr>
        <w:t>提供</w:t>
      </w:r>
      <w:r>
        <w:rPr>
          <w:rFonts w:hint="eastAsia" w:ascii="Times New Roman" w:hAnsi="Times New Roman"/>
          <w:sz w:val="24"/>
          <w:szCs w:val="24"/>
        </w:rPr>
        <w:t>监理</w:t>
      </w:r>
      <w:r>
        <w:rPr>
          <w:rFonts w:hint="eastAsia" w:ascii="Times New Roman" w:hAnsi="Times New Roman"/>
          <w:sz w:val="24"/>
          <w:szCs w:val="24"/>
          <w:lang w:eastAsia="zh-CN"/>
        </w:rPr>
        <w:t>服务</w:t>
      </w:r>
      <w:r>
        <w:rPr>
          <w:rFonts w:hint="eastAsia" w:ascii="Times New Roman" w:hAnsi="Times New Roman"/>
          <w:sz w:val="24"/>
          <w:szCs w:val="24"/>
        </w:rPr>
        <w:t>，项目涵盖经开区南北两个区，涉及安置房面积约380万平方米。</w:t>
      </w:r>
    </w:p>
    <w:p>
      <w:pPr>
        <w:tabs>
          <w:tab w:val="left" w:pos="7575"/>
        </w:tabs>
        <w:spacing w:line="420" w:lineRule="exact"/>
        <w:ind w:firstLine="482" w:firstLineChars="200"/>
        <w:rPr>
          <w:rFonts w:ascii="Times New Roman" w:hAnsi="Times New Roman" w:eastAsia="宋体" w:cs="Times New Roman"/>
          <w:sz w:val="24"/>
          <w:szCs w:val="24"/>
        </w:rPr>
      </w:pPr>
      <w:r>
        <w:rPr>
          <w:rFonts w:hint="eastAsia" w:ascii="Times New Roman" w:hAnsi="Times New Roman"/>
          <w:b/>
          <w:sz w:val="24"/>
          <w:szCs w:val="24"/>
          <w:lang w:eastAsia="zh-CN"/>
        </w:rPr>
        <w:t>三</w:t>
      </w:r>
      <w:r>
        <w:rPr>
          <w:rFonts w:ascii="Times New Roman" w:hAnsi="Times New Roman"/>
          <w:b/>
          <w:sz w:val="24"/>
          <w:szCs w:val="24"/>
        </w:rPr>
        <w:t>、</w:t>
      </w:r>
      <w:bookmarkEnd w:id="12"/>
      <w:bookmarkStart w:id="13" w:name="_Toc482188639"/>
      <w:r>
        <w:rPr>
          <w:rFonts w:hint="eastAsia" w:ascii="宋体" w:hAnsi="宋体" w:eastAsia="宋体" w:cs="Calibri"/>
          <w:b/>
          <w:bCs/>
          <w:sz w:val="24"/>
          <w:szCs w:val="24"/>
        </w:rPr>
        <w:t>服务内容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审计内容。建设程序执行情况；项目法人、招标投标、合同管理、工程监理和检测等有关建设管理制度执行情况；建设资金的筹集与使用、建设成本和其他财务收支情况；工程价款初审、支付以及工程造价控制情况；设备和材料的采购、保管和使用情况；工程质量管理情况；经济、社会、环境等投资效益情况；配合工程结算审计；法律、法规规定应当审计的其他内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跟踪审计具体工作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造价审计方面：整个项目概算执行情况（包括概算及方案内容）检查分析；清单控制价复核及分析；主体及配套等工程进度款审核；水电气等专项合同的预算审核；现场工程变更造价测算、审核项目各类合同价款调整测算和审核、工程量核实、清单外材料市场询价、工程初审及配合工程结算等（以上工作不得超过采购人要求时限），并书面签署意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审计监督方面：项目前期工作内容检查，鉴证重点隐蔽工程验收，工程变更办理程序检查监督，监督工程各分部工程验收及竣工验收程序，质量、安全、进度管理情况，跟踪检查项目参建各方是否按合同履约。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其他方面要求：</w:t>
      </w:r>
      <w:r>
        <w:rPr>
          <w:rFonts w:hint="eastAsia" w:ascii="宋体" w:hAnsi="宋体" w:eastAsia="宋体" w:cs="宋体"/>
          <w:sz w:val="24"/>
          <w:szCs w:val="24"/>
          <w:lang w:eastAsia="zh-CN"/>
        </w:rPr>
        <w:t>中标人</w:t>
      </w:r>
      <w:r>
        <w:rPr>
          <w:rFonts w:hint="eastAsia" w:ascii="宋体" w:hAnsi="宋体" w:eastAsia="宋体" w:cs="宋体"/>
          <w:sz w:val="24"/>
          <w:szCs w:val="24"/>
        </w:rPr>
        <w:t>根据相关规定参与工程例会及各专项协调会，按时出各种审计报表，并提供工程必要的造价服务支持；各项新材料、新技术、新工艺推广经济分析，造价方案论证、审核。记录审计日志，收集并汇总日常审核工作资料，为竣工结算提供依据；完成竣工初审并出具审计报告；配合结算终审工作；施工纠纷专业支持；采购人交办的其他与本项目有关的工作。</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四、</w:t>
      </w:r>
      <w:r>
        <w:rPr>
          <w:rFonts w:hint="eastAsia" w:ascii="宋体" w:hAnsi="宋体" w:eastAsia="宋体" w:cs="宋体"/>
          <w:b/>
          <w:bCs/>
          <w:sz w:val="24"/>
          <w:szCs w:val="24"/>
        </w:rPr>
        <w:t>服务要求</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（一）审核时限要求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1.进度款审核，在收到完整的进度款申报资料后3天内完成，并出具审核成果；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2.合同外造价变更测算、审核，在收到完整的报送资料后5日完成，并出具审核成果；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3.跟踪审计竣工结算审核时限：收到结算资料后10天完成，并出具审核说明及初审定案表；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审计开展期间，报审资料不齐全或被审计单位配合不力的，</w:t>
      </w:r>
      <w:r>
        <w:rPr>
          <w:rFonts w:hint="eastAsia" w:ascii="宋体" w:hAnsi="宋体" w:eastAsia="宋体" w:cs="宋体"/>
          <w:sz w:val="24"/>
          <w:szCs w:val="24"/>
          <w:lang w:eastAsia="zh-CN"/>
        </w:rPr>
        <w:t>中标人</w:t>
      </w:r>
      <w:r>
        <w:rPr>
          <w:rFonts w:hint="eastAsia" w:ascii="宋体" w:hAnsi="宋体" w:eastAsia="宋体" w:cs="宋体"/>
          <w:sz w:val="24"/>
          <w:szCs w:val="24"/>
        </w:rPr>
        <w:t>应认真做好工作记录，并及时向</w:t>
      </w:r>
      <w:r>
        <w:rPr>
          <w:rFonts w:hint="eastAsia" w:ascii="宋体" w:hAnsi="宋体" w:eastAsia="宋体" w:cs="宋体"/>
          <w:sz w:val="24"/>
          <w:szCs w:val="24"/>
          <w:lang w:eastAsia="zh-CN"/>
        </w:rPr>
        <w:t>采购人</w:t>
      </w:r>
      <w:r>
        <w:rPr>
          <w:rFonts w:hint="eastAsia" w:ascii="宋体" w:hAnsi="宋体" w:eastAsia="宋体" w:cs="宋体"/>
          <w:sz w:val="24"/>
          <w:szCs w:val="24"/>
        </w:rPr>
        <w:t>报告，因此延误时间不计入审计要求时限。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人员要求</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96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人员配置情况：</w:t>
      </w:r>
    </w:p>
    <w:p>
      <w:pPr>
        <w:numPr>
          <w:ilvl w:val="0"/>
          <w:numId w:val="0"/>
        </w:numPr>
        <w:spacing w:line="440" w:lineRule="exact"/>
        <w:ind w:left="960" w:leftChars="0"/>
        <w:rPr>
          <w:rFonts w:hint="eastAsia" w:asciiTheme="minorEastAsia" w:hAnsiTheme="minorEastAsia" w:eastAsiaTheme="minorEastAsia" w:cstheme="minorEastAsia"/>
          <w:sz w:val="24"/>
          <w:szCs w:val="24"/>
        </w:rPr>
      </w:pPr>
    </w:p>
    <w:p>
      <w:pPr>
        <w:numPr>
          <w:ilvl w:val="0"/>
          <w:numId w:val="0"/>
        </w:numPr>
        <w:spacing w:line="400" w:lineRule="exact"/>
        <w:rPr>
          <w:rFonts w:hint="default" w:ascii="宋体" w:hAnsi="宋体" w:eastAsia="宋体" w:cs="宋体"/>
          <w:sz w:val="24"/>
          <w:szCs w:val="24"/>
          <w:lang w:val="en-US" w:eastAsia="zh-CN"/>
        </w:rPr>
      </w:pPr>
    </w:p>
    <w:tbl>
      <w:tblPr>
        <w:tblStyle w:val="20"/>
        <w:tblW w:w="871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1450"/>
        <w:gridCol w:w="1400"/>
        <w:gridCol w:w="3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158" w:type="dxa"/>
            <w:shd w:val="clear" w:color="auto" w:fill="FFFFFF" w:themeFill="background1"/>
            <w:vAlign w:val="center"/>
          </w:tcPr>
          <w:p>
            <w:pPr>
              <w:jc w:val="center"/>
              <w:rPr>
                <w:rFonts w:hint="eastAsia" w:ascii="宋体" w:hAnsi="宋体" w:eastAsia="宋体" w:cs="宋体"/>
                <w:b/>
                <w:bCs/>
                <w:sz w:val="24"/>
                <w:szCs w:val="24"/>
                <w:shd w:val="clear" w:color="auto" w:fill="auto"/>
                <w:vertAlign w:val="baseline"/>
                <w:lang w:val="en-US" w:eastAsia="zh-CN"/>
              </w:rPr>
            </w:pPr>
            <w:r>
              <w:rPr>
                <w:rFonts w:hint="eastAsia" w:ascii="宋体" w:hAnsi="宋体" w:eastAsia="宋体" w:cs="宋体"/>
                <w:b/>
                <w:bCs/>
                <w:sz w:val="24"/>
                <w:szCs w:val="24"/>
                <w:shd w:val="clear" w:color="auto" w:fill="auto"/>
                <w:vertAlign w:val="baseline"/>
                <w:lang w:val="en-US" w:eastAsia="zh-CN"/>
              </w:rPr>
              <w:t>人员岗位</w:t>
            </w:r>
          </w:p>
        </w:tc>
        <w:tc>
          <w:tcPr>
            <w:tcW w:w="1450" w:type="dxa"/>
            <w:shd w:val="clear" w:color="auto" w:fill="FFFFFF" w:themeFill="background1"/>
            <w:vAlign w:val="center"/>
          </w:tcPr>
          <w:p>
            <w:pPr>
              <w:jc w:val="center"/>
              <w:rPr>
                <w:rFonts w:hint="eastAsia" w:ascii="宋体" w:hAnsi="宋体" w:eastAsia="宋体" w:cs="宋体"/>
                <w:b/>
                <w:bCs/>
                <w:sz w:val="24"/>
                <w:szCs w:val="24"/>
                <w:shd w:val="clear" w:color="auto" w:fill="auto"/>
                <w:vertAlign w:val="baseline"/>
                <w:lang w:val="en-US" w:eastAsia="zh-CN"/>
              </w:rPr>
            </w:pPr>
            <w:r>
              <w:rPr>
                <w:rFonts w:hint="eastAsia" w:ascii="宋体" w:hAnsi="宋体" w:eastAsia="宋体" w:cs="宋体"/>
                <w:b/>
                <w:bCs/>
                <w:sz w:val="24"/>
                <w:szCs w:val="24"/>
                <w:shd w:val="clear" w:color="auto" w:fill="auto"/>
                <w:vertAlign w:val="baseline"/>
                <w:lang w:val="en-US" w:eastAsia="zh-CN"/>
              </w:rPr>
              <w:t>数量</w:t>
            </w:r>
          </w:p>
        </w:tc>
        <w:tc>
          <w:tcPr>
            <w:tcW w:w="1400" w:type="dxa"/>
            <w:shd w:val="clear" w:color="auto" w:fill="FFFFFF" w:themeFill="background1"/>
            <w:vAlign w:val="center"/>
          </w:tcPr>
          <w:p>
            <w:pPr>
              <w:jc w:val="center"/>
              <w:rPr>
                <w:rFonts w:hint="eastAsia" w:ascii="宋体" w:hAnsi="宋体" w:eastAsia="宋体" w:cs="宋体"/>
                <w:b/>
                <w:bCs/>
                <w:sz w:val="24"/>
                <w:szCs w:val="24"/>
                <w:shd w:val="clear" w:color="auto" w:fill="auto"/>
                <w:vertAlign w:val="baseline"/>
                <w:lang w:val="en-US" w:eastAsia="zh-CN"/>
              </w:rPr>
            </w:pPr>
            <w:r>
              <w:rPr>
                <w:rFonts w:hint="eastAsia" w:ascii="宋体" w:hAnsi="宋体" w:eastAsia="宋体" w:cs="宋体"/>
                <w:b/>
                <w:bCs/>
                <w:sz w:val="24"/>
                <w:szCs w:val="24"/>
                <w:shd w:val="clear" w:color="auto" w:fill="auto"/>
                <w:vertAlign w:val="baseline"/>
                <w:lang w:val="en-US" w:eastAsia="zh-CN"/>
              </w:rPr>
              <w:t>专业</w:t>
            </w:r>
          </w:p>
        </w:tc>
        <w:tc>
          <w:tcPr>
            <w:tcW w:w="3710" w:type="dxa"/>
            <w:shd w:val="clear" w:color="auto" w:fill="FFFFFF" w:themeFill="background1"/>
            <w:vAlign w:val="center"/>
          </w:tcPr>
          <w:p>
            <w:pPr>
              <w:jc w:val="center"/>
              <w:rPr>
                <w:rFonts w:hint="eastAsia" w:ascii="宋体" w:hAnsi="宋体" w:eastAsia="宋体" w:cs="宋体"/>
                <w:b/>
                <w:bCs/>
                <w:sz w:val="24"/>
                <w:szCs w:val="24"/>
                <w:shd w:val="clear" w:color="auto" w:fill="auto"/>
                <w:vertAlign w:val="baseline"/>
                <w:lang w:val="en-US" w:eastAsia="zh-CN"/>
              </w:rPr>
            </w:pPr>
            <w:r>
              <w:rPr>
                <w:rFonts w:hint="eastAsia" w:ascii="宋体" w:hAnsi="宋体" w:eastAsia="宋体" w:cs="宋体"/>
                <w:b/>
                <w:bCs/>
                <w:sz w:val="24"/>
                <w:szCs w:val="24"/>
                <w:shd w:val="clear" w:color="auto" w:fil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2158"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项目负责人</w:t>
            </w:r>
          </w:p>
        </w:tc>
        <w:tc>
          <w:tcPr>
            <w:tcW w:w="1450"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40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土建</w:t>
            </w:r>
          </w:p>
        </w:tc>
        <w:tc>
          <w:tcPr>
            <w:tcW w:w="3710"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初审需提供身份证明、资格证书及社保证明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2158" w:type="dxa"/>
            <w:vAlign w:val="center"/>
          </w:tcPr>
          <w:p>
            <w:pPr>
              <w:jc w:val="center"/>
              <w:rPr>
                <w:rFonts w:hint="eastAsia" w:ascii="宋体" w:hAnsi="宋体" w:eastAsia="宋体" w:cs="宋体"/>
                <w:b/>
                <w:bCs/>
                <w:sz w:val="24"/>
                <w:szCs w:val="24"/>
                <w:vertAlign w:val="baseline"/>
                <w:lang w:val="en-US" w:eastAsia="zh-CN"/>
              </w:rPr>
            </w:pPr>
            <w:r>
              <w:rPr>
                <w:rFonts w:hint="eastAsia" w:asciiTheme="minorEastAsia" w:hAnsiTheme="minorEastAsia" w:eastAsiaTheme="minorEastAsia" w:cstheme="minorEastAsia"/>
                <w:b/>
                <w:bCs/>
                <w:kern w:val="0"/>
                <w:sz w:val="24"/>
                <w:szCs w:val="24"/>
              </w:rPr>
              <w:t>土建主审</w:t>
            </w:r>
          </w:p>
        </w:tc>
        <w:tc>
          <w:tcPr>
            <w:tcW w:w="1450"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40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土建</w:t>
            </w:r>
          </w:p>
        </w:tc>
        <w:tc>
          <w:tcPr>
            <w:tcW w:w="3710"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2158"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安装主审</w:t>
            </w:r>
          </w:p>
        </w:tc>
        <w:tc>
          <w:tcPr>
            <w:tcW w:w="1450"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40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安装</w:t>
            </w:r>
          </w:p>
        </w:tc>
        <w:tc>
          <w:tcPr>
            <w:tcW w:w="3710"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2158"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i w:val="0"/>
                <w:color w:val="000000"/>
                <w:kern w:val="0"/>
                <w:sz w:val="24"/>
                <w:szCs w:val="24"/>
                <w:highlight w:val="none"/>
                <w:u w:val="none"/>
                <w:lang w:val="en-US" w:eastAsia="zh-CN" w:bidi="ar"/>
              </w:rPr>
              <w:t>专业审计人员</w:t>
            </w:r>
          </w:p>
        </w:tc>
        <w:tc>
          <w:tcPr>
            <w:tcW w:w="1450"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40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土建</w:t>
            </w:r>
          </w:p>
        </w:tc>
        <w:tc>
          <w:tcPr>
            <w:tcW w:w="3710"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2158"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i w:val="0"/>
                <w:color w:val="000000"/>
                <w:kern w:val="0"/>
                <w:sz w:val="24"/>
                <w:szCs w:val="24"/>
                <w:highlight w:val="none"/>
                <w:u w:val="none"/>
                <w:lang w:val="en-US" w:eastAsia="zh-CN" w:bidi="ar"/>
              </w:rPr>
              <w:t>专业审计人员</w:t>
            </w:r>
          </w:p>
        </w:tc>
        <w:tc>
          <w:tcPr>
            <w:tcW w:w="1450"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40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安装</w:t>
            </w:r>
          </w:p>
        </w:tc>
        <w:tc>
          <w:tcPr>
            <w:tcW w:w="3710"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2158" w:type="dxa"/>
            <w:vAlign w:val="center"/>
          </w:tcPr>
          <w:p>
            <w:pPr>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专业审计人员</w:t>
            </w:r>
          </w:p>
        </w:tc>
        <w:tc>
          <w:tcPr>
            <w:tcW w:w="1450"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40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驻场</w:t>
            </w:r>
          </w:p>
        </w:tc>
        <w:tc>
          <w:tcPr>
            <w:tcW w:w="3710" w:type="dxa"/>
            <w:vAlign w:val="center"/>
          </w:tcPr>
          <w:p>
            <w:pPr>
              <w:jc w:val="center"/>
              <w:rPr>
                <w:rFonts w:hint="eastAsia" w:ascii="宋体" w:hAnsi="宋体" w:eastAsia="宋体" w:cs="宋体"/>
                <w:sz w:val="24"/>
                <w:szCs w:val="24"/>
                <w:vertAlign w:val="baseline"/>
                <w:lang w:val="en-US" w:eastAsia="zh-CN"/>
              </w:rPr>
            </w:pPr>
          </w:p>
        </w:tc>
      </w:tr>
    </w:tbl>
    <w:p>
      <w:pPr>
        <w:numPr>
          <w:ilvl w:val="0"/>
          <w:numId w:val="0"/>
        </w:num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备注：中标后，中标人应提供上表中各岗位人员任职名单，并提供相应职业资格证书。</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不得泄露审计项目信息、不得泄露项目各阶段涉密事项；</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3.当项目需要时，</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需协助</w:t>
      </w:r>
      <w:r>
        <w:rPr>
          <w:rFonts w:hint="eastAsia" w:asciiTheme="minorEastAsia" w:hAnsiTheme="minorEastAsia" w:cstheme="minorEastAsia"/>
          <w:sz w:val="24"/>
          <w:szCs w:val="24"/>
          <w:lang w:eastAsia="zh-CN"/>
        </w:rPr>
        <w:t>采购人</w:t>
      </w:r>
      <w:r>
        <w:rPr>
          <w:rFonts w:hint="eastAsia" w:asciiTheme="minorEastAsia" w:hAnsiTheme="minorEastAsia" w:eastAsiaTheme="minorEastAsia" w:cstheme="minorEastAsia"/>
          <w:sz w:val="24"/>
          <w:szCs w:val="24"/>
        </w:rPr>
        <w:t>，在技术方面给予支持；</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bookmarkStart w:id="15" w:name="_GoBack"/>
      <w:bookmarkEnd w:id="15"/>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所报人员原则上不得调换，未经</w:t>
      </w:r>
      <w:r>
        <w:rPr>
          <w:rFonts w:hint="eastAsia" w:asciiTheme="minorEastAsia" w:hAnsiTheme="minorEastAsia" w:cstheme="minorEastAsia"/>
          <w:sz w:val="24"/>
          <w:szCs w:val="24"/>
          <w:lang w:eastAsia="zh-CN"/>
        </w:rPr>
        <w:t>采购人</w:t>
      </w:r>
      <w:r>
        <w:rPr>
          <w:rFonts w:hint="eastAsia" w:asciiTheme="minorEastAsia" w:hAnsiTheme="minorEastAsia" w:eastAsiaTheme="minorEastAsia" w:cstheme="minorEastAsia"/>
          <w:sz w:val="24"/>
          <w:szCs w:val="24"/>
        </w:rPr>
        <w:t>同意擅自调换的，</w:t>
      </w:r>
      <w:r>
        <w:rPr>
          <w:rFonts w:hint="eastAsia" w:asciiTheme="minorEastAsia" w:hAnsiTheme="minorEastAsia" w:eastAsiaTheme="minorEastAsia" w:cstheme="minorEastAsia"/>
          <w:sz w:val="24"/>
          <w:szCs w:val="24"/>
          <w:lang w:eastAsia="zh-CN"/>
        </w:rPr>
        <w:t>扣除履约保证金</w:t>
      </w:r>
      <w:r>
        <w:rPr>
          <w:rFonts w:hint="eastAsia" w:asciiTheme="minorEastAsia" w:hAnsiTheme="minorEastAsia" w:eastAsiaTheme="minorEastAsia" w:cstheme="minorEastAsia"/>
          <w:sz w:val="24"/>
          <w:szCs w:val="24"/>
          <w:lang w:val="en-US" w:eastAsia="zh-CN"/>
        </w:rPr>
        <w:t>5000</w:t>
      </w:r>
      <w:r>
        <w:rPr>
          <w:rFonts w:hint="eastAsia" w:asciiTheme="minorEastAsia" w:hAnsiTheme="minorEastAsia" w:eastAsiaTheme="minorEastAsia" w:cstheme="minorEastAsia"/>
          <w:sz w:val="24"/>
          <w:szCs w:val="24"/>
        </w:rPr>
        <w:t>元/人·次（项目负责人</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万元/次）；因特殊原因确需调换的，须经</w:t>
      </w:r>
      <w:r>
        <w:rPr>
          <w:rFonts w:hint="eastAsia" w:asciiTheme="minorEastAsia" w:hAnsiTheme="minorEastAsia" w:cstheme="minorEastAsia"/>
          <w:sz w:val="24"/>
          <w:szCs w:val="24"/>
          <w:lang w:eastAsia="zh-CN"/>
        </w:rPr>
        <w:t>采购人</w:t>
      </w:r>
      <w:r>
        <w:rPr>
          <w:rFonts w:hint="eastAsia" w:asciiTheme="minorEastAsia" w:hAnsiTheme="minorEastAsia" w:eastAsiaTheme="minorEastAsia" w:cstheme="minorEastAsia"/>
          <w:sz w:val="24"/>
          <w:szCs w:val="24"/>
        </w:rPr>
        <w:t>审批，替换人员资历资格不得低于投标配备人员，</w:t>
      </w:r>
      <w:r>
        <w:rPr>
          <w:rFonts w:hint="eastAsia" w:asciiTheme="minorEastAsia" w:hAnsiTheme="minorEastAsia" w:eastAsiaTheme="minorEastAsia" w:cstheme="minorEastAsia"/>
          <w:sz w:val="24"/>
          <w:szCs w:val="24"/>
          <w:lang w:eastAsia="zh-CN"/>
        </w:rPr>
        <w:t>未达到要求，扣除履约保证</w:t>
      </w:r>
      <w:r>
        <w:rPr>
          <w:rFonts w:hint="eastAsia" w:asciiTheme="minorEastAsia" w:hAnsiTheme="minorEastAsia" w:eastAsiaTheme="minorEastAsia" w:cstheme="minorEastAsia"/>
          <w:sz w:val="24"/>
          <w:szCs w:val="24"/>
        </w:rPr>
        <w:t>金</w:t>
      </w:r>
      <w:r>
        <w:rPr>
          <w:rFonts w:hint="eastAsia" w:asciiTheme="minorEastAsia" w:hAnsiTheme="minorEastAsia" w:eastAsiaTheme="minorEastAsia" w:cstheme="minorEastAsia"/>
          <w:sz w:val="24"/>
          <w:szCs w:val="24"/>
          <w:lang w:val="en-US" w:eastAsia="zh-CN"/>
        </w:rPr>
        <w:t>5000</w:t>
      </w:r>
      <w:r>
        <w:rPr>
          <w:rFonts w:hint="eastAsia" w:asciiTheme="minorEastAsia" w:hAnsiTheme="minorEastAsia" w:eastAsiaTheme="minorEastAsia" w:cstheme="minorEastAsia"/>
          <w:sz w:val="24"/>
          <w:szCs w:val="24"/>
        </w:rPr>
        <w:t>元/人·次（项目负责人</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万元/次）。</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5.本项目禁止挂靠或转包，有下列情形之一，视同</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挂靠或转包，</w:t>
      </w:r>
      <w:r>
        <w:rPr>
          <w:rFonts w:hint="eastAsia" w:asciiTheme="minorEastAsia" w:hAnsiTheme="minorEastAsia" w:cstheme="minorEastAsia"/>
          <w:sz w:val="24"/>
          <w:szCs w:val="24"/>
          <w:lang w:eastAsia="zh-CN"/>
        </w:rPr>
        <w:t>采购人</w:t>
      </w:r>
      <w:r>
        <w:rPr>
          <w:rFonts w:hint="eastAsia" w:asciiTheme="minorEastAsia" w:hAnsiTheme="minorEastAsia" w:eastAsiaTheme="minorEastAsia" w:cstheme="minorEastAsia"/>
          <w:sz w:val="24"/>
          <w:szCs w:val="24"/>
        </w:rPr>
        <w:t>有权拒绝与</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签订合同或解除已签订的合同，并上报监管部门进行依法依规处理：</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（1）合同签订后</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即申请投标所报人员进行调换，并申请调换人员达2人及以上的；</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eastAsia="zh-CN"/>
        </w:rPr>
        <w:t>采购人</w:t>
      </w:r>
      <w:r>
        <w:rPr>
          <w:rFonts w:hint="eastAsia" w:asciiTheme="minorEastAsia" w:hAnsiTheme="minorEastAsia" w:eastAsiaTheme="minorEastAsia" w:cstheme="minorEastAsia"/>
          <w:sz w:val="24"/>
          <w:szCs w:val="24"/>
        </w:rPr>
        <w:t>组织中标约谈及每月审计例会，要求上述人员配备需求表中的</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人员全部参加的，参加人员累计缺席超3人次的。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五、其他要求</w:t>
      </w:r>
    </w:p>
    <w:p>
      <w:pPr>
        <w:spacing w:line="360" w:lineRule="auto"/>
        <w:ind w:firstLine="437"/>
        <w:outlineLvl w:val="3"/>
        <w:rPr>
          <w:bCs/>
          <w:sz w:val="24"/>
          <w:szCs w:val="24"/>
        </w:rPr>
      </w:pPr>
      <w:r>
        <w:rPr>
          <w:rFonts w:hint="eastAsia"/>
          <w:bCs/>
          <w:sz w:val="24"/>
          <w:szCs w:val="24"/>
        </w:rPr>
        <w:t>1.</w:t>
      </w:r>
      <w:r>
        <w:rPr>
          <w:rFonts w:hint="eastAsia"/>
          <w:bCs/>
          <w:sz w:val="24"/>
          <w:szCs w:val="24"/>
          <w:lang w:eastAsia="zh-CN"/>
        </w:rPr>
        <w:t>中标人</w:t>
      </w:r>
      <w:r>
        <w:rPr>
          <w:rFonts w:hint="eastAsia"/>
          <w:bCs/>
          <w:sz w:val="24"/>
          <w:szCs w:val="24"/>
        </w:rPr>
        <w:t>要切实提高造价审计质量，</w:t>
      </w:r>
      <w:r>
        <w:rPr>
          <w:rFonts w:hint="eastAsia"/>
          <w:bCs/>
          <w:sz w:val="24"/>
          <w:szCs w:val="24"/>
          <w:lang w:eastAsia="zh-CN"/>
        </w:rPr>
        <w:t>采购人</w:t>
      </w:r>
      <w:r>
        <w:rPr>
          <w:rFonts w:hint="eastAsia"/>
          <w:bCs/>
          <w:sz w:val="24"/>
          <w:szCs w:val="24"/>
        </w:rPr>
        <w:t>将对</w:t>
      </w:r>
      <w:r>
        <w:rPr>
          <w:rFonts w:hint="eastAsia"/>
          <w:bCs/>
          <w:sz w:val="24"/>
          <w:szCs w:val="24"/>
          <w:lang w:eastAsia="zh-CN"/>
        </w:rPr>
        <w:t>中标人</w:t>
      </w:r>
      <w:r>
        <w:rPr>
          <w:rFonts w:hint="eastAsia"/>
          <w:bCs/>
          <w:sz w:val="24"/>
          <w:szCs w:val="24"/>
        </w:rPr>
        <w:t>服务质量进行考核，考核内容、评分标准及结果运用按照</w:t>
      </w:r>
      <w:r>
        <w:rPr>
          <w:rFonts w:hint="eastAsia"/>
          <w:bCs/>
          <w:sz w:val="24"/>
          <w:szCs w:val="24"/>
          <w:lang w:eastAsia="zh-CN"/>
        </w:rPr>
        <w:t>采购人</w:t>
      </w:r>
      <w:r>
        <w:rPr>
          <w:rFonts w:hint="eastAsia"/>
          <w:bCs/>
          <w:sz w:val="24"/>
          <w:szCs w:val="24"/>
        </w:rPr>
        <w:t>相关考评制度执行。</w:t>
      </w:r>
    </w:p>
    <w:p>
      <w:pPr>
        <w:spacing w:line="360" w:lineRule="auto"/>
        <w:ind w:firstLine="437"/>
        <w:outlineLvl w:val="3"/>
        <w:rPr>
          <w:rFonts w:hint="eastAsia" w:asciiTheme="minorEastAsia" w:hAnsiTheme="minorEastAsia" w:eastAsiaTheme="minorEastAsia" w:cstheme="minorEastAsia"/>
          <w:sz w:val="24"/>
          <w:szCs w:val="24"/>
        </w:rPr>
      </w:pPr>
      <w:r>
        <w:rPr>
          <w:rFonts w:hint="eastAsia"/>
          <w:bCs/>
          <w:sz w:val="24"/>
          <w:szCs w:val="24"/>
        </w:rPr>
        <w:t>2.若合同履行期间，合经区建设项目审计相关管理规定进行调整，对审计单位工作内容要求出现变化的，则</w:t>
      </w:r>
      <w:r>
        <w:rPr>
          <w:rFonts w:hint="eastAsia"/>
          <w:bCs/>
          <w:sz w:val="24"/>
          <w:szCs w:val="24"/>
          <w:lang w:eastAsia="zh-CN"/>
        </w:rPr>
        <w:t>中标人</w:t>
      </w:r>
      <w:r>
        <w:rPr>
          <w:rFonts w:hint="eastAsia"/>
          <w:bCs/>
          <w:sz w:val="24"/>
          <w:szCs w:val="24"/>
        </w:rPr>
        <w:t>必须无条件按新规定执行，并不得以工作内容增加、工作模式改变要求增加审计费。后期，经开区采用信息化系统进行审计工作管理，</w:t>
      </w:r>
      <w:r>
        <w:rPr>
          <w:rFonts w:hint="eastAsia"/>
          <w:bCs/>
          <w:sz w:val="24"/>
          <w:szCs w:val="24"/>
          <w:lang w:eastAsia="zh-CN"/>
        </w:rPr>
        <w:t>中标人</w:t>
      </w:r>
      <w:r>
        <w:rPr>
          <w:rFonts w:hint="eastAsia"/>
          <w:bCs/>
          <w:sz w:val="24"/>
          <w:szCs w:val="24"/>
        </w:rPr>
        <w:t>须服从</w:t>
      </w:r>
      <w:r>
        <w:rPr>
          <w:rFonts w:hint="eastAsia"/>
          <w:bCs/>
          <w:sz w:val="24"/>
          <w:szCs w:val="24"/>
          <w:lang w:eastAsia="zh-CN"/>
        </w:rPr>
        <w:t>采购人</w:t>
      </w:r>
      <w:r>
        <w:rPr>
          <w:rFonts w:hint="eastAsia"/>
          <w:bCs/>
          <w:sz w:val="24"/>
          <w:szCs w:val="24"/>
        </w:rPr>
        <w:t>统一安排，学习掌握经开区审计信息化系统用法，利用信息化平台开展工作。</w:t>
      </w:r>
    </w:p>
    <w:p>
      <w:pPr>
        <w:spacing w:line="360" w:lineRule="auto"/>
        <w:ind w:firstLine="437"/>
        <w:outlineLvl w:val="3"/>
        <w:rPr>
          <w:rFonts w:hint="eastAsia"/>
          <w:bCs/>
          <w:color w:val="auto"/>
          <w:sz w:val="24"/>
          <w:szCs w:val="24"/>
        </w:rPr>
      </w:pPr>
      <w:r>
        <w:rPr>
          <w:rFonts w:hint="eastAsia"/>
          <w:bCs/>
          <w:color w:val="auto"/>
          <w:sz w:val="24"/>
          <w:szCs w:val="24"/>
          <w:lang w:val="en-US" w:eastAsia="zh-CN"/>
        </w:rPr>
        <w:t>3</w:t>
      </w:r>
      <w:r>
        <w:rPr>
          <w:rFonts w:hint="eastAsia"/>
          <w:bCs/>
          <w:color w:val="auto"/>
          <w:sz w:val="24"/>
          <w:szCs w:val="24"/>
        </w:rPr>
        <w:t>. 跟踪审计核减率要求。单项工程结算初审后，</w:t>
      </w:r>
      <w:r>
        <w:rPr>
          <w:rFonts w:hint="eastAsia"/>
          <w:bCs/>
          <w:color w:val="auto"/>
          <w:sz w:val="24"/>
          <w:szCs w:val="24"/>
          <w:lang w:eastAsia="zh-CN"/>
        </w:rPr>
        <w:t>采购人</w:t>
      </w:r>
      <w:r>
        <w:rPr>
          <w:rFonts w:hint="eastAsia"/>
          <w:bCs/>
          <w:color w:val="auto"/>
          <w:sz w:val="24"/>
          <w:szCs w:val="24"/>
        </w:rPr>
        <w:t>将另行委托审计单位进行终审。如其中任何一项单项工程终审核减率超过3%，则该合同结算价的20%不计取审计费，若超过5%，则该合同结算价的50%不计取审计费，若超过 8%，则该合同结算价全部不计取审计费；若本项目所有施工合同的合计结算价总核减率超过3%，则甲方有权拒付剩余的跟踪审计费用且不退还履约保证金。给甲方带来重大损失或重大影响的，视情节轻重，乙方按损失费用的10%—30%向甲方赔偿。</w:t>
      </w:r>
    </w:p>
    <w:p>
      <w:pPr>
        <w:spacing w:line="360" w:lineRule="auto"/>
        <w:ind w:firstLine="437"/>
        <w:outlineLvl w:val="3"/>
        <w:rPr>
          <w:rFonts w:hint="eastAsia"/>
          <w:bCs/>
          <w:sz w:val="24"/>
          <w:szCs w:val="24"/>
        </w:rPr>
      </w:pPr>
      <w:r>
        <w:rPr>
          <w:rFonts w:hint="eastAsia"/>
          <w:bCs/>
          <w:sz w:val="24"/>
          <w:szCs w:val="24"/>
          <w:lang w:val="en-US" w:eastAsia="zh-CN"/>
        </w:rPr>
        <w:t>4</w:t>
      </w:r>
      <w:r>
        <w:rPr>
          <w:rFonts w:hint="eastAsia"/>
          <w:bCs/>
          <w:sz w:val="24"/>
          <w:szCs w:val="24"/>
        </w:rPr>
        <w:t>.</w:t>
      </w:r>
      <w:r>
        <w:rPr>
          <w:rFonts w:hint="eastAsia"/>
          <w:bCs/>
          <w:sz w:val="24"/>
          <w:szCs w:val="24"/>
          <w:lang w:eastAsia="zh-CN"/>
        </w:rPr>
        <w:t>中标人</w:t>
      </w:r>
      <w:r>
        <w:rPr>
          <w:rFonts w:hint="eastAsia"/>
          <w:bCs/>
          <w:sz w:val="24"/>
          <w:szCs w:val="24"/>
        </w:rPr>
        <w:t>所有人员必须熟悉合肥经济技术开发区建设环境，掌握并执行合肥经济技术开发区财政项目的建设程序和造价管理办法。</w:t>
      </w:r>
    </w:p>
    <w:p>
      <w:pPr>
        <w:spacing w:line="360" w:lineRule="auto"/>
        <w:ind w:firstLine="437"/>
        <w:outlineLvl w:val="3"/>
        <w:rPr>
          <w:rFonts w:hint="eastAsia"/>
          <w:bCs/>
          <w:sz w:val="24"/>
          <w:szCs w:val="24"/>
        </w:rPr>
      </w:pPr>
      <w:r>
        <w:rPr>
          <w:rFonts w:hint="eastAsia"/>
          <w:bCs/>
          <w:sz w:val="24"/>
          <w:szCs w:val="24"/>
        </w:rPr>
        <w:t>6.</w:t>
      </w:r>
      <w:r>
        <w:rPr>
          <w:rFonts w:hint="eastAsia"/>
          <w:bCs/>
          <w:sz w:val="24"/>
          <w:szCs w:val="24"/>
          <w:lang w:eastAsia="zh-CN"/>
        </w:rPr>
        <w:t>中标人</w:t>
      </w:r>
      <w:r>
        <w:rPr>
          <w:rFonts w:hint="eastAsia"/>
          <w:bCs/>
          <w:sz w:val="24"/>
          <w:szCs w:val="24"/>
        </w:rPr>
        <w:t>应做到在跟审过程中，不得出具虚假报告、隐瞒审计中发现的违法、违规问题；不得滥用权限、徇私舞弊或者泄露相关秘密、个人隐私；上述情况一经发现，将移送有关部门处理，涉嫌犯罪的依法追究刑事责任。</w:t>
      </w:r>
    </w:p>
    <w:p>
      <w:pPr>
        <w:spacing w:line="4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应</w:t>
      </w:r>
      <w:r>
        <w:rPr>
          <w:rFonts w:hint="eastAsia" w:asciiTheme="minorEastAsia" w:hAnsiTheme="minorEastAsia" w:eastAsiaTheme="minorEastAsia" w:cstheme="minorEastAsia"/>
          <w:sz w:val="24"/>
          <w:szCs w:val="24"/>
          <w:lang w:eastAsia="zh-CN"/>
        </w:rPr>
        <w:t>做</w:t>
      </w:r>
      <w:r>
        <w:rPr>
          <w:rFonts w:hint="eastAsia" w:asciiTheme="minorEastAsia" w:hAnsiTheme="minorEastAsia" w:eastAsiaTheme="minorEastAsia" w:cstheme="minorEastAsia"/>
          <w:sz w:val="24"/>
          <w:szCs w:val="24"/>
        </w:rPr>
        <w:t>好审计人员的交通食宿等后勤保障，不得要求或暗示被审计单位车辆接送、安排食宿；审计人员工作餐安排在项目现场食堂的须缴纳就餐费用。</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进场开展审计前，应与相关被审计单位（施工单位）</w:t>
      </w:r>
      <w:r>
        <w:rPr>
          <w:rFonts w:hint="eastAsia" w:asciiTheme="minorEastAsia" w:hAnsiTheme="minorEastAsia" w:eastAsiaTheme="minorEastAsia" w:cstheme="minorEastAsia"/>
          <w:sz w:val="24"/>
          <w:szCs w:val="24"/>
          <w:highlight w:val="none"/>
        </w:rPr>
        <w:t>签订廉政协议</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附件1</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t>
      </w:r>
    </w:p>
    <w:p>
      <w:pPr>
        <w:spacing w:line="4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8.考核结果运用。</w:t>
      </w:r>
      <w:r>
        <w:rPr>
          <w:rFonts w:hint="eastAsia" w:asciiTheme="minorEastAsia" w:hAnsiTheme="minorEastAsia" w:cstheme="minorEastAsia"/>
          <w:bCs/>
          <w:sz w:val="24"/>
          <w:szCs w:val="24"/>
          <w:lang w:val="en-US" w:eastAsia="zh-CN"/>
        </w:rPr>
        <w:t>采购人</w:t>
      </w:r>
      <w:r>
        <w:rPr>
          <w:rFonts w:hint="eastAsia" w:asciiTheme="minorEastAsia" w:hAnsiTheme="minorEastAsia" w:eastAsiaTheme="minorEastAsia" w:cstheme="minorEastAsia"/>
          <w:bCs/>
          <w:sz w:val="24"/>
          <w:szCs w:val="24"/>
          <w:lang w:val="en-US" w:eastAsia="zh-CN"/>
        </w:rPr>
        <w:t>对</w:t>
      </w:r>
      <w:r>
        <w:rPr>
          <w:rFonts w:hint="eastAsia" w:asciiTheme="minorEastAsia" w:hAnsiTheme="minorEastAsia" w:cstheme="minorEastAsia"/>
          <w:bCs/>
          <w:sz w:val="24"/>
          <w:szCs w:val="24"/>
          <w:lang w:val="en-US" w:eastAsia="zh-CN"/>
        </w:rPr>
        <w:t>中标人</w:t>
      </w:r>
      <w:r>
        <w:rPr>
          <w:rFonts w:hint="eastAsia" w:asciiTheme="minorEastAsia" w:hAnsiTheme="minorEastAsia" w:eastAsiaTheme="minorEastAsia" w:cstheme="minorEastAsia"/>
          <w:bCs/>
          <w:sz w:val="24"/>
          <w:szCs w:val="24"/>
          <w:lang w:val="en-US" w:eastAsia="zh-CN"/>
        </w:rPr>
        <w:t>工作进行检查，检查结果与审计费用支付挂钩。季度实际结算费用</w:t>
      </w:r>
      <w:r>
        <w:rPr>
          <w:rFonts w:hint="default" w:asciiTheme="minorEastAsia" w:hAnsiTheme="minorEastAsia" w:eastAsiaTheme="minorEastAsia" w:cstheme="minorEastAsia"/>
          <w:bCs/>
          <w:sz w:val="24"/>
          <w:szCs w:val="24"/>
          <w:lang w:val="en-US" w:eastAsia="zh-CN"/>
        </w:rPr>
        <w:t>=</w:t>
      </w:r>
      <w:r>
        <w:rPr>
          <w:rFonts w:hint="eastAsia" w:asciiTheme="minorEastAsia" w:hAnsiTheme="minorEastAsia" w:eastAsiaTheme="minorEastAsia" w:cstheme="minorEastAsia"/>
          <w:bCs/>
          <w:sz w:val="24"/>
          <w:szCs w:val="24"/>
          <w:lang w:val="en-US" w:eastAsia="zh-CN"/>
        </w:rPr>
        <w:t>项目应付服务费</w:t>
      </w:r>
      <w:r>
        <w:rPr>
          <w:rFonts w:hint="default" w:asciiTheme="minorEastAsia" w:hAnsiTheme="minorEastAsia" w:eastAsiaTheme="minorEastAsia" w:cstheme="minorEastAsia"/>
          <w:bCs/>
          <w:sz w:val="24"/>
          <w:szCs w:val="24"/>
          <w:lang w:val="en-US" w:eastAsia="zh-CN"/>
        </w:rPr>
        <w:t>×</w:t>
      </w:r>
      <w:r>
        <w:rPr>
          <w:rFonts w:hint="eastAsia" w:asciiTheme="minorEastAsia" w:hAnsiTheme="minorEastAsia" w:eastAsiaTheme="minorEastAsia" w:cstheme="minorEastAsia"/>
          <w:bCs/>
          <w:sz w:val="24"/>
          <w:szCs w:val="24"/>
          <w:lang w:val="en-US" w:eastAsia="zh-CN"/>
        </w:rPr>
        <w:t>单个项目得分</w:t>
      </w:r>
      <w:r>
        <w:rPr>
          <w:rFonts w:hint="default" w:asciiTheme="minorEastAsia" w:hAnsiTheme="minorEastAsia" w:eastAsiaTheme="minorEastAsia" w:cstheme="minorEastAsia"/>
          <w:bCs/>
          <w:sz w:val="24"/>
          <w:szCs w:val="24"/>
          <w:lang w:val="en-US" w:eastAsia="zh-CN"/>
        </w:rPr>
        <w:t>÷100</w:t>
      </w:r>
      <w:r>
        <w:rPr>
          <w:rFonts w:hint="eastAsia" w:asciiTheme="minorEastAsia" w:hAnsiTheme="minorEastAsia" w:eastAsiaTheme="minorEastAsia" w:cstheme="minorEastAsia"/>
          <w:bCs/>
          <w:sz w:val="24"/>
          <w:szCs w:val="24"/>
          <w:lang w:val="en-US" w:eastAsia="zh-CN"/>
        </w:rPr>
        <w:t>。例：</w:t>
      </w:r>
      <w:r>
        <w:rPr>
          <w:rFonts w:hint="default" w:asciiTheme="minorEastAsia" w:hAnsiTheme="minorEastAsia" w:eastAsiaTheme="minorEastAsia" w:cstheme="minorEastAsia"/>
          <w:bCs/>
          <w:sz w:val="24"/>
          <w:szCs w:val="24"/>
          <w:lang w:val="en-US" w:eastAsia="zh-CN"/>
        </w:rPr>
        <w:t xml:space="preserve">2022 </w:t>
      </w:r>
      <w:r>
        <w:rPr>
          <w:rFonts w:hint="eastAsia" w:asciiTheme="minorEastAsia" w:hAnsiTheme="minorEastAsia" w:eastAsiaTheme="minorEastAsia" w:cstheme="minorEastAsia"/>
          <w:bCs/>
          <w:sz w:val="24"/>
          <w:szCs w:val="24"/>
          <w:lang w:val="en-US" w:eastAsia="zh-CN"/>
        </w:rPr>
        <w:t>年合经区政府投资项目跟踪审计应付审计服务费</w:t>
      </w:r>
      <w:r>
        <w:rPr>
          <w:rFonts w:hint="default" w:asciiTheme="minorEastAsia" w:hAnsiTheme="minorEastAsia" w:eastAsiaTheme="minorEastAsia" w:cstheme="minorEastAsia"/>
          <w:bCs/>
          <w:sz w:val="24"/>
          <w:szCs w:val="24"/>
          <w:lang w:val="en-US" w:eastAsia="zh-CN"/>
        </w:rPr>
        <w:t>10</w:t>
      </w:r>
      <w:r>
        <w:rPr>
          <w:rFonts w:hint="eastAsia" w:asciiTheme="minorEastAsia" w:hAnsiTheme="minorEastAsia" w:eastAsiaTheme="minorEastAsia" w:cstheme="minorEastAsia"/>
          <w:bCs/>
          <w:sz w:val="24"/>
          <w:szCs w:val="24"/>
          <w:lang w:val="en-US" w:eastAsia="zh-CN"/>
        </w:rPr>
        <w:t>万元，得分</w:t>
      </w:r>
      <w:r>
        <w:rPr>
          <w:rFonts w:hint="default" w:asciiTheme="minorEastAsia" w:hAnsiTheme="minorEastAsia" w:eastAsiaTheme="minorEastAsia" w:cstheme="minorEastAsia"/>
          <w:bCs/>
          <w:sz w:val="24"/>
          <w:szCs w:val="24"/>
          <w:lang w:val="en-US" w:eastAsia="zh-CN"/>
        </w:rPr>
        <w:t>90</w:t>
      </w:r>
      <w:r>
        <w:rPr>
          <w:rFonts w:hint="eastAsia" w:asciiTheme="minorEastAsia" w:hAnsiTheme="minorEastAsia" w:eastAsiaTheme="minorEastAsia" w:cstheme="minorEastAsia"/>
          <w:bCs/>
          <w:sz w:val="24"/>
          <w:szCs w:val="24"/>
          <w:lang w:val="en-US" w:eastAsia="zh-CN"/>
        </w:rPr>
        <w:t xml:space="preserve">分，则实际结算费用为 </w:t>
      </w:r>
      <w:r>
        <w:rPr>
          <w:rFonts w:hint="default" w:asciiTheme="minorEastAsia" w:hAnsiTheme="minorEastAsia" w:eastAsiaTheme="minorEastAsia" w:cstheme="minorEastAsia"/>
          <w:bCs/>
          <w:sz w:val="24"/>
          <w:szCs w:val="24"/>
          <w:lang w:val="en-US" w:eastAsia="zh-CN"/>
        </w:rPr>
        <w:t xml:space="preserve">9 </w:t>
      </w:r>
      <w:r>
        <w:rPr>
          <w:rFonts w:hint="eastAsia" w:asciiTheme="minorEastAsia" w:hAnsiTheme="minorEastAsia" w:eastAsiaTheme="minorEastAsia" w:cstheme="minorEastAsia"/>
          <w:bCs/>
          <w:sz w:val="24"/>
          <w:szCs w:val="24"/>
          <w:lang w:val="en-US" w:eastAsia="zh-CN"/>
        </w:rPr>
        <w:t>万元（</w:t>
      </w:r>
      <w:r>
        <w:rPr>
          <w:rFonts w:hint="default" w:asciiTheme="minorEastAsia" w:hAnsiTheme="minorEastAsia" w:eastAsiaTheme="minorEastAsia" w:cstheme="minorEastAsia"/>
          <w:bCs/>
          <w:sz w:val="24"/>
          <w:szCs w:val="24"/>
          <w:lang w:val="en-US" w:eastAsia="zh-CN"/>
        </w:rPr>
        <w:t xml:space="preserve">10 </w:t>
      </w:r>
      <w:r>
        <w:rPr>
          <w:rFonts w:hint="eastAsia" w:asciiTheme="minorEastAsia" w:hAnsiTheme="minorEastAsia" w:eastAsiaTheme="minorEastAsia" w:cstheme="minorEastAsia"/>
          <w:bCs/>
          <w:sz w:val="24"/>
          <w:szCs w:val="24"/>
          <w:lang w:val="en-US" w:eastAsia="zh-CN"/>
        </w:rPr>
        <w:t>万元</w:t>
      </w:r>
      <w:r>
        <w:rPr>
          <w:rFonts w:hint="default" w:asciiTheme="minorEastAsia" w:hAnsiTheme="minorEastAsia" w:eastAsiaTheme="minorEastAsia" w:cstheme="minorEastAsia"/>
          <w:bCs/>
          <w:sz w:val="24"/>
          <w:szCs w:val="24"/>
          <w:lang w:val="en-US" w:eastAsia="zh-CN"/>
        </w:rPr>
        <w:t>×90%</w:t>
      </w:r>
      <w:r>
        <w:rPr>
          <w:rFonts w:hint="eastAsia" w:asciiTheme="minorEastAsia" w:hAnsiTheme="minorEastAsia" w:eastAsiaTheme="minorEastAsia" w:cstheme="minorEastAsia"/>
          <w:bCs/>
          <w:sz w:val="24"/>
          <w:szCs w:val="24"/>
          <w:lang w:val="en-US" w:eastAsia="zh-CN"/>
        </w:rPr>
        <w:t>），扣除的</w:t>
      </w:r>
      <w:r>
        <w:rPr>
          <w:rFonts w:hint="eastAsia" w:asciiTheme="minorEastAsia" w:hAnsiTheme="minorEastAsia" w:cstheme="minorEastAsia"/>
          <w:bCs/>
          <w:sz w:val="24"/>
          <w:szCs w:val="24"/>
          <w:lang w:val="en-US" w:eastAsia="zh-CN"/>
        </w:rPr>
        <w:t>1</w:t>
      </w:r>
      <w:r>
        <w:rPr>
          <w:rFonts w:hint="eastAsia" w:asciiTheme="minorEastAsia" w:hAnsiTheme="minorEastAsia" w:eastAsiaTheme="minorEastAsia" w:cstheme="minorEastAsia"/>
          <w:bCs/>
          <w:sz w:val="24"/>
          <w:szCs w:val="24"/>
          <w:lang w:val="en-US" w:eastAsia="zh-CN"/>
        </w:rPr>
        <w:t xml:space="preserve">万元后期不再支付；项目考核得分 </w:t>
      </w:r>
      <w:r>
        <w:rPr>
          <w:rFonts w:hint="default" w:asciiTheme="minorEastAsia" w:hAnsiTheme="minorEastAsia" w:eastAsiaTheme="minorEastAsia" w:cstheme="minorEastAsia"/>
          <w:bCs/>
          <w:sz w:val="24"/>
          <w:szCs w:val="24"/>
          <w:lang w:val="en-US" w:eastAsia="zh-CN"/>
        </w:rPr>
        <w:t xml:space="preserve">95 </w:t>
      </w:r>
      <w:r>
        <w:rPr>
          <w:rFonts w:hint="eastAsia" w:asciiTheme="minorEastAsia" w:hAnsiTheme="minorEastAsia" w:eastAsiaTheme="minorEastAsia" w:cstheme="minorEastAsia"/>
          <w:bCs/>
          <w:sz w:val="24"/>
          <w:szCs w:val="24"/>
          <w:lang w:val="en-US" w:eastAsia="zh-CN"/>
        </w:rPr>
        <w:t xml:space="preserve">分以上的（含 </w:t>
      </w:r>
      <w:r>
        <w:rPr>
          <w:rFonts w:hint="default" w:asciiTheme="minorEastAsia" w:hAnsiTheme="minorEastAsia" w:eastAsiaTheme="minorEastAsia" w:cstheme="minorEastAsia"/>
          <w:bCs/>
          <w:sz w:val="24"/>
          <w:szCs w:val="24"/>
          <w:lang w:val="en-US" w:eastAsia="zh-CN"/>
        </w:rPr>
        <w:t xml:space="preserve">95 </w:t>
      </w:r>
      <w:r>
        <w:rPr>
          <w:rFonts w:hint="eastAsia" w:asciiTheme="minorEastAsia" w:hAnsiTheme="minorEastAsia" w:eastAsiaTheme="minorEastAsia" w:cstheme="minorEastAsia"/>
          <w:bCs/>
          <w:sz w:val="24"/>
          <w:szCs w:val="24"/>
          <w:lang w:val="en-US" w:eastAsia="zh-CN"/>
        </w:rPr>
        <w:t xml:space="preserve">分），按应付服务费的 </w:t>
      </w:r>
      <w:r>
        <w:rPr>
          <w:rFonts w:hint="default" w:asciiTheme="minorEastAsia" w:hAnsiTheme="minorEastAsia" w:eastAsiaTheme="minorEastAsia" w:cstheme="minorEastAsia"/>
          <w:bCs/>
          <w:sz w:val="24"/>
          <w:szCs w:val="24"/>
          <w:lang w:val="en-US" w:eastAsia="zh-CN"/>
        </w:rPr>
        <w:t>100%</w:t>
      </w:r>
      <w:r>
        <w:rPr>
          <w:rFonts w:hint="eastAsia" w:asciiTheme="minorEastAsia" w:hAnsiTheme="minorEastAsia" w:eastAsiaTheme="minorEastAsia" w:cstheme="minorEastAsia"/>
          <w:bCs/>
          <w:sz w:val="24"/>
          <w:szCs w:val="24"/>
          <w:lang w:val="en-US" w:eastAsia="zh-CN"/>
        </w:rPr>
        <w:t>结算费用。考核表（详见附件）考核内容有调整的</w:t>
      </w:r>
      <w:r>
        <w:rPr>
          <w:rFonts w:hint="eastAsia" w:asciiTheme="minorEastAsia" w:hAnsiTheme="minorEastAsia" w:cstheme="minorEastAsia"/>
          <w:bCs/>
          <w:sz w:val="24"/>
          <w:szCs w:val="24"/>
          <w:lang w:val="en-US" w:eastAsia="zh-CN"/>
        </w:rPr>
        <w:t>中标人</w:t>
      </w:r>
      <w:r>
        <w:rPr>
          <w:rFonts w:hint="eastAsia" w:asciiTheme="minorEastAsia" w:hAnsiTheme="minorEastAsia" w:eastAsiaTheme="minorEastAsia" w:cstheme="minorEastAsia"/>
          <w:bCs/>
          <w:sz w:val="24"/>
          <w:szCs w:val="24"/>
          <w:lang w:val="en-US" w:eastAsia="zh-CN"/>
        </w:rPr>
        <w:t>需无条件接受</w:t>
      </w:r>
      <w:r>
        <w:rPr>
          <w:rFonts w:hint="eastAsia" w:asciiTheme="minorEastAsia" w:hAnsiTheme="minorEastAsia" w:cstheme="minorEastAsia"/>
          <w:bCs/>
          <w:sz w:val="24"/>
          <w:szCs w:val="24"/>
          <w:lang w:val="en-US" w:eastAsia="zh-CN"/>
        </w:rPr>
        <w:t>。</w:t>
      </w:r>
    </w:p>
    <w:p>
      <w:pPr>
        <w:tabs>
          <w:tab w:val="left" w:pos="7575"/>
        </w:tabs>
        <w:spacing w:line="420" w:lineRule="exact"/>
        <w:ind w:firstLine="480" w:firstLineChars="200"/>
        <w:rPr>
          <w:rFonts w:hint="eastAsia" w:ascii="Times New Roman" w:hAnsi="Times New Roman"/>
          <w:sz w:val="24"/>
          <w:szCs w:val="24"/>
          <w:lang w:eastAsia="zh-CN"/>
        </w:rPr>
      </w:pPr>
      <w:r>
        <w:rPr>
          <w:rFonts w:hint="eastAsia" w:ascii="Times New Roman" w:hAnsi="Times New Roman"/>
          <w:sz w:val="24"/>
          <w:szCs w:val="24"/>
          <w:lang w:val="en-US" w:eastAsia="zh-CN"/>
        </w:rPr>
        <w:t>9.</w:t>
      </w:r>
      <w:r>
        <w:rPr>
          <w:rFonts w:hint="eastAsia" w:ascii="Times New Roman" w:hAnsi="Times New Roman"/>
          <w:sz w:val="24"/>
          <w:szCs w:val="24"/>
          <w:lang w:eastAsia="zh-CN"/>
        </w:rPr>
        <w:t>中标人须缴纳履约保证金1万元；采购人按季度对中标人进行服务质量考核，根据考核结果支付审计服务费，考核扣款从履约保证金中扣除，若中标人履约保证金被扣除后必须在7个日历天内予以补足，若7个日历天内仍未补足履约保证金，采购人有权解除其监理合同。</w:t>
      </w:r>
    </w:p>
    <w:bookmarkEnd w:id="13"/>
    <w:p>
      <w:pPr>
        <w:tabs>
          <w:tab w:val="left" w:pos="7575"/>
        </w:tabs>
        <w:spacing w:line="420" w:lineRule="exact"/>
        <w:ind w:firstLine="482" w:firstLineChars="200"/>
        <w:rPr>
          <w:rFonts w:ascii="Times New Roman" w:hAnsi="Times New Roman"/>
          <w:b/>
          <w:sz w:val="24"/>
          <w:szCs w:val="24"/>
        </w:rPr>
      </w:pPr>
      <w:bookmarkStart w:id="14" w:name="_Toc482188644"/>
      <w:r>
        <w:rPr>
          <w:rFonts w:hint="eastAsia" w:ascii="Times New Roman" w:hAnsi="Times New Roman"/>
          <w:b/>
          <w:sz w:val="24"/>
          <w:szCs w:val="24"/>
          <w:lang w:eastAsia="zh-CN"/>
        </w:rPr>
        <w:t>六</w:t>
      </w:r>
      <w:r>
        <w:rPr>
          <w:rFonts w:ascii="Times New Roman" w:hAnsi="Times New Roman"/>
          <w:b/>
          <w:sz w:val="24"/>
          <w:szCs w:val="24"/>
        </w:rPr>
        <w:t>、</w:t>
      </w:r>
      <w:bookmarkEnd w:id="14"/>
      <w:r>
        <w:rPr>
          <w:rFonts w:hint="eastAsia" w:ascii="Times New Roman" w:hAnsi="Times New Roman"/>
          <w:b/>
          <w:sz w:val="24"/>
          <w:szCs w:val="24"/>
        </w:rPr>
        <w:t>报价要求</w:t>
      </w:r>
    </w:p>
    <w:p>
      <w:pPr>
        <w:tabs>
          <w:tab w:val="left" w:pos="7575"/>
        </w:tabs>
        <w:spacing w:line="420" w:lineRule="exact"/>
        <w:ind w:firstLine="480" w:firstLineChars="200"/>
        <w:rPr>
          <w:rFonts w:hint="eastAsia" w:ascii="Times New Roman" w:hAnsi="Times New Roman"/>
          <w:sz w:val="24"/>
          <w:szCs w:val="24"/>
        </w:rPr>
      </w:pPr>
      <w:r>
        <w:rPr>
          <w:rFonts w:hint="eastAsia" w:ascii="Times New Roman" w:hAnsi="Times New Roman"/>
          <w:sz w:val="24"/>
          <w:szCs w:val="24"/>
        </w:rPr>
        <w:t>1.本项目</w:t>
      </w:r>
      <w:r>
        <w:rPr>
          <w:rFonts w:hint="eastAsia" w:ascii="Times New Roman" w:hAnsi="Times New Roman"/>
          <w:sz w:val="24"/>
          <w:szCs w:val="24"/>
          <w:lang w:eastAsia="zh-CN"/>
        </w:rPr>
        <w:t>预算为</w:t>
      </w:r>
      <w:r>
        <w:rPr>
          <w:rFonts w:hint="eastAsia" w:ascii="Times New Roman" w:hAnsi="Times New Roman"/>
          <w:sz w:val="24"/>
          <w:szCs w:val="24"/>
          <w:lang w:val="en-US" w:eastAsia="zh-CN"/>
        </w:rPr>
        <w:t>15万元/年，投标人须</w:t>
      </w:r>
      <w:r>
        <w:rPr>
          <w:rFonts w:hint="eastAsia" w:ascii="Times New Roman" w:hAnsi="Times New Roman"/>
          <w:sz w:val="24"/>
          <w:szCs w:val="24"/>
        </w:rPr>
        <w:t>报</w:t>
      </w:r>
      <w:r>
        <w:rPr>
          <w:rFonts w:hint="eastAsia" w:ascii="Times New Roman" w:hAnsi="Times New Roman"/>
          <w:sz w:val="24"/>
          <w:szCs w:val="24"/>
          <w:lang w:eastAsia="zh-CN"/>
        </w:rPr>
        <w:t>出总</w:t>
      </w:r>
      <w:r>
        <w:rPr>
          <w:rFonts w:hint="eastAsia" w:ascii="Times New Roman" w:hAnsi="Times New Roman"/>
          <w:sz w:val="24"/>
          <w:szCs w:val="24"/>
        </w:rPr>
        <w:t>价，所报</w:t>
      </w:r>
      <w:r>
        <w:rPr>
          <w:rFonts w:hint="eastAsia" w:ascii="Times New Roman" w:hAnsi="Times New Roman"/>
          <w:sz w:val="24"/>
          <w:szCs w:val="24"/>
          <w:lang w:eastAsia="zh-CN"/>
        </w:rPr>
        <w:t>总价</w:t>
      </w:r>
      <w:r>
        <w:rPr>
          <w:rFonts w:hint="eastAsia" w:ascii="Times New Roman" w:hAnsi="Times New Roman"/>
          <w:sz w:val="24"/>
          <w:szCs w:val="24"/>
        </w:rPr>
        <w:t>不得超过</w:t>
      </w:r>
      <w:r>
        <w:rPr>
          <w:rFonts w:hint="eastAsia" w:ascii="Times New Roman" w:hAnsi="Times New Roman"/>
          <w:sz w:val="24"/>
          <w:szCs w:val="24"/>
          <w:lang w:eastAsia="zh-CN"/>
        </w:rPr>
        <w:t>项目预算</w:t>
      </w:r>
      <w:r>
        <w:rPr>
          <w:rFonts w:hint="eastAsia" w:ascii="Times New Roman" w:hAnsi="Times New Roman"/>
          <w:sz w:val="24"/>
          <w:szCs w:val="24"/>
        </w:rPr>
        <w:t>，否则投标无效。投标人应充分考虑本项目维修服务内容涉及范围较广，地点分散等特殊性以及工作要求后，谨慎报价。</w:t>
      </w:r>
    </w:p>
    <w:p>
      <w:pPr>
        <w:tabs>
          <w:tab w:val="left" w:pos="7575"/>
        </w:tabs>
        <w:spacing w:line="420" w:lineRule="exact"/>
        <w:ind w:firstLine="480" w:firstLineChars="200"/>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2.报价包含但不限于人员工资、办公费、通讯费、差旅费、食宿费、验收等为完成本次项目所发生的一切费用、税金。投标人自行考虑可能存在的各种风险、责任、义务等支出。后期不得以工程量与总概预算差距较大、延期、估计不足等理由提出任何增加服务价款的要求。</w:t>
      </w:r>
    </w:p>
    <w:p>
      <w:pPr>
        <w:tabs>
          <w:tab w:val="left" w:pos="7575"/>
        </w:tabs>
        <w:spacing w:line="420" w:lineRule="exact"/>
        <w:ind w:firstLine="482" w:firstLineChars="200"/>
        <w:rPr>
          <w:rFonts w:hint="eastAsia" w:ascii="Times New Roman" w:hAnsi="Times New Roman"/>
          <w:b/>
          <w:sz w:val="24"/>
          <w:szCs w:val="24"/>
          <w:lang w:eastAsia="zh-CN"/>
        </w:rPr>
      </w:pPr>
      <w:r>
        <w:rPr>
          <w:rFonts w:hint="eastAsia" w:ascii="Times New Roman" w:hAnsi="Times New Roman"/>
          <w:b/>
          <w:sz w:val="24"/>
          <w:szCs w:val="24"/>
          <w:lang w:eastAsia="zh-CN"/>
        </w:rPr>
        <w:t>七、评标方法和标准</w:t>
      </w:r>
    </w:p>
    <w:p>
      <w:pPr>
        <w:tabs>
          <w:tab w:val="left" w:pos="7575"/>
        </w:tabs>
        <w:spacing w:line="420" w:lineRule="exact"/>
        <w:ind w:firstLine="480" w:firstLineChars="200"/>
        <w:rPr>
          <w:rFonts w:hint="eastAsia" w:ascii="Times New Roman" w:hAnsi="Times New Roman"/>
          <w:sz w:val="24"/>
          <w:szCs w:val="24"/>
        </w:rPr>
      </w:pPr>
      <w:r>
        <w:rPr>
          <w:rFonts w:hint="eastAsia" w:ascii="Times New Roman" w:hAnsi="Times New Roman"/>
          <w:sz w:val="24"/>
          <w:szCs w:val="24"/>
        </w:rPr>
        <w:t>本项目</w:t>
      </w:r>
      <w:r>
        <w:rPr>
          <w:rFonts w:hint="eastAsia" w:ascii="Times New Roman" w:hAnsi="Times New Roman"/>
          <w:sz w:val="24"/>
          <w:szCs w:val="24"/>
          <w:lang w:eastAsia="zh-CN"/>
        </w:rPr>
        <w:t>采用平均值竞价，</w:t>
      </w:r>
      <w:r>
        <w:rPr>
          <w:rFonts w:hint="eastAsia" w:ascii="Times New Roman" w:hAnsi="Times New Roman"/>
          <w:sz w:val="24"/>
          <w:szCs w:val="24"/>
        </w:rPr>
        <w:t>具体评</w:t>
      </w:r>
      <w:r>
        <w:rPr>
          <w:rFonts w:hint="eastAsia" w:ascii="Times New Roman" w:hAnsi="Times New Roman"/>
          <w:sz w:val="24"/>
          <w:szCs w:val="24"/>
          <w:lang w:eastAsia="zh-CN"/>
        </w:rPr>
        <w:t>定</w:t>
      </w:r>
      <w:r>
        <w:rPr>
          <w:rFonts w:hint="eastAsia" w:ascii="Times New Roman" w:hAnsi="Times New Roman"/>
          <w:sz w:val="24"/>
          <w:szCs w:val="24"/>
        </w:rPr>
        <w:t>细则如下：</w:t>
      </w:r>
    </w:p>
    <w:p>
      <w:pPr>
        <w:tabs>
          <w:tab w:val="left" w:pos="7575"/>
        </w:tabs>
        <w:spacing w:line="420" w:lineRule="exact"/>
        <w:ind w:firstLine="480" w:firstLineChars="200"/>
        <w:rPr>
          <w:rFonts w:hint="eastAsia" w:ascii="Times New Roman" w:hAnsi="Times New Roman"/>
          <w:sz w:val="24"/>
          <w:szCs w:val="24"/>
        </w:rPr>
      </w:pPr>
      <w:r>
        <w:rPr>
          <w:rFonts w:hint="eastAsia" w:ascii="Times New Roman" w:hAnsi="Times New Roman"/>
          <w:sz w:val="24"/>
          <w:szCs w:val="24"/>
          <w:lang w:val="en-US" w:eastAsia="zh-CN"/>
        </w:rPr>
        <w:t>1.</w:t>
      </w:r>
      <w:r>
        <w:rPr>
          <w:rFonts w:hint="eastAsia" w:ascii="Times New Roman" w:hAnsi="Times New Roman"/>
          <w:sz w:val="24"/>
          <w:szCs w:val="24"/>
        </w:rPr>
        <w:t>基准价生成‌：</w:t>
      </w:r>
    </w:p>
    <w:p>
      <w:pPr>
        <w:tabs>
          <w:tab w:val="left" w:pos="7575"/>
        </w:tabs>
        <w:spacing w:line="420" w:lineRule="exact"/>
        <w:ind w:firstLine="480" w:firstLineChars="200"/>
        <w:rPr>
          <w:rFonts w:hint="eastAsia" w:ascii="Times New Roman" w:hAnsi="Times New Roman"/>
          <w:sz w:val="24"/>
          <w:szCs w:val="24"/>
          <w:lang w:eastAsia="zh-CN"/>
        </w:rPr>
      </w:pPr>
      <w:r>
        <w:rPr>
          <w:rFonts w:hint="eastAsia" w:ascii="Times New Roman" w:hAnsi="Times New Roman"/>
          <w:sz w:val="24"/>
          <w:szCs w:val="24"/>
          <w:lang w:eastAsia="zh-CN"/>
        </w:rPr>
        <w:t>（</w:t>
      </w:r>
      <w:r>
        <w:rPr>
          <w:rFonts w:hint="eastAsia" w:ascii="Times New Roman" w:hAnsi="Times New Roman"/>
          <w:sz w:val="24"/>
          <w:szCs w:val="24"/>
          <w:lang w:val="en-US" w:eastAsia="zh-CN"/>
        </w:rPr>
        <w:t>1</w:t>
      </w:r>
      <w:r>
        <w:rPr>
          <w:rFonts w:hint="eastAsia" w:ascii="Times New Roman" w:hAnsi="Times New Roman"/>
          <w:sz w:val="24"/>
          <w:szCs w:val="24"/>
          <w:lang w:eastAsia="zh-CN"/>
        </w:rPr>
        <w:t>）</w:t>
      </w:r>
      <w:r>
        <w:rPr>
          <w:rFonts w:hint="eastAsia" w:ascii="Times New Roman" w:hAnsi="Times New Roman"/>
          <w:sz w:val="24"/>
          <w:szCs w:val="24"/>
        </w:rPr>
        <w:t>‌首次计算‌：所有有效报价的算术平均值</w:t>
      </w:r>
      <w:r>
        <w:rPr>
          <w:rFonts w:hint="eastAsia" w:ascii="Times New Roman" w:hAnsi="Times New Roman"/>
          <w:sz w:val="24"/>
          <w:szCs w:val="24"/>
          <w:lang w:eastAsia="zh-CN"/>
        </w:rPr>
        <w:t>；</w:t>
      </w:r>
    </w:p>
    <w:p>
      <w:pPr>
        <w:tabs>
          <w:tab w:val="left" w:pos="7575"/>
        </w:tabs>
        <w:spacing w:line="420" w:lineRule="exact"/>
        <w:ind w:firstLine="480" w:firstLineChars="200"/>
        <w:rPr>
          <w:rFonts w:hint="eastAsia" w:ascii="Times New Roman" w:hAnsi="Times New Roman"/>
          <w:sz w:val="24"/>
          <w:szCs w:val="24"/>
          <w:lang w:val="en-US" w:eastAsia="zh-CN"/>
        </w:rPr>
      </w:pPr>
      <w:r>
        <w:rPr>
          <w:rFonts w:hint="eastAsia" w:ascii="Times New Roman" w:hAnsi="Times New Roman"/>
          <w:sz w:val="24"/>
          <w:szCs w:val="24"/>
          <w:lang w:eastAsia="zh-CN"/>
        </w:rPr>
        <w:t>（</w:t>
      </w:r>
      <w:r>
        <w:rPr>
          <w:rFonts w:hint="eastAsia" w:ascii="Times New Roman" w:hAnsi="Times New Roman"/>
          <w:sz w:val="24"/>
          <w:szCs w:val="24"/>
          <w:lang w:val="en-US" w:eastAsia="zh-CN"/>
        </w:rPr>
        <w:t>2</w:t>
      </w:r>
      <w:r>
        <w:rPr>
          <w:rFonts w:hint="eastAsia" w:ascii="Times New Roman" w:hAnsi="Times New Roman"/>
          <w:sz w:val="24"/>
          <w:szCs w:val="24"/>
          <w:lang w:eastAsia="zh-CN"/>
        </w:rPr>
        <w:t>）</w:t>
      </w:r>
      <w:r>
        <w:rPr>
          <w:rFonts w:hint="eastAsia" w:ascii="Times New Roman" w:hAnsi="Times New Roman"/>
          <w:sz w:val="24"/>
          <w:szCs w:val="24"/>
        </w:rPr>
        <w:t>‌二次筛选‌：仅取≤首次均值的报价，二次平均确定最终基准价</w:t>
      </w:r>
      <w:r>
        <w:rPr>
          <w:rFonts w:hint="eastAsia" w:ascii="Times New Roman" w:hAnsi="Times New Roman"/>
          <w:sz w:val="24"/>
          <w:szCs w:val="24"/>
          <w:lang w:val="en-US" w:eastAsia="zh-CN"/>
        </w:rPr>
        <w:t>。</w:t>
      </w:r>
    </w:p>
    <w:p>
      <w:pPr>
        <w:tabs>
          <w:tab w:val="left" w:pos="7575"/>
        </w:tabs>
        <w:spacing w:line="420" w:lineRule="exact"/>
        <w:ind w:firstLine="482" w:firstLineChars="200"/>
        <w:rPr>
          <w:rFonts w:hint="eastAsia" w:ascii="Times New Roman" w:hAnsi="Times New Roman"/>
          <w:sz w:val="24"/>
          <w:szCs w:val="24"/>
          <w:lang w:val="en-US" w:eastAsia="zh-CN"/>
        </w:rPr>
      </w:pPr>
      <w:r>
        <w:rPr>
          <w:rFonts w:hint="eastAsia" w:ascii="Times New Roman" w:hAnsi="Times New Roman"/>
          <w:b/>
          <w:bCs/>
          <w:sz w:val="24"/>
          <w:szCs w:val="24"/>
          <w:lang w:val="en-US" w:eastAsia="zh-CN"/>
        </w:rPr>
        <w:t>（特别说明：≤首次均价的报价不够3家的，不再二次筛选，首次算术平均价即为最终基准价；</w:t>
      </w:r>
      <w:r>
        <w:rPr>
          <w:rFonts w:hint="eastAsia" w:ascii="Times New Roman" w:hAnsi="Times New Roman"/>
          <w:b/>
          <w:bCs/>
          <w:sz w:val="24"/>
          <w:szCs w:val="24"/>
        </w:rPr>
        <w:t>≤</w:t>
      </w:r>
      <w:r>
        <w:rPr>
          <w:rFonts w:hint="eastAsia" w:ascii="Times New Roman" w:hAnsi="Times New Roman"/>
          <w:b/>
          <w:bCs/>
          <w:sz w:val="24"/>
          <w:szCs w:val="24"/>
          <w:lang w:val="en-US" w:eastAsia="zh-CN"/>
        </w:rPr>
        <w:t>首次均价的报价达3家及以上的，采用二次筛选。）</w:t>
      </w:r>
    </w:p>
    <w:p>
      <w:pPr>
        <w:tabs>
          <w:tab w:val="left" w:pos="7575"/>
        </w:tabs>
        <w:spacing w:line="420" w:lineRule="exact"/>
        <w:ind w:firstLine="480" w:firstLineChars="200"/>
        <w:rPr>
          <w:rFonts w:hint="eastAsia" w:ascii="Times New Roman" w:hAnsi="Times New Roman"/>
          <w:sz w:val="24"/>
          <w:szCs w:val="24"/>
        </w:rPr>
      </w:pPr>
      <w:r>
        <w:rPr>
          <w:rFonts w:hint="eastAsia" w:ascii="Times New Roman" w:hAnsi="Times New Roman"/>
          <w:sz w:val="24"/>
          <w:szCs w:val="24"/>
          <w:lang w:val="en-US" w:eastAsia="zh-CN"/>
        </w:rPr>
        <w:t>2.</w:t>
      </w:r>
      <w:r>
        <w:rPr>
          <w:rFonts w:hint="eastAsia" w:ascii="Times New Roman" w:hAnsi="Times New Roman"/>
          <w:sz w:val="24"/>
          <w:szCs w:val="24"/>
        </w:rPr>
        <w:t>‌中标候选人确定‌：</w:t>
      </w:r>
    </w:p>
    <w:p>
      <w:pPr>
        <w:tabs>
          <w:tab w:val="left" w:pos="7575"/>
        </w:tabs>
        <w:spacing w:line="420" w:lineRule="exact"/>
        <w:ind w:firstLine="480" w:firstLineChars="200"/>
        <w:rPr>
          <w:rFonts w:hint="eastAsia"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1</w:t>
      </w:r>
      <w:r>
        <w:rPr>
          <w:rFonts w:hint="eastAsia" w:ascii="Times New Roman" w:hAnsi="Times New Roman"/>
          <w:sz w:val="24"/>
          <w:szCs w:val="24"/>
          <w:lang w:eastAsia="zh-CN"/>
        </w:rPr>
        <w:t>）</w:t>
      </w:r>
      <w:r>
        <w:rPr>
          <w:rFonts w:hint="eastAsia" w:ascii="Times New Roman" w:hAnsi="Times New Roman"/>
          <w:sz w:val="24"/>
          <w:szCs w:val="24"/>
        </w:rPr>
        <w:t>报价与基准价‌偏差绝对值最小者优先‌；</w:t>
      </w:r>
    </w:p>
    <w:p>
      <w:pPr>
        <w:tabs>
          <w:tab w:val="left" w:pos="7575"/>
        </w:tabs>
        <w:spacing w:line="420" w:lineRule="exact"/>
        <w:ind w:firstLine="480" w:firstLineChars="200"/>
        <w:rPr>
          <w:rFonts w:hint="eastAsia"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2</w:t>
      </w:r>
      <w:r>
        <w:rPr>
          <w:rFonts w:hint="eastAsia" w:ascii="Times New Roman" w:hAnsi="Times New Roman"/>
          <w:sz w:val="24"/>
          <w:szCs w:val="24"/>
          <w:lang w:eastAsia="zh-CN"/>
        </w:rPr>
        <w:t>）</w:t>
      </w:r>
      <w:r>
        <w:rPr>
          <w:rFonts w:hint="eastAsia" w:ascii="Times New Roman" w:hAnsi="Times New Roman"/>
          <w:sz w:val="24"/>
          <w:szCs w:val="24"/>
        </w:rPr>
        <w:t>绝对值相同时，优先选择‌负偏差报价企业‌（即低于基准价）</w:t>
      </w:r>
    </w:p>
    <w:p>
      <w:pPr>
        <w:tabs>
          <w:tab w:val="left" w:pos="7575"/>
        </w:tabs>
        <w:spacing w:line="420" w:lineRule="exact"/>
        <w:ind w:firstLine="480" w:firstLineChars="200"/>
        <w:rPr>
          <w:rFonts w:hint="eastAsia"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hint="eastAsia" w:ascii="Times New Roman" w:hAnsi="Times New Roman"/>
          <w:sz w:val="24"/>
          <w:szCs w:val="24"/>
          <w:lang w:eastAsia="zh-CN"/>
        </w:rPr>
        <w:t>）</w:t>
      </w:r>
      <w:r>
        <w:rPr>
          <w:rFonts w:hint="eastAsia" w:ascii="Times New Roman" w:hAnsi="Times New Roman"/>
          <w:sz w:val="24"/>
          <w:szCs w:val="24"/>
        </w:rPr>
        <w:t>负偏差报价相同时，优先选择信用评级更高的企业（“信用中国”平台查询结果）</w:t>
      </w:r>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EF4E46"/>
    <w:multiLevelType w:val="singleLevel"/>
    <w:tmpl w:val="E0EF4E46"/>
    <w:lvl w:ilvl="0" w:tentative="0">
      <w:start w:val="1"/>
      <w:numFmt w:val="decimal"/>
      <w:lvlText w:val="%1."/>
      <w:lvlJc w:val="left"/>
      <w:pPr>
        <w:tabs>
          <w:tab w:val="left" w:pos="312"/>
        </w:tabs>
        <w:ind w:left="96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DB440B4"/>
    <w:rsid w:val="1EA9518B"/>
    <w:rsid w:val="1EF02DBA"/>
    <w:rsid w:val="229D0F23"/>
    <w:rsid w:val="250338C6"/>
    <w:rsid w:val="2560638D"/>
    <w:rsid w:val="2888575B"/>
    <w:rsid w:val="296C096E"/>
    <w:rsid w:val="2DC35BE2"/>
    <w:rsid w:val="2DFD6DA8"/>
    <w:rsid w:val="2F5C3B54"/>
    <w:rsid w:val="3401034F"/>
    <w:rsid w:val="365F5108"/>
    <w:rsid w:val="36F271E0"/>
    <w:rsid w:val="38451629"/>
    <w:rsid w:val="39202096"/>
    <w:rsid w:val="3956631D"/>
    <w:rsid w:val="39A323C9"/>
    <w:rsid w:val="3C446F5E"/>
    <w:rsid w:val="3D995F73"/>
    <w:rsid w:val="3DD40ACC"/>
    <w:rsid w:val="3E7A3FF6"/>
    <w:rsid w:val="3F7C42B6"/>
    <w:rsid w:val="40821E95"/>
    <w:rsid w:val="42331D89"/>
    <w:rsid w:val="425C413F"/>
    <w:rsid w:val="42654155"/>
    <w:rsid w:val="427A6373"/>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5C071983"/>
    <w:rsid w:val="6359495D"/>
    <w:rsid w:val="65374BCA"/>
    <w:rsid w:val="6562740E"/>
    <w:rsid w:val="65CA16B3"/>
    <w:rsid w:val="65FC1861"/>
    <w:rsid w:val="662E5966"/>
    <w:rsid w:val="6747066A"/>
    <w:rsid w:val="699F737A"/>
    <w:rsid w:val="6D892812"/>
    <w:rsid w:val="6EAC5D22"/>
    <w:rsid w:val="6F1E00AA"/>
    <w:rsid w:val="6FE07D2F"/>
    <w:rsid w:val="70E71E73"/>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autoRedefine/>
    <w:qFormat/>
    <w:uiPriority w:val="1"/>
    <w:pPr>
      <w:ind w:left="577"/>
      <w:outlineLvl w:val="6"/>
    </w:pPr>
    <w:rPr>
      <w:rFonts w:ascii="宋体" w:hAnsi="宋体"/>
      <w:b/>
      <w:bCs/>
      <w:sz w:val="21"/>
      <w:szCs w:val="21"/>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7"/>
    <w:autoRedefine/>
    <w:semiHidden/>
    <w:unhideWhenUsed/>
    <w:qFormat/>
    <w:uiPriority w:val="99"/>
    <w:pPr>
      <w:jc w:val="left"/>
    </w:pPr>
  </w:style>
  <w:style w:type="paragraph" w:styleId="6">
    <w:name w:val="Body Text"/>
    <w:basedOn w:val="1"/>
    <w:next w:val="1"/>
    <w:autoRedefine/>
    <w:qFormat/>
    <w:uiPriority w:val="1"/>
    <w:pPr>
      <w:ind w:left="140"/>
    </w:pPr>
    <w:rPr>
      <w:rFonts w:ascii="宋体" w:hAnsi="宋体"/>
      <w:sz w:val="21"/>
      <w:szCs w:val="21"/>
    </w:rPr>
  </w:style>
  <w:style w:type="paragraph" w:styleId="7">
    <w:name w:val="Body Text Indent"/>
    <w:basedOn w:val="1"/>
    <w:next w:val="8"/>
    <w:autoRedefine/>
    <w:qFormat/>
    <w:uiPriority w:val="0"/>
    <w:pPr>
      <w:ind w:firstLine="645"/>
    </w:pPr>
    <w:rPr>
      <w:rFonts w:ascii="楷体_GB2312" w:eastAsia="楷体_GB2312"/>
      <w:kern w:val="2"/>
      <w:sz w:val="32"/>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rFonts w:hAnsi="Courier New"/>
      <w:kern w:val="2"/>
      <w:sz w:val="21"/>
    </w:rPr>
  </w:style>
  <w:style w:type="paragraph" w:styleId="10">
    <w:name w:val="Balloon Text"/>
    <w:basedOn w:val="1"/>
    <w:link w:val="29"/>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5"/>
    <w:next w:val="5"/>
    <w:link w:val="28"/>
    <w:autoRedefine/>
    <w:semiHidden/>
    <w:unhideWhenUsed/>
    <w:qFormat/>
    <w:uiPriority w:val="99"/>
    <w:rPr>
      <w:b/>
      <w:bCs/>
    </w:rPr>
  </w:style>
  <w:style w:type="paragraph" w:styleId="18">
    <w:name w:val="Body Text First Indent 2"/>
    <w:basedOn w:val="7"/>
    <w:next w:val="1"/>
    <w:autoRedefine/>
    <w:qFormat/>
    <w:uiPriority w:val="0"/>
    <w:pPr>
      <w:ind w:left="420" w:leftChars="200" w:firstLine="420" w:firstLineChars="200"/>
    </w:pPr>
  </w:style>
  <w:style w:type="table" w:styleId="20">
    <w:name w:val="Table Grid"/>
    <w:basedOn w:val="1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annotation reference"/>
    <w:basedOn w:val="21"/>
    <w:autoRedefine/>
    <w:semiHidden/>
    <w:unhideWhenUsed/>
    <w:qFormat/>
    <w:uiPriority w:val="99"/>
    <w:rPr>
      <w:sz w:val="21"/>
      <w:szCs w:val="21"/>
    </w:rPr>
  </w:style>
  <w:style w:type="paragraph" w:customStyle="1" w:styleId="23">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4">
    <w:name w:val="页眉 Char"/>
    <w:basedOn w:val="21"/>
    <w:link w:val="12"/>
    <w:autoRedefine/>
    <w:qFormat/>
    <w:uiPriority w:val="99"/>
    <w:rPr>
      <w:sz w:val="18"/>
      <w:szCs w:val="18"/>
    </w:rPr>
  </w:style>
  <w:style w:type="character" w:customStyle="1" w:styleId="25">
    <w:name w:val="页脚 Char"/>
    <w:basedOn w:val="21"/>
    <w:link w:val="11"/>
    <w:autoRedefine/>
    <w:qFormat/>
    <w:uiPriority w:val="99"/>
    <w:rPr>
      <w:sz w:val="18"/>
      <w:szCs w:val="18"/>
    </w:rPr>
  </w:style>
  <w:style w:type="paragraph" w:customStyle="1" w:styleId="26">
    <w:name w:val="Char Char Char Char Char Char Char Char Char Char"/>
    <w:basedOn w:val="1"/>
    <w:autoRedefine/>
    <w:qFormat/>
    <w:uiPriority w:val="0"/>
    <w:rPr>
      <w:rFonts w:ascii="Tahoma" w:hAnsi="Tahoma" w:eastAsia="宋体" w:cs="仿宋_GB2312"/>
      <w:sz w:val="24"/>
      <w:szCs w:val="20"/>
    </w:rPr>
  </w:style>
  <w:style w:type="character" w:customStyle="1" w:styleId="27">
    <w:name w:val="批注文字 Char"/>
    <w:basedOn w:val="21"/>
    <w:link w:val="5"/>
    <w:autoRedefine/>
    <w:semiHidden/>
    <w:qFormat/>
    <w:uiPriority w:val="99"/>
  </w:style>
  <w:style w:type="character" w:customStyle="1" w:styleId="28">
    <w:name w:val="批注主题 Char"/>
    <w:basedOn w:val="27"/>
    <w:link w:val="17"/>
    <w:autoRedefine/>
    <w:semiHidden/>
    <w:qFormat/>
    <w:uiPriority w:val="99"/>
    <w:rPr>
      <w:b/>
      <w:bCs/>
    </w:rPr>
  </w:style>
  <w:style w:type="character" w:customStyle="1" w:styleId="29">
    <w:name w:val="批注框文本 Char"/>
    <w:basedOn w:val="21"/>
    <w:link w:val="10"/>
    <w:autoRedefine/>
    <w:semiHidden/>
    <w:qFormat/>
    <w:uiPriority w:val="99"/>
    <w:rPr>
      <w:sz w:val="18"/>
      <w:szCs w:val="18"/>
    </w:rPr>
  </w:style>
  <w:style w:type="paragraph" w:styleId="30">
    <w:name w:val="List Paragraph"/>
    <w:basedOn w:val="1"/>
    <w:autoRedefine/>
    <w:unhideWhenUsed/>
    <w:qFormat/>
    <w:uiPriority w:val="99"/>
    <w:pPr>
      <w:ind w:firstLine="420" w:firstLineChars="200"/>
    </w:pPr>
  </w:style>
  <w:style w:type="paragraph" w:customStyle="1" w:styleId="31">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2">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3">
    <w:name w:val="Char Char Char Char Char Char Char1 Char"/>
    <w:basedOn w:val="1"/>
    <w:autoRedefine/>
    <w:qFormat/>
    <w:uiPriority w:val="0"/>
    <w:rPr>
      <w:rFonts w:ascii="Tahoma" w:hAnsi="Tahoma"/>
      <w:sz w:val="24"/>
    </w:rPr>
  </w:style>
  <w:style w:type="character" w:customStyle="1" w:styleId="34">
    <w:name w:val="font21"/>
    <w:basedOn w:val="21"/>
    <w:autoRedefine/>
    <w:qFormat/>
    <w:uiPriority w:val="0"/>
    <w:rPr>
      <w:rFonts w:hint="eastAsia" w:ascii="宋体" w:hAnsi="宋体" w:eastAsia="宋体" w:cs="宋体"/>
      <w:b/>
      <w:bCs/>
      <w:color w:val="000000"/>
      <w:sz w:val="40"/>
      <w:szCs w:val="40"/>
      <w:u w:val="none"/>
    </w:rPr>
  </w:style>
  <w:style w:type="character" w:customStyle="1" w:styleId="35">
    <w:name w:val="font71"/>
    <w:basedOn w:val="21"/>
    <w:autoRedefine/>
    <w:qFormat/>
    <w:uiPriority w:val="0"/>
    <w:rPr>
      <w:rFonts w:hint="eastAsia" w:ascii="宋体" w:hAnsi="宋体" w:eastAsia="宋体" w:cs="宋体"/>
      <w:b/>
      <w:bCs/>
      <w:color w:val="000000"/>
      <w:sz w:val="40"/>
      <w:szCs w:val="40"/>
      <w:u w:val="single"/>
    </w:rPr>
  </w:style>
  <w:style w:type="character" w:customStyle="1" w:styleId="36">
    <w:name w:val="font91"/>
    <w:basedOn w:val="21"/>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7">
    <w:name w:val="font111"/>
    <w:basedOn w:val="21"/>
    <w:autoRedefine/>
    <w:qFormat/>
    <w:uiPriority w:val="0"/>
    <w:rPr>
      <w:rFonts w:hint="eastAsia" w:ascii="宋体" w:hAnsi="宋体" w:eastAsia="宋体" w:cs="宋体"/>
      <w:color w:val="000000"/>
      <w:sz w:val="40"/>
      <w:szCs w:val="40"/>
      <w:u w:val="single"/>
    </w:rPr>
  </w:style>
  <w:style w:type="character" w:customStyle="1" w:styleId="38">
    <w:name w:val="font141"/>
    <w:basedOn w:val="21"/>
    <w:autoRedefine/>
    <w:qFormat/>
    <w:uiPriority w:val="0"/>
    <w:rPr>
      <w:rFonts w:hint="eastAsia" w:ascii="宋体" w:hAnsi="宋体" w:eastAsia="宋体" w:cs="宋体"/>
      <w:color w:val="000000"/>
      <w:sz w:val="20"/>
      <w:szCs w:val="20"/>
      <w:u w:val="single"/>
    </w:rPr>
  </w:style>
  <w:style w:type="character" w:customStyle="1" w:styleId="39">
    <w:name w:val="font151"/>
    <w:basedOn w:val="21"/>
    <w:autoRedefine/>
    <w:qFormat/>
    <w:uiPriority w:val="0"/>
    <w:rPr>
      <w:rFonts w:hint="eastAsia" w:ascii="宋体" w:hAnsi="宋体" w:eastAsia="宋体" w:cs="宋体"/>
      <w:color w:val="000000"/>
      <w:sz w:val="20"/>
      <w:szCs w:val="20"/>
      <w:u w:val="single"/>
    </w:rPr>
  </w:style>
  <w:style w:type="paragraph" w:customStyle="1" w:styleId="40">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1">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42">
    <w:name w:val="00-表格正文"/>
    <w:basedOn w:val="1"/>
    <w:autoRedefine/>
    <w:qFormat/>
    <w:uiPriority w:val="0"/>
    <w:pPr>
      <w:widowControl/>
      <w:spacing w:line="360" w:lineRule="auto"/>
      <w:jc w:val="left"/>
    </w:pPr>
    <w:rPr>
      <w:rFonts w:ascii="黑体" w:hAnsi="黑体" w:eastAsia="仿宋" w:cs="宋体"/>
      <w:bCs/>
      <w:color w:val="00000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1</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2025-07-21T02:08:24Z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