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int="eastAsia"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26"/>
        <w:gridCol w:w="1920"/>
        <w:gridCol w:w="220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序号</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单</w:t>
            </w:r>
            <w:r>
              <w:rPr>
                <w:rFonts w:hint="eastAsia" w:ascii="宋体" w:hAnsi="宋体" w:eastAsia="宋体" w:cs="宋体"/>
                <w:b/>
                <w:kern w:val="0"/>
                <w:sz w:val="24"/>
                <w:szCs w:val="24"/>
                <w:vertAlign w:val="baseline"/>
                <w:lang w:val="en-US" w:eastAsia="zh-CN"/>
              </w:rPr>
              <w:t xml:space="preserve"> </w:t>
            </w:r>
            <w:r>
              <w:rPr>
                <w:rFonts w:hint="eastAsia" w:ascii="宋体" w:hAnsi="宋体" w:eastAsia="宋体" w:cs="宋体"/>
                <w:b/>
                <w:kern w:val="0"/>
                <w:sz w:val="24"/>
                <w:szCs w:val="24"/>
                <w:vertAlign w:val="baseline"/>
                <w:lang w:eastAsia="zh-CN"/>
              </w:rPr>
              <w:t>位</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eastAsia="zh-CN"/>
              </w:rPr>
              <w:t>审计控制价（元）</w:t>
            </w:r>
          </w:p>
        </w:tc>
        <w:tc>
          <w:tcPr>
            <w:tcW w:w="220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分项报价（含税）（元）</w:t>
            </w:r>
          </w:p>
        </w:tc>
        <w:tc>
          <w:tcPr>
            <w:tcW w:w="25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1</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r>
              <w:rPr>
                <w:rFonts w:hint="eastAsia" w:ascii="宋体" w:hAnsi="宋体" w:eastAsia="宋体" w:cs="宋体"/>
                <w:b w:val="0"/>
                <w:bCs w:val="0"/>
                <w:color w:val="auto"/>
                <w:kern w:val="0"/>
                <w:sz w:val="24"/>
                <w:szCs w:val="24"/>
                <w:highlight w:val="none"/>
                <w:lang w:val="en-US" w:eastAsia="zh-CN"/>
              </w:rPr>
              <w:t>A单位</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12000</w:t>
            </w:r>
          </w:p>
        </w:tc>
        <w:tc>
          <w:tcPr>
            <w:tcW w:w="220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5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1"/>
                <w:szCs w:val="21"/>
                <w:vertAlign w:val="baseline"/>
                <w:lang w:val="en-US"/>
              </w:rPr>
            </w:pPr>
            <w:r>
              <w:rPr>
                <w:rFonts w:hint="eastAsia"/>
                <w:lang w:eastAsia="zh-CN"/>
              </w:rPr>
              <w:t>锦绣、方兴菜市场相关审计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2</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r>
              <w:rPr>
                <w:rFonts w:hint="eastAsia" w:ascii="宋体" w:hAnsi="宋体" w:eastAsia="宋体" w:cs="宋体"/>
                <w:b w:val="0"/>
                <w:bCs w:val="0"/>
                <w:color w:val="auto"/>
                <w:kern w:val="0"/>
                <w:sz w:val="24"/>
                <w:szCs w:val="24"/>
                <w:highlight w:val="none"/>
                <w:lang w:val="en-US" w:eastAsia="zh-CN"/>
              </w:rPr>
              <w:t>B单位</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8000</w:t>
            </w:r>
          </w:p>
        </w:tc>
        <w:tc>
          <w:tcPr>
            <w:tcW w:w="220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5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1"/>
                <w:szCs w:val="21"/>
                <w:vertAlign w:val="baseline"/>
              </w:rPr>
            </w:pPr>
            <w:r>
              <w:rPr>
                <w:rFonts w:hint="eastAsia" w:ascii="Times New Roman" w:hAnsi="Times New Roman" w:eastAsia="宋体" w:cs="Times New Roman"/>
                <w:lang w:val="en-US" w:eastAsia="zh-CN"/>
              </w:rPr>
              <w:t>朝霞、九龙</w:t>
            </w:r>
            <w:r>
              <w:rPr>
                <w:rFonts w:hint="eastAsia" w:ascii="Times New Roman" w:hAnsi="Times New Roman" w:eastAsia="宋体" w:cs="Times New Roman"/>
                <w:lang w:eastAsia="zh-CN"/>
              </w:rPr>
              <w:t>菜市场</w:t>
            </w:r>
            <w:r>
              <w:rPr>
                <w:rFonts w:hint="eastAsia" w:ascii="Times New Roman" w:hAnsi="Times New Roman" w:eastAsia="宋体" w:cs="Times New Roman"/>
                <w:lang w:val="en-US" w:eastAsia="zh-CN"/>
              </w:rPr>
              <w:t>相关审计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5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合计</w:t>
            </w:r>
          </w:p>
        </w:tc>
        <w:tc>
          <w:tcPr>
            <w:tcW w:w="19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20000</w:t>
            </w:r>
          </w:p>
        </w:tc>
        <w:tc>
          <w:tcPr>
            <w:tcW w:w="220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5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9" w:type="dxa"/>
            <w:gridSpan w:val="5"/>
            <w:noWrap w:val="0"/>
            <w:vAlign w:val="center"/>
          </w:tcPr>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说明：</w:t>
            </w:r>
          </w:p>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投标人须对</w:t>
            </w:r>
            <w:r>
              <w:rPr>
                <w:rFonts w:hint="eastAsia" w:ascii="宋体" w:hAnsi="宋体" w:eastAsia="宋体" w:cs="Times New Roman"/>
                <w:sz w:val="24"/>
                <w:szCs w:val="24"/>
                <w:lang w:eastAsia="zh-CN"/>
              </w:rPr>
              <w:t>两家单位的审计服务费分别报价</w:t>
            </w:r>
            <w:r>
              <w:rPr>
                <w:rFonts w:hint="eastAsia" w:ascii="宋体" w:hAnsi="宋体" w:eastAsia="宋体" w:cs="Times New Roman"/>
                <w:sz w:val="24"/>
                <w:szCs w:val="24"/>
              </w:rPr>
              <w:t>（包含中标人为完成本项目所发生的一切费用）</w:t>
            </w:r>
            <w:r>
              <w:rPr>
                <w:rFonts w:hint="eastAsia" w:ascii="宋体" w:hAnsi="宋体" w:eastAsia="宋体" w:cs="Times New Roman"/>
                <w:sz w:val="24"/>
                <w:szCs w:val="24"/>
                <w:lang w:eastAsia="zh-CN"/>
              </w:rPr>
              <w:t>。</w:t>
            </w:r>
          </w:p>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b/>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分项报价</w:t>
            </w:r>
            <w:r>
              <w:rPr>
                <w:rFonts w:hint="eastAsia" w:ascii="宋体" w:hAnsi="宋体" w:eastAsia="宋体" w:cs="Times New Roman"/>
                <w:sz w:val="24"/>
                <w:szCs w:val="24"/>
              </w:rPr>
              <w:t>为</w:t>
            </w:r>
            <w:r>
              <w:rPr>
                <w:rFonts w:hint="eastAsia" w:ascii="宋体" w:hAnsi="宋体" w:eastAsia="宋体" w:cs="Times New Roman"/>
                <w:sz w:val="24"/>
                <w:szCs w:val="24"/>
                <w:lang w:eastAsia="zh-CN"/>
              </w:rPr>
              <w:t>服务费</w:t>
            </w:r>
            <w:r>
              <w:rPr>
                <w:rFonts w:hint="eastAsia" w:ascii="宋体" w:hAnsi="宋体" w:eastAsia="宋体" w:cs="Times New Roman"/>
                <w:sz w:val="24"/>
                <w:szCs w:val="24"/>
              </w:rPr>
              <w:t>结算依据</w:t>
            </w:r>
            <w:r>
              <w:rPr>
                <w:rFonts w:hint="eastAsia" w:ascii="宋体" w:hAnsi="宋体" w:eastAsia="宋体" w:cs="Times New Roman"/>
                <w:sz w:val="24"/>
                <w:szCs w:val="24"/>
                <w:lang w:eastAsia="zh-CN"/>
              </w:rPr>
              <w:t>。分项报价</w:t>
            </w:r>
            <w:r>
              <w:rPr>
                <w:rFonts w:hint="eastAsia" w:ascii="宋体" w:hAnsi="宋体" w:eastAsia="宋体" w:cs="Times New Roman"/>
                <w:b w:val="0"/>
                <w:bCs/>
                <w:sz w:val="24"/>
                <w:szCs w:val="24"/>
              </w:rPr>
              <w:t>不得超过对应</w:t>
            </w:r>
            <w:r>
              <w:rPr>
                <w:rFonts w:hint="eastAsia" w:ascii="宋体" w:hAnsi="宋体" w:eastAsia="宋体" w:cs="Times New Roman"/>
                <w:b w:val="0"/>
                <w:bCs/>
                <w:sz w:val="24"/>
                <w:szCs w:val="24"/>
                <w:lang w:eastAsia="zh-CN"/>
              </w:rPr>
              <w:t>控制价</w:t>
            </w:r>
            <w:r>
              <w:rPr>
                <w:rFonts w:hint="eastAsia" w:ascii="宋体" w:hAnsi="宋体" w:eastAsia="宋体" w:cs="Times New Roman"/>
                <w:b w:val="0"/>
                <w:bCs/>
                <w:sz w:val="24"/>
                <w:szCs w:val="24"/>
              </w:rPr>
              <w:t>，否则投标无效。</w:t>
            </w:r>
          </w:p>
          <w:p>
            <w:pPr>
              <w:keepNext w:val="0"/>
              <w:keepLines w:val="0"/>
              <w:suppressLineNumbers w:val="0"/>
              <w:spacing w:before="0" w:beforeAutospacing="0" w:after="0" w:afterAutospacing="0" w:line="360" w:lineRule="auto"/>
              <w:ind w:left="0" w:right="0"/>
              <w:jc w:val="both"/>
              <w:rPr>
                <w:rFonts w:hint="eastAsia" w:ascii="宋体" w:hAnsi="宋体" w:eastAsia="宋体" w:cs="宋体"/>
                <w:b/>
                <w:kern w:val="0"/>
                <w:sz w:val="24"/>
                <w:szCs w:val="24"/>
                <w:vertAlign w:val="baseline"/>
              </w:rPr>
            </w:pPr>
            <w:r>
              <w:rPr>
                <w:rFonts w:hint="eastAsia" w:ascii="宋体" w:hAnsi="宋体" w:eastAsia="宋体" w:cs="宋体"/>
                <w:bCs/>
                <w:kern w:val="0"/>
                <w:sz w:val="24"/>
                <w:szCs w:val="24"/>
                <w:lang w:val="en-US" w:eastAsia="zh-CN" w:bidi="ar"/>
              </w:rPr>
              <w:t>3.</w:t>
            </w:r>
            <w:r>
              <w:rPr>
                <w:rFonts w:hint="eastAsia" w:ascii="宋体" w:hAnsi="宋体" w:eastAsia="宋体" w:cs="宋体"/>
                <w:bCs/>
                <w:kern w:val="0"/>
                <w:sz w:val="24"/>
                <w:szCs w:val="24"/>
                <w:lang w:bidi="ar"/>
              </w:rPr>
              <w:t>本表中</w:t>
            </w:r>
            <w:r>
              <w:rPr>
                <w:rFonts w:hint="eastAsia" w:ascii="宋体" w:hAnsi="宋体" w:eastAsia="宋体" w:cs="宋体"/>
                <w:bCs/>
                <w:kern w:val="0"/>
                <w:sz w:val="24"/>
                <w:szCs w:val="24"/>
                <w:lang w:eastAsia="zh-CN" w:bidi="ar"/>
              </w:rPr>
              <w:t>分项报价</w:t>
            </w:r>
            <w:r>
              <w:rPr>
                <w:rFonts w:hint="eastAsia" w:ascii="宋体" w:hAnsi="宋体" w:eastAsia="宋体" w:cs="宋体"/>
                <w:bCs/>
                <w:kern w:val="0"/>
                <w:sz w:val="24"/>
                <w:szCs w:val="24"/>
                <w:lang w:bidi="ar"/>
              </w:rPr>
              <w:t>合计金额</w:t>
            </w:r>
            <w:r>
              <w:rPr>
                <w:rFonts w:hint="eastAsia" w:ascii="宋体" w:hAnsi="宋体" w:eastAsia="宋体" w:cs="仿宋_GB2312"/>
                <w:kern w:val="0"/>
                <w:sz w:val="24"/>
                <w:szCs w:val="24"/>
                <w:lang w:bidi="ar"/>
              </w:rPr>
              <w:t>即为投标人报出的本项目</w:t>
            </w:r>
            <w:r>
              <w:rPr>
                <w:rFonts w:hint="eastAsia" w:ascii="宋体" w:hAnsi="宋体" w:eastAsia="宋体" w:cs="仿宋_GB2312"/>
                <w:kern w:val="0"/>
                <w:sz w:val="24"/>
                <w:szCs w:val="24"/>
                <w:lang w:eastAsia="zh-CN" w:bidi="ar"/>
              </w:rPr>
              <w:t>服务费</w:t>
            </w:r>
            <w:r>
              <w:rPr>
                <w:rFonts w:hint="eastAsia" w:ascii="宋体" w:hAnsi="宋体" w:eastAsia="宋体" w:cs="宋体"/>
                <w:sz w:val="24"/>
                <w:szCs w:val="24"/>
              </w:rPr>
              <w:t>总价。</w:t>
            </w:r>
          </w:p>
        </w:tc>
      </w:tr>
    </w:tbl>
    <w:p>
      <w:pPr>
        <w:snapToGrid w:val="0"/>
        <w:spacing w:line="360" w:lineRule="auto"/>
        <w:jc w:val="left"/>
        <w:rPr>
          <w:rFonts w:hint="eastAsia" w:hAnsi="宋体"/>
          <w:b/>
          <w:color w:val="000000"/>
          <w:szCs w:val="28"/>
        </w:rPr>
      </w:pPr>
    </w:p>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8"/>
        <w:ind w:left="0" w:leftChars="0" w:firstLine="0" w:firstLineChars="0"/>
        <w:rPr>
          <w:rFonts w:hAnsi="宋体"/>
          <w:b/>
          <w:bCs/>
          <w:color w:val="000000"/>
          <w:szCs w:val="28"/>
        </w:rPr>
      </w:pPr>
    </w:p>
    <w:p>
      <w:pPr>
        <w:pStyle w:val="18"/>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bookmarkStart w:id="9" w:name="_Hlk23621890"/>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val="0"/>
          <w:sz w:val="28"/>
          <w:szCs w:val="28"/>
        </w:rPr>
      </w:pPr>
      <w:bookmarkStart w:id="10" w:name="_Hlk16461016"/>
      <w:r>
        <w:rPr>
          <w:rFonts w:hint="eastAsia" w:ascii="Times New Roman" w:hAnsi="Times New Roman" w:eastAsia="宋体" w:cs="Times New Roman"/>
          <w:b/>
          <w:bCs w:val="0"/>
          <w:sz w:val="28"/>
          <w:szCs w:val="28"/>
          <w:lang w:val="en-US" w:eastAsia="zh-CN"/>
        </w:rPr>
        <w:t>一</w:t>
      </w:r>
      <w:r>
        <w:rPr>
          <w:rFonts w:hint="eastAsia" w:ascii="Times New Roman" w:hAnsi="Times New Roman" w:eastAsia="宋体" w:cs="Times New Roman"/>
          <w:b/>
          <w:bCs w:val="0"/>
          <w:sz w:val="28"/>
          <w:szCs w:val="28"/>
        </w:rPr>
        <w:t>、项目概况</w:t>
      </w:r>
    </w:p>
    <w:p>
      <w:pPr>
        <w:spacing w:line="360" w:lineRule="auto"/>
        <w:ind w:firstLine="437"/>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本项目为香怡物业管理的锦绣、方兴、朝霞、九龙四个菜市场提供运营管理审计服务。主要为：</w:t>
      </w:r>
    </w:p>
    <w:p>
      <w:pPr>
        <w:spacing w:line="360" w:lineRule="auto"/>
        <w:ind w:firstLine="437"/>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A单位涉及锦绣菜市场委托运营管理协议范围外的2个项目（方兴菜市场外围16间商铺；锦绣菜市场一层外围临时搭建15间、锦绣菜市场三层、四层）管理期内的项目支出金额进行专项审计工作。其中锦绣菜市场相关范围进行支出审计的截止时间以该市场招投标确定我司能移交的时间为准。</w:t>
      </w:r>
    </w:p>
    <w:p>
      <w:pPr>
        <w:spacing w:line="360" w:lineRule="auto"/>
        <w:ind w:firstLine="437"/>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2.B单位在朝霞菜市场运营管理期间，对合同范围外的朝霞菜市场地下车库及综合体物业管理项目进行审计；B单位在运营管理期间，九龙菜市场与本地经营户发生的相关费用进行审计；</w:t>
      </w:r>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lang w:val="en-US" w:eastAsia="zh-CN"/>
        </w:rPr>
        <w:t>二</w:t>
      </w:r>
      <w:r>
        <w:rPr>
          <w:rFonts w:hint="eastAsia" w:ascii="Times New Roman" w:hAnsi="Times New Roman" w:eastAsia="宋体" w:cs="Times New Roman"/>
          <w:b/>
          <w:bCs w:val="0"/>
          <w:sz w:val="28"/>
          <w:szCs w:val="28"/>
        </w:rPr>
        <w:t>、服务需求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中标人</w:t>
      </w:r>
      <w:r>
        <w:rPr>
          <w:rFonts w:hint="eastAsia" w:ascii="宋体" w:hAnsi="宋体" w:eastAsia="宋体" w:cs="宋体"/>
          <w:sz w:val="24"/>
          <w:szCs w:val="24"/>
        </w:rPr>
        <w:t>根据工作量安排至少2名工作人员（1个高级职称、1个中级职称）入场开展工作，工作人员</w:t>
      </w:r>
      <w:r>
        <w:rPr>
          <w:rFonts w:hint="eastAsia" w:ascii="宋体" w:hAnsi="宋体" w:eastAsia="宋体" w:cs="宋体"/>
          <w:sz w:val="24"/>
          <w:szCs w:val="24"/>
          <w:lang w:eastAsia="zh-CN"/>
        </w:rPr>
        <w:t>需</w:t>
      </w:r>
      <w:r>
        <w:rPr>
          <w:rFonts w:hint="eastAsia" w:ascii="宋体" w:hAnsi="宋体" w:eastAsia="宋体" w:cs="宋体"/>
          <w:sz w:val="24"/>
          <w:szCs w:val="24"/>
        </w:rPr>
        <w:t>胜任本次专项审计工作，提供符合我公司要求的审查结果文字材料和相关表格；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建立专业项目小组，项目负责人能够胜任本次审计的相关工作，负责撰写审计报告等文字材料；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.中标后，中标人派驻的工作人员应立</w:t>
      </w:r>
      <w:r>
        <w:rPr>
          <w:rFonts w:hint="eastAsia" w:ascii="宋体" w:hAnsi="宋体" w:eastAsia="宋体" w:cs="宋体"/>
          <w:sz w:val="24"/>
          <w:szCs w:val="24"/>
        </w:rPr>
        <w:t>即进驻合肥经济技术开发区公用事业发展有限公司开展工作，协调运营管理单位提供材料，内容要求客观、详实。在20个工作日内完成梳理工作，提交符合要求的文字材料，包括反馈修改。</w:t>
      </w:r>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lang w:val="en-US" w:eastAsia="zh-CN"/>
        </w:rPr>
        <w:t>三</w:t>
      </w:r>
      <w:r>
        <w:rPr>
          <w:rFonts w:hint="eastAsia" w:ascii="Times New Roman" w:hAnsi="Times New Roman" w:eastAsia="宋体" w:cs="Times New Roman"/>
          <w:b/>
          <w:bCs w:val="0"/>
          <w:sz w:val="28"/>
          <w:szCs w:val="28"/>
        </w:rPr>
        <w:t>、审查期间及范围：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val="0"/>
          <w:bCs w:val="0"/>
          <w:color w:val="auto"/>
          <w:kern w:val="0"/>
          <w:sz w:val="24"/>
          <w:szCs w:val="24"/>
          <w:highlight w:val="none"/>
          <w:lang w:val="en-US" w:eastAsia="zh-CN"/>
        </w:rPr>
        <w:t>A单位</w:t>
      </w:r>
      <w:r>
        <w:rPr>
          <w:rFonts w:hint="eastAsia" w:ascii="宋体" w:hAnsi="宋体" w:eastAsia="宋体" w:cs="宋体"/>
          <w:sz w:val="24"/>
          <w:szCs w:val="24"/>
        </w:rPr>
        <w:t>涉及运营管理协议范围外的项目支出金额进行专项审计工作：方兴菜市场外围16间商铺（2024年11月1日至2025年10月31日）、锦绣菜市场一层外围临时搭建15间（2024年8月1日至2025年10月30日）、锦绣菜市三层、四层（2024年10月1日至2025年10月30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val="0"/>
          <w:bCs w:val="0"/>
          <w:color w:val="auto"/>
          <w:kern w:val="0"/>
          <w:sz w:val="24"/>
          <w:szCs w:val="24"/>
          <w:highlight w:val="none"/>
          <w:lang w:val="en-US" w:eastAsia="zh-CN"/>
        </w:rPr>
        <w:t>B单位</w:t>
      </w:r>
      <w:r>
        <w:rPr>
          <w:rFonts w:hint="eastAsia" w:ascii="宋体" w:hAnsi="宋体" w:eastAsia="宋体" w:cs="宋体"/>
          <w:sz w:val="24"/>
          <w:szCs w:val="24"/>
        </w:rPr>
        <w:t>涉及运营管理协议范围外的项目支出金额进行专项审计工作：朝霞菜市场地下车库及综合体物业管理项目（2022年10月1日至2023年10月31日）、九龙菜市场与本地经营户发生的相关费用（2022年5月至2023年9月）。</w:t>
      </w:r>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val="0"/>
          <w:sz w:val="28"/>
          <w:szCs w:val="28"/>
          <w:lang w:eastAsia="zh-CN"/>
        </w:rPr>
      </w:pPr>
      <w:r>
        <w:rPr>
          <w:rFonts w:hint="eastAsia" w:ascii="Times New Roman" w:hAnsi="Times New Roman" w:eastAsia="宋体" w:cs="Times New Roman"/>
          <w:b/>
          <w:bCs w:val="0"/>
          <w:sz w:val="28"/>
          <w:szCs w:val="28"/>
          <w:lang w:val="en-US" w:eastAsia="zh-CN"/>
        </w:rPr>
        <w:t>四</w:t>
      </w:r>
      <w:r>
        <w:rPr>
          <w:rFonts w:hint="eastAsia" w:ascii="Times New Roman" w:hAnsi="Times New Roman" w:eastAsia="宋体" w:cs="Times New Roman"/>
          <w:b/>
          <w:bCs w:val="0"/>
          <w:sz w:val="28"/>
          <w:szCs w:val="28"/>
          <w:lang w:eastAsia="zh-CN"/>
        </w:rPr>
        <w:t>、其他要求：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1、报告应坚持独立、真实、科学、客观、公正的原则；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2、报告须负责核实并提供准确完整的相关资料和数据；</w:t>
      </w:r>
    </w:p>
    <w:p>
      <w:pPr>
        <w:spacing w:line="360" w:lineRule="auto"/>
        <w:ind w:firstLine="480" w:firstLineChars="200"/>
        <w:rPr>
          <w:rFonts w:hint="eastAsia" w:ascii="宋体" w:hAnsi="宋体" w:eastAsia="宋体" w:cs="宋体"/>
          <w:b/>
          <w:kern w:val="0"/>
          <w:sz w:val="28"/>
          <w:szCs w:val="28"/>
          <w:highlight w:val="none"/>
          <w:lang w:val="en-US" w:eastAsia="zh-CN"/>
        </w:rPr>
      </w:pPr>
      <w:r>
        <w:rPr>
          <w:rFonts w:hint="eastAsia" w:ascii="宋体" w:hAnsi="宋体" w:eastAsia="宋体" w:cs="宋体"/>
          <w:sz w:val="24"/>
          <w:szCs w:val="24"/>
        </w:rPr>
        <w:t>3、经验收报告内容和深度不符合要求的，应限期补充完善。</w:t>
      </w:r>
    </w:p>
    <w:p>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五、报价要求</w:t>
      </w:r>
    </w:p>
    <w:p>
      <w:pPr>
        <w:pStyle w:val="18"/>
        <w:spacing w:line="360" w:lineRule="auto"/>
        <w:rPr>
          <w:rFonts w:hint="default" w:ascii="宋体" w:hAnsi="宋体" w:eastAsia="宋体" w:cs="Times New Roman"/>
          <w:b w:val="0"/>
          <w:bCs w:val="0"/>
          <w:kern w:val="2"/>
          <w:sz w:val="24"/>
          <w:szCs w:val="24"/>
          <w:lang w:val="en-US" w:eastAsia="zh-CN" w:bidi="ar-SA"/>
        </w:rPr>
      </w:pPr>
      <w:r>
        <w:rPr>
          <w:rFonts w:hint="eastAsia" w:ascii="宋体" w:hAnsi="宋体" w:eastAsia="宋体"/>
          <w:b w:val="0"/>
          <w:bCs w:val="0"/>
          <w:kern w:val="0"/>
          <w:sz w:val="24"/>
          <w:szCs w:val="24"/>
          <w:lang w:val="en-US" w:eastAsia="zh-CN"/>
        </w:rPr>
        <w:t>1.</w:t>
      </w:r>
      <w:r>
        <w:rPr>
          <w:rFonts w:hint="eastAsia" w:ascii="宋体" w:hAnsi="宋体" w:eastAsia="宋体"/>
          <w:b w:val="0"/>
          <w:bCs w:val="0"/>
          <w:kern w:val="0"/>
          <w:sz w:val="24"/>
          <w:szCs w:val="24"/>
          <w:lang w:eastAsia="zh-CN"/>
        </w:rPr>
        <w:t>本项目预算为</w:t>
      </w:r>
      <w:r>
        <w:rPr>
          <w:rFonts w:hint="eastAsia" w:ascii="宋体" w:hAnsi="宋体" w:eastAsia="宋体"/>
          <w:b w:val="0"/>
          <w:bCs w:val="0"/>
          <w:kern w:val="0"/>
          <w:sz w:val="24"/>
          <w:szCs w:val="24"/>
          <w:lang w:val="en-US" w:eastAsia="zh-CN"/>
        </w:rPr>
        <w:t>20000</w:t>
      </w:r>
      <w:r>
        <w:rPr>
          <w:rFonts w:hint="eastAsia" w:ascii="宋体" w:hAnsi="宋体" w:eastAsia="宋体"/>
          <w:b w:val="0"/>
          <w:bCs w:val="0"/>
          <w:kern w:val="0"/>
          <w:sz w:val="24"/>
          <w:szCs w:val="24"/>
        </w:rPr>
        <w:t>元</w:t>
      </w:r>
      <w:r>
        <w:rPr>
          <w:rFonts w:hint="eastAsia" w:ascii="宋体" w:hAnsi="宋体" w:eastAsia="宋体"/>
          <w:b w:val="0"/>
          <w:bCs w:val="0"/>
          <w:kern w:val="0"/>
          <w:sz w:val="24"/>
          <w:szCs w:val="24"/>
          <w:lang w:eastAsia="zh-CN"/>
        </w:rPr>
        <w:t>，投标人须报出总价和分项报价；分项报价不超过分项控制价，分项目报价之和为最终报价。</w:t>
      </w:r>
    </w:p>
    <w:p>
      <w:pPr>
        <w:spacing w:line="360" w:lineRule="auto"/>
        <w:ind w:firstLine="480" w:firstLineChars="200"/>
        <w:rPr>
          <w:rFonts w:ascii="宋体" w:hAnsi="宋体" w:eastAsia="宋体" w:cs="Arial"/>
          <w:kern w:val="0"/>
          <w:sz w:val="24"/>
          <w:szCs w:val="24"/>
        </w:rPr>
      </w:pPr>
      <w:r>
        <w:rPr>
          <w:rFonts w:hint="eastAsia" w:ascii="宋体" w:hAnsi="宋体" w:eastAsia="宋体" w:cs="Times New Roman"/>
          <w:kern w:val="2"/>
          <w:sz w:val="24"/>
          <w:szCs w:val="24"/>
          <w:lang w:val="en-US" w:eastAsia="zh-CN" w:bidi="ar-SA"/>
        </w:rPr>
        <w:t>2.投标人报价应建立在对项目服务范围、要求充分了解的基础上，成交后签</w:t>
      </w:r>
      <w:r>
        <w:rPr>
          <w:rFonts w:hint="eastAsia" w:ascii="宋体" w:hAnsi="宋体" w:eastAsia="宋体" w:cs="Arial"/>
          <w:kern w:val="0"/>
          <w:sz w:val="24"/>
          <w:szCs w:val="24"/>
        </w:rPr>
        <w:t>订合同及履约过程中，投标人不得以不完全了解现场情况等为由，提出任何形式的增加合同外费用或其他的要求。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投标人应考虑合同期内</w:t>
      </w:r>
      <w:r>
        <w:rPr>
          <w:rFonts w:hint="eastAsia" w:ascii="宋体" w:hAnsi="宋体" w:eastAsia="宋体" w:cs="Times New Roman"/>
          <w:sz w:val="24"/>
          <w:szCs w:val="24"/>
          <w:lang w:eastAsia="zh-CN"/>
        </w:rPr>
        <w:t>市场</w:t>
      </w:r>
      <w:r>
        <w:rPr>
          <w:rFonts w:hint="eastAsia" w:ascii="宋体" w:hAnsi="宋体" w:eastAsia="宋体" w:cs="Times New Roman"/>
          <w:sz w:val="24"/>
          <w:szCs w:val="24"/>
        </w:rPr>
        <w:t>风险</w:t>
      </w:r>
      <w:r>
        <w:rPr>
          <w:rFonts w:hint="eastAsia" w:ascii="宋体" w:hAnsi="宋体" w:eastAsia="宋体" w:cs="Times New Roman"/>
          <w:sz w:val="24"/>
          <w:szCs w:val="24"/>
          <w:lang w:eastAsia="zh-CN"/>
        </w:rPr>
        <w:t>，</w:t>
      </w:r>
      <w:r>
        <w:rPr>
          <w:rFonts w:hint="eastAsia" w:ascii="宋体" w:hAnsi="宋体" w:eastAsia="宋体" w:cs="Times New Roman"/>
          <w:sz w:val="24"/>
          <w:szCs w:val="24"/>
        </w:rPr>
        <w:t>履约期限内不得以</w:t>
      </w:r>
      <w:r>
        <w:rPr>
          <w:rFonts w:hint="eastAsia" w:ascii="宋体" w:hAnsi="宋体" w:eastAsia="宋体" w:cs="Times New Roman"/>
          <w:sz w:val="24"/>
          <w:szCs w:val="24"/>
          <w:lang w:eastAsia="zh-CN"/>
        </w:rPr>
        <w:t>任何</w:t>
      </w:r>
      <w:r>
        <w:rPr>
          <w:rFonts w:hint="eastAsia" w:ascii="宋体" w:hAnsi="宋体" w:eastAsia="宋体" w:cs="Times New Roman"/>
          <w:sz w:val="24"/>
          <w:szCs w:val="24"/>
        </w:rPr>
        <w:t>理由增加相关费用。</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：投标报价表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68"/>
        <w:gridCol w:w="2160"/>
        <w:gridCol w:w="114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序号</w:t>
            </w:r>
          </w:p>
        </w:tc>
        <w:tc>
          <w:tcPr>
            <w:tcW w:w="146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单</w:t>
            </w:r>
            <w:r>
              <w:rPr>
                <w:rFonts w:hint="eastAsia" w:ascii="宋体" w:hAnsi="宋体" w:eastAsia="宋体" w:cs="宋体"/>
                <w:b/>
                <w:kern w:val="0"/>
                <w:sz w:val="24"/>
                <w:szCs w:val="24"/>
                <w:vertAlign w:val="baseline"/>
                <w:lang w:val="en-US" w:eastAsia="zh-CN"/>
              </w:rPr>
              <w:t xml:space="preserve"> </w:t>
            </w:r>
            <w:r>
              <w:rPr>
                <w:rFonts w:hint="eastAsia" w:ascii="宋体" w:hAnsi="宋体" w:eastAsia="宋体" w:cs="宋体"/>
                <w:b/>
                <w:kern w:val="0"/>
                <w:sz w:val="24"/>
                <w:szCs w:val="24"/>
                <w:vertAlign w:val="baseline"/>
                <w:lang w:eastAsia="zh-CN"/>
              </w:rPr>
              <w:t>位</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eastAsia="zh-CN"/>
              </w:rPr>
              <w:t>审计控制价（元）</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分项报价（含税）（元）</w:t>
            </w:r>
          </w:p>
        </w:tc>
        <w:tc>
          <w:tcPr>
            <w:tcW w:w="292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1</w:t>
            </w:r>
          </w:p>
        </w:tc>
        <w:tc>
          <w:tcPr>
            <w:tcW w:w="146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r>
              <w:rPr>
                <w:rFonts w:hint="eastAsia" w:ascii="宋体" w:hAnsi="宋体" w:eastAsia="宋体" w:cs="宋体"/>
                <w:b w:val="0"/>
                <w:bCs w:val="0"/>
                <w:color w:val="auto"/>
                <w:kern w:val="0"/>
                <w:sz w:val="24"/>
                <w:szCs w:val="24"/>
                <w:highlight w:val="none"/>
                <w:lang w:val="en-US" w:eastAsia="zh-CN"/>
              </w:rPr>
              <w:t>A单位</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12000</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92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1"/>
                <w:szCs w:val="21"/>
                <w:vertAlign w:val="baseline"/>
                <w:lang w:val="en-US"/>
              </w:rPr>
            </w:pPr>
            <w:r>
              <w:rPr>
                <w:rFonts w:hint="eastAsia"/>
                <w:lang w:eastAsia="zh-CN"/>
              </w:rPr>
              <w:t>锦绣、方兴菜市场相关审计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2</w:t>
            </w:r>
          </w:p>
        </w:tc>
        <w:tc>
          <w:tcPr>
            <w:tcW w:w="146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r>
              <w:rPr>
                <w:rFonts w:hint="eastAsia" w:ascii="宋体" w:hAnsi="宋体" w:eastAsia="宋体" w:cs="宋体"/>
                <w:b w:val="0"/>
                <w:bCs w:val="0"/>
                <w:color w:val="auto"/>
                <w:kern w:val="0"/>
                <w:sz w:val="24"/>
                <w:szCs w:val="24"/>
                <w:highlight w:val="none"/>
                <w:lang w:val="en-US" w:eastAsia="zh-CN"/>
              </w:rPr>
              <w:t>B单位</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8000</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92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1"/>
                <w:szCs w:val="21"/>
                <w:vertAlign w:val="baseline"/>
              </w:rPr>
            </w:pPr>
            <w:r>
              <w:rPr>
                <w:rFonts w:hint="eastAsia" w:ascii="Times New Roman" w:hAnsi="Times New Roman" w:eastAsia="宋体" w:cs="Times New Roman"/>
                <w:lang w:val="en-US" w:eastAsia="zh-CN"/>
              </w:rPr>
              <w:t>朝霞、九龙</w:t>
            </w:r>
            <w:r>
              <w:rPr>
                <w:rFonts w:hint="eastAsia" w:ascii="Times New Roman" w:hAnsi="Times New Roman" w:eastAsia="宋体" w:cs="Times New Roman"/>
                <w:lang w:eastAsia="zh-CN"/>
              </w:rPr>
              <w:t>菜市场</w:t>
            </w:r>
            <w:r>
              <w:rPr>
                <w:rFonts w:hint="eastAsia" w:ascii="Times New Roman" w:hAnsi="Times New Roman" w:eastAsia="宋体" w:cs="Times New Roman"/>
                <w:lang w:val="en-US" w:eastAsia="zh-CN"/>
              </w:rPr>
              <w:t>相关审计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9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合计</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kern w:val="0"/>
                <w:sz w:val="24"/>
                <w:szCs w:val="24"/>
                <w:vertAlign w:val="baseline"/>
                <w:lang w:val="en-US" w:eastAsia="zh-CN"/>
              </w:rPr>
            </w:pPr>
            <w:r>
              <w:rPr>
                <w:rFonts w:hint="eastAsia" w:ascii="宋体" w:hAnsi="宋体" w:eastAsia="宋体" w:cs="宋体"/>
                <w:b/>
                <w:kern w:val="0"/>
                <w:sz w:val="24"/>
                <w:szCs w:val="24"/>
                <w:vertAlign w:val="baseline"/>
                <w:lang w:val="en-US" w:eastAsia="zh-CN"/>
              </w:rPr>
              <w:t>20000</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c>
          <w:tcPr>
            <w:tcW w:w="292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9" w:type="dxa"/>
            <w:gridSpan w:val="5"/>
            <w:noWrap w:val="0"/>
            <w:vAlign w:val="center"/>
          </w:tcPr>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说明：</w:t>
            </w:r>
          </w:p>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投标人须对</w:t>
            </w:r>
            <w:r>
              <w:rPr>
                <w:rFonts w:hint="eastAsia" w:ascii="宋体" w:hAnsi="宋体" w:eastAsia="宋体" w:cs="Times New Roman"/>
                <w:sz w:val="24"/>
                <w:szCs w:val="24"/>
                <w:lang w:eastAsia="zh-CN"/>
              </w:rPr>
              <w:t>两家单位的审计服务费分别报价</w:t>
            </w:r>
            <w:r>
              <w:rPr>
                <w:rFonts w:hint="eastAsia" w:ascii="宋体" w:hAnsi="宋体" w:eastAsia="宋体" w:cs="Times New Roman"/>
                <w:sz w:val="24"/>
                <w:szCs w:val="24"/>
              </w:rPr>
              <w:t>（包含中标人为完成本项目所发生的一切费用）</w:t>
            </w:r>
            <w:r>
              <w:rPr>
                <w:rFonts w:hint="eastAsia" w:ascii="宋体" w:hAnsi="宋体" w:eastAsia="宋体" w:cs="Times New Roman"/>
                <w:sz w:val="24"/>
                <w:szCs w:val="24"/>
                <w:lang w:eastAsia="zh-CN"/>
              </w:rPr>
              <w:t>。</w:t>
            </w:r>
          </w:p>
          <w:p>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Times New Roman"/>
                <w:b/>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分项报价</w:t>
            </w:r>
            <w:r>
              <w:rPr>
                <w:rFonts w:hint="eastAsia" w:ascii="宋体" w:hAnsi="宋体" w:eastAsia="宋体" w:cs="Times New Roman"/>
                <w:sz w:val="24"/>
                <w:szCs w:val="24"/>
              </w:rPr>
              <w:t>为</w:t>
            </w:r>
            <w:r>
              <w:rPr>
                <w:rFonts w:hint="eastAsia" w:ascii="宋体" w:hAnsi="宋体" w:eastAsia="宋体" w:cs="Times New Roman"/>
                <w:sz w:val="24"/>
                <w:szCs w:val="24"/>
                <w:lang w:eastAsia="zh-CN"/>
              </w:rPr>
              <w:t>服务费</w:t>
            </w:r>
            <w:r>
              <w:rPr>
                <w:rFonts w:hint="eastAsia" w:ascii="宋体" w:hAnsi="宋体" w:eastAsia="宋体" w:cs="Times New Roman"/>
                <w:sz w:val="24"/>
                <w:szCs w:val="24"/>
              </w:rPr>
              <w:t>结算依据</w:t>
            </w:r>
            <w:r>
              <w:rPr>
                <w:rFonts w:hint="eastAsia" w:ascii="宋体" w:hAnsi="宋体" w:eastAsia="宋体" w:cs="Times New Roman"/>
                <w:sz w:val="24"/>
                <w:szCs w:val="24"/>
                <w:lang w:eastAsia="zh-CN"/>
              </w:rPr>
              <w:t>。分项报价</w:t>
            </w:r>
            <w:r>
              <w:rPr>
                <w:rFonts w:hint="eastAsia" w:ascii="宋体" w:hAnsi="宋体" w:eastAsia="宋体" w:cs="Times New Roman"/>
                <w:b w:val="0"/>
                <w:bCs/>
                <w:sz w:val="24"/>
                <w:szCs w:val="24"/>
              </w:rPr>
              <w:t>不得超过对应</w:t>
            </w:r>
            <w:r>
              <w:rPr>
                <w:rFonts w:hint="eastAsia" w:ascii="宋体" w:hAnsi="宋体" w:eastAsia="宋体" w:cs="Times New Roman"/>
                <w:b w:val="0"/>
                <w:bCs/>
                <w:sz w:val="24"/>
                <w:szCs w:val="24"/>
                <w:lang w:eastAsia="zh-CN"/>
              </w:rPr>
              <w:t>控制价</w:t>
            </w:r>
            <w:r>
              <w:rPr>
                <w:rFonts w:hint="eastAsia" w:ascii="宋体" w:hAnsi="宋体" w:eastAsia="宋体" w:cs="Times New Roman"/>
                <w:b w:val="0"/>
                <w:bCs/>
                <w:sz w:val="24"/>
                <w:szCs w:val="24"/>
              </w:rPr>
              <w:t>，否则投标无效。</w:t>
            </w:r>
          </w:p>
          <w:p>
            <w:pPr>
              <w:keepNext w:val="0"/>
              <w:keepLines w:val="0"/>
              <w:suppressLineNumbers w:val="0"/>
              <w:spacing w:before="0" w:beforeAutospacing="0" w:after="0" w:afterAutospacing="0" w:line="360" w:lineRule="auto"/>
              <w:ind w:left="0" w:right="0"/>
              <w:jc w:val="both"/>
              <w:rPr>
                <w:rFonts w:hint="eastAsia" w:ascii="宋体" w:hAnsi="宋体" w:eastAsia="宋体" w:cs="宋体"/>
                <w:b/>
                <w:kern w:val="0"/>
                <w:sz w:val="24"/>
                <w:szCs w:val="24"/>
                <w:vertAlign w:val="baseline"/>
              </w:rPr>
            </w:pPr>
            <w:r>
              <w:rPr>
                <w:rFonts w:hint="eastAsia" w:ascii="宋体" w:hAnsi="宋体" w:eastAsia="宋体" w:cs="宋体"/>
                <w:bCs/>
                <w:kern w:val="0"/>
                <w:sz w:val="24"/>
                <w:szCs w:val="24"/>
                <w:lang w:val="en-US" w:eastAsia="zh-CN" w:bidi="ar"/>
              </w:rPr>
              <w:t>3.</w:t>
            </w:r>
            <w:r>
              <w:rPr>
                <w:rFonts w:hint="eastAsia" w:ascii="宋体" w:hAnsi="宋体" w:eastAsia="宋体" w:cs="宋体"/>
                <w:bCs/>
                <w:kern w:val="0"/>
                <w:sz w:val="24"/>
                <w:szCs w:val="24"/>
                <w:lang w:bidi="ar"/>
              </w:rPr>
              <w:t>本表中</w:t>
            </w:r>
            <w:r>
              <w:rPr>
                <w:rFonts w:hint="eastAsia" w:ascii="宋体" w:hAnsi="宋体" w:eastAsia="宋体" w:cs="宋体"/>
                <w:bCs/>
                <w:kern w:val="0"/>
                <w:sz w:val="24"/>
                <w:szCs w:val="24"/>
                <w:lang w:eastAsia="zh-CN" w:bidi="ar"/>
              </w:rPr>
              <w:t>分项报价</w:t>
            </w:r>
            <w:r>
              <w:rPr>
                <w:rFonts w:hint="eastAsia" w:ascii="宋体" w:hAnsi="宋体" w:eastAsia="宋体" w:cs="宋体"/>
                <w:bCs/>
                <w:kern w:val="0"/>
                <w:sz w:val="24"/>
                <w:szCs w:val="24"/>
                <w:lang w:bidi="ar"/>
              </w:rPr>
              <w:t>合计金额</w:t>
            </w:r>
            <w:r>
              <w:rPr>
                <w:rFonts w:hint="eastAsia" w:ascii="宋体" w:hAnsi="宋体" w:eastAsia="宋体" w:cs="仿宋_GB2312"/>
                <w:kern w:val="0"/>
                <w:sz w:val="24"/>
                <w:szCs w:val="24"/>
                <w:lang w:bidi="ar"/>
              </w:rPr>
              <w:t>即为投标人报出的本项目</w:t>
            </w:r>
            <w:r>
              <w:rPr>
                <w:rFonts w:hint="eastAsia" w:ascii="宋体" w:hAnsi="宋体" w:eastAsia="宋体" w:cs="仿宋_GB2312"/>
                <w:kern w:val="0"/>
                <w:sz w:val="24"/>
                <w:szCs w:val="24"/>
                <w:lang w:eastAsia="zh-CN" w:bidi="ar"/>
              </w:rPr>
              <w:t>服务费</w:t>
            </w:r>
            <w:r>
              <w:rPr>
                <w:rFonts w:hint="eastAsia" w:ascii="宋体" w:hAnsi="宋体" w:eastAsia="宋体" w:cs="宋体"/>
                <w:sz w:val="24"/>
                <w:szCs w:val="24"/>
              </w:rPr>
              <w:t>总价。</w:t>
            </w:r>
          </w:p>
        </w:tc>
      </w:tr>
      <w:bookmarkEnd w:id="9"/>
      <w:bookmarkEnd w:id="10"/>
    </w:tbl>
    <w:p>
      <w:pPr>
        <w:widowControl/>
        <w:jc w:val="left"/>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六：付款方式</w:t>
      </w:r>
    </w:p>
    <w:p>
      <w:pPr>
        <w:widowControl/>
        <w:jc w:val="left"/>
        <w:rPr>
          <w:rFonts w:hint="default" w:ascii="Times New Roman" w:hAnsi="Times New Roman" w:eastAsia="宋体" w:cs="Times New Roman"/>
          <w:b/>
          <w:color w:val="auto"/>
          <w:sz w:val="44"/>
          <w:szCs w:val="44"/>
          <w:highlight w:val="none"/>
          <w:lang w:val="en-US" w:eastAsia="zh-CN"/>
        </w:rPr>
      </w:pPr>
      <w:r>
        <w:rPr>
          <w:rFonts w:hint="eastAsia" w:ascii="宋体" w:hAnsi="宋体" w:eastAsia="宋体" w:cs="Times New Roman"/>
          <w:sz w:val="24"/>
          <w:szCs w:val="24"/>
          <w:highlight w:val="none"/>
          <w:lang w:val="en-US" w:eastAsia="zh-CN"/>
        </w:rPr>
        <w:t>本项目被审计单位两个，据实结算。中标单位分别提交符合要求的审计报告，开具增值税专用发票后20个工作日内付款。</w:t>
      </w:r>
      <w:bookmarkStart w:id="11" w:name="_GoBack"/>
      <w:bookmarkEnd w:id="1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77D6FFB"/>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65F5108"/>
    <w:rsid w:val="36F271E0"/>
    <w:rsid w:val="38451629"/>
    <w:rsid w:val="39202096"/>
    <w:rsid w:val="3956631D"/>
    <w:rsid w:val="39A323C9"/>
    <w:rsid w:val="3C446F5E"/>
    <w:rsid w:val="3D995F73"/>
    <w:rsid w:val="3DD40ACC"/>
    <w:rsid w:val="3E7A3FF6"/>
    <w:rsid w:val="3F665932"/>
    <w:rsid w:val="3F7C42B6"/>
    <w:rsid w:val="40821E95"/>
    <w:rsid w:val="42331D89"/>
    <w:rsid w:val="425C413F"/>
    <w:rsid w:val="42654155"/>
    <w:rsid w:val="427A6373"/>
    <w:rsid w:val="475C491A"/>
    <w:rsid w:val="49521D16"/>
    <w:rsid w:val="4A180A44"/>
    <w:rsid w:val="4A630034"/>
    <w:rsid w:val="4AA246B9"/>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7"/>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28"/>
    <w:autoRedefine/>
    <w:semiHidden/>
    <w:unhideWhenUsed/>
    <w:qFormat/>
    <w:uiPriority w:val="99"/>
    <w:rPr>
      <w:b/>
      <w:bCs/>
    </w:rPr>
  </w:style>
  <w:style w:type="paragraph" w:styleId="18">
    <w:name w:val="Body Text First Indent 2"/>
    <w:basedOn w:val="7"/>
    <w:next w:val="1"/>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1"/>
    <w:link w:val="12"/>
    <w:autoRedefine/>
    <w:qFormat/>
    <w:uiPriority w:val="99"/>
    <w:rPr>
      <w:sz w:val="18"/>
      <w:szCs w:val="18"/>
    </w:rPr>
  </w:style>
  <w:style w:type="character" w:customStyle="1" w:styleId="25">
    <w:name w:val="页脚 Char"/>
    <w:basedOn w:val="21"/>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1"/>
    <w:link w:val="5"/>
    <w:autoRedefine/>
    <w:semiHidden/>
    <w:qFormat/>
    <w:uiPriority w:val="99"/>
  </w:style>
  <w:style w:type="character" w:customStyle="1" w:styleId="28">
    <w:name w:val="批注主题 Char"/>
    <w:basedOn w:val="27"/>
    <w:link w:val="17"/>
    <w:autoRedefine/>
    <w:semiHidden/>
    <w:qFormat/>
    <w:uiPriority w:val="99"/>
    <w:rPr>
      <w:b/>
      <w:bCs/>
    </w:rPr>
  </w:style>
  <w:style w:type="character" w:customStyle="1" w:styleId="29">
    <w:name w:val="批注框文本 Char"/>
    <w:basedOn w:val="21"/>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1"/>
    <w:autoRedefine/>
    <w:qFormat/>
    <w:uiPriority w:val="0"/>
    <w:rPr>
      <w:rFonts w:hint="eastAsia" w:ascii="宋体" w:hAnsi="宋体" w:eastAsia="宋体" w:cs="宋体"/>
      <w:b/>
      <w:bCs/>
      <w:color w:val="000000"/>
      <w:sz w:val="40"/>
      <w:szCs w:val="40"/>
      <w:u w:val="none"/>
    </w:rPr>
  </w:style>
  <w:style w:type="character" w:customStyle="1" w:styleId="35">
    <w:name w:val="font71"/>
    <w:basedOn w:val="21"/>
    <w:autoRedefine/>
    <w:qFormat/>
    <w:uiPriority w:val="0"/>
    <w:rPr>
      <w:rFonts w:hint="eastAsia" w:ascii="宋体" w:hAnsi="宋体" w:eastAsia="宋体" w:cs="宋体"/>
      <w:b/>
      <w:bCs/>
      <w:color w:val="000000"/>
      <w:sz w:val="40"/>
      <w:szCs w:val="40"/>
      <w:u w:val="single"/>
    </w:rPr>
  </w:style>
  <w:style w:type="character" w:customStyle="1" w:styleId="36">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1"/>
    <w:autoRedefine/>
    <w:qFormat/>
    <w:uiPriority w:val="0"/>
    <w:rPr>
      <w:rFonts w:hint="eastAsia" w:ascii="宋体" w:hAnsi="宋体" w:eastAsia="宋体" w:cs="宋体"/>
      <w:color w:val="000000"/>
      <w:sz w:val="40"/>
      <w:szCs w:val="40"/>
      <w:u w:val="single"/>
    </w:rPr>
  </w:style>
  <w:style w:type="character" w:customStyle="1" w:styleId="38">
    <w:name w:val="font141"/>
    <w:basedOn w:val="21"/>
    <w:autoRedefine/>
    <w:qFormat/>
    <w:uiPriority w:val="0"/>
    <w:rPr>
      <w:rFonts w:hint="eastAsia" w:ascii="宋体" w:hAnsi="宋体" w:eastAsia="宋体" w:cs="宋体"/>
      <w:color w:val="000000"/>
      <w:sz w:val="20"/>
      <w:szCs w:val="20"/>
      <w:u w:val="single"/>
    </w:rPr>
  </w:style>
  <w:style w:type="character" w:customStyle="1" w:styleId="39">
    <w:name w:val="font151"/>
    <w:basedOn w:val="21"/>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1">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2">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2025-07-23T01:44:55Z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