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6631"/>
      <w:bookmarkStart w:id="2" w:name="_Toc461053086"/>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ind w:firstLine="826" w:firstLineChars="392"/>
              <w:rPr>
                <w:rFonts w:hint="default" w:hAnsi="宋体"/>
                <w:b/>
                <w:color w:val="000000"/>
                <w:highlight w:val="yellow"/>
                <w:u w:val="single"/>
                <w:lang w:val="en-US" w:eastAsia="zh-CN"/>
              </w:rPr>
            </w:pPr>
            <w:r>
              <w:rPr>
                <w:rFonts w:hint="eastAsia" w:hAnsi="宋体"/>
                <w:b/>
                <w:color w:val="000000"/>
                <w:highlight w:val="yellow"/>
                <w:u w:val="single"/>
                <w:lang w:val="en-US" w:eastAsia="zh-CN"/>
              </w:rPr>
              <w:t>费率          %</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564E1217">
            <w:pPr>
              <w:spacing w:line="360" w:lineRule="auto"/>
              <w:rPr>
                <w:rFonts w:hint="default" w:hAnsi="宋体"/>
                <w:b/>
                <w:color w:val="000000"/>
                <w:lang w:val="en-US" w:eastAsia="zh-CN"/>
              </w:rPr>
            </w:pPr>
            <w:r>
              <w:rPr>
                <w:rFonts w:hint="default" w:hAnsi="宋体"/>
                <w:b/>
                <w:color w:val="000000"/>
                <w:lang w:val="en-US" w:eastAsia="zh-CN"/>
              </w:rPr>
              <w:t xml:space="preserve">本项目采用费率报价，监理费率保留至小数点后两位，如 0.917%，以 0.91%计。本项目投标费率上限 </w:t>
            </w:r>
            <w:r>
              <w:rPr>
                <w:rFonts w:hint="eastAsia" w:hAnsi="宋体"/>
                <w:b/>
                <w:color w:val="000000"/>
                <w:lang w:val="en-US" w:eastAsia="zh-CN"/>
              </w:rPr>
              <w:t>1.40</w:t>
            </w:r>
            <w:r>
              <w:rPr>
                <w:rFonts w:hint="default" w:hAnsi="宋体"/>
                <w:b/>
                <w:color w:val="000000"/>
                <w:lang w:val="en-US" w:eastAsia="zh-CN"/>
              </w:rPr>
              <w:t>%，如投标费率超过上限将导致投标无效。最终监理费用结算根据工程结算审定价格作为基数，乘以监理中标费率进行计算。即：最终监理服务费=监理中标费率*工程结算审定价格，且最终结算价不超过监理费概算价（</w:t>
            </w:r>
            <w:r>
              <w:rPr>
                <w:rFonts w:hint="eastAsia" w:hAnsi="宋体"/>
                <w:b/>
                <w:color w:val="000000"/>
                <w:lang w:val="en-US" w:eastAsia="zh-CN"/>
              </w:rPr>
              <w:t>8.96</w:t>
            </w:r>
            <w:r>
              <w:rPr>
                <w:rFonts w:hint="default" w:hAnsi="宋体"/>
                <w:b/>
                <w:color w:val="000000"/>
                <w:lang w:val="en-US" w:eastAsia="zh-CN"/>
              </w:rPr>
              <w:t>万元）。监理项目费率不再根据项目及工程量的增减或取消、工期的调整而变动。</w:t>
            </w:r>
          </w:p>
          <w:p w14:paraId="2DCF76E9">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19"/>
        <w:ind w:left="438" w:firstLine="600"/>
        <w:rPr>
          <w:rFonts w:hAnsi="宋体"/>
          <w:b/>
          <w:bCs/>
          <w:color w:val="000000"/>
          <w:szCs w:val="28"/>
        </w:rPr>
      </w:pPr>
    </w:p>
    <w:p w14:paraId="71CF0248">
      <w:pPr>
        <w:pStyle w:val="19"/>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9"/>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7349"/>
      </w:tblGrid>
      <w:tr w14:paraId="58D5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18" w:type="pct"/>
            <w:noWrap w:val="0"/>
            <w:vAlign w:val="center"/>
          </w:tcPr>
          <w:p w14:paraId="3E35B496">
            <w:pPr>
              <w:ind w:firstLine="482" w:firstLineChars="200"/>
              <w:rPr>
                <w:rFonts w:hint="eastAsia" w:ascii="宋体" w:hAnsi="宋体"/>
                <w:b/>
                <w:sz w:val="24"/>
              </w:rPr>
            </w:pPr>
            <w:r>
              <w:rPr>
                <w:rFonts w:hint="eastAsia" w:ascii="宋体" w:hAnsi="宋体"/>
                <w:b/>
                <w:sz w:val="24"/>
              </w:rPr>
              <w:t>项目名称</w:t>
            </w:r>
          </w:p>
        </w:tc>
        <w:tc>
          <w:tcPr>
            <w:tcW w:w="3981" w:type="pct"/>
            <w:noWrap w:val="0"/>
            <w:vAlign w:val="center"/>
          </w:tcPr>
          <w:p w14:paraId="1F6612A6">
            <w:pPr>
              <w:rPr>
                <w:rFonts w:hint="eastAsia" w:ascii="宋体" w:hAnsi="宋体" w:eastAsia="宋体" w:cs="Times New Roman"/>
                <w:b/>
                <w:bCs w:val="0"/>
                <w:kern w:val="2"/>
                <w:sz w:val="24"/>
                <w:szCs w:val="20"/>
                <w:lang w:val="en-US" w:eastAsia="zh-CN" w:bidi="ar-SA"/>
              </w:rPr>
            </w:pPr>
            <w:r>
              <w:rPr>
                <w:rFonts w:hint="eastAsia" w:ascii="宋体" w:hAnsi="宋体"/>
                <w:b/>
                <w:sz w:val="24"/>
                <w:lang w:val="en-US" w:eastAsia="zh-CN"/>
              </w:rPr>
              <w:t>集成电路（西区）基础设施配套生活区EPC项目监理</w:t>
            </w:r>
          </w:p>
        </w:tc>
      </w:tr>
      <w:tr w14:paraId="207F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18" w:type="pct"/>
            <w:noWrap w:val="0"/>
            <w:vAlign w:val="center"/>
          </w:tcPr>
          <w:p w14:paraId="3995490B">
            <w:pPr>
              <w:jc w:val="center"/>
              <w:rPr>
                <w:rFonts w:hint="eastAsia" w:ascii="宋体" w:hAnsi="宋体"/>
                <w:b/>
                <w:sz w:val="24"/>
              </w:rPr>
            </w:pPr>
            <w:bookmarkStart w:id="9" w:name="_GoBack"/>
            <w:bookmarkEnd w:id="9"/>
            <w:r>
              <w:rPr>
                <w:rFonts w:hint="eastAsia" w:ascii="宋体" w:hAnsi="宋体"/>
                <w:b/>
                <w:sz w:val="24"/>
              </w:rPr>
              <w:t>项目预算</w:t>
            </w:r>
          </w:p>
        </w:tc>
        <w:tc>
          <w:tcPr>
            <w:tcW w:w="3981" w:type="pct"/>
            <w:noWrap w:val="0"/>
            <w:vAlign w:val="center"/>
          </w:tcPr>
          <w:p w14:paraId="66861ABE">
            <w:pPr>
              <w:autoSpaceDE w:val="0"/>
              <w:autoSpaceDN w:val="0"/>
              <w:adjustRightInd w:val="0"/>
              <w:spacing w:line="360" w:lineRule="auto"/>
              <w:ind w:firstLine="241" w:firstLineChars="100"/>
              <w:jc w:val="left"/>
              <w:rPr>
                <w:rFonts w:hint="eastAsia" w:ascii="宋体" w:hAnsi="宋体"/>
                <w:b/>
                <w:sz w:val="24"/>
              </w:rPr>
            </w:pPr>
            <w:r>
              <w:rPr>
                <w:rFonts w:hint="eastAsia" w:ascii="宋体" w:hAnsi="宋体"/>
                <w:b/>
                <w:sz w:val="24"/>
                <w:highlight w:val="none"/>
                <w:lang w:val="en-US" w:eastAsia="zh-CN"/>
              </w:rPr>
              <w:t>8.96</w:t>
            </w:r>
            <w:r>
              <w:rPr>
                <w:rFonts w:hint="eastAsia" w:ascii="宋体" w:hAnsi="宋体"/>
                <w:b/>
                <w:sz w:val="24"/>
                <w:highlight w:val="none"/>
              </w:rPr>
              <w:t>万</w:t>
            </w:r>
          </w:p>
        </w:tc>
      </w:tr>
      <w:tr w14:paraId="5CA6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18" w:type="pct"/>
            <w:noWrap w:val="0"/>
            <w:vAlign w:val="center"/>
          </w:tcPr>
          <w:p w14:paraId="2109110F">
            <w:pPr>
              <w:jc w:val="center"/>
              <w:rPr>
                <w:rFonts w:hint="eastAsia" w:ascii="宋体" w:hAnsi="宋体"/>
                <w:b/>
                <w:sz w:val="24"/>
              </w:rPr>
            </w:pPr>
            <w:r>
              <w:rPr>
                <w:rFonts w:hint="eastAsia" w:ascii="宋体" w:hAnsi="宋体"/>
                <w:b/>
                <w:sz w:val="24"/>
              </w:rPr>
              <w:t>项目概况</w:t>
            </w:r>
          </w:p>
        </w:tc>
        <w:tc>
          <w:tcPr>
            <w:tcW w:w="3981" w:type="pct"/>
            <w:noWrap w:val="0"/>
            <w:vAlign w:val="center"/>
          </w:tcPr>
          <w:p w14:paraId="52D84F8C">
            <w:pPr>
              <w:numPr>
                <w:ilvl w:val="0"/>
                <w:numId w:val="1"/>
              </w:numPr>
              <w:rPr>
                <w:rFonts w:hint="eastAsia"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总用地面积约59764㎡，规划临时总建筑面积约10548平方米，主要建设百货区、餐饮区、停车场等。本招标项目主要工程包括土方工程、混凝土场地硬化、机动车碎石停车场以及放坡、室外给排水工程、室外电气工程、零星配套工程等工程</w:t>
            </w:r>
            <w:r>
              <w:rPr>
                <w:rFonts w:hint="eastAsia" w:cs="宋体"/>
                <w:i w:val="0"/>
                <w:iCs w:val="0"/>
                <w:color w:val="000000"/>
                <w:kern w:val="0"/>
                <w:sz w:val="24"/>
                <w:szCs w:val="24"/>
                <w:u w:val="none"/>
                <w:lang w:val="en-US" w:eastAsia="zh-CN" w:bidi="ar"/>
              </w:rPr>
              <w:t>，项目概算投资约640万元，工期为30日历天。</w:t>
            </w:r>
          </w:p>
          <w:p w14:paraId="7702C5FD">
            <w:pPr>
              <w:numPr>
                <w:ilvl w:val="0"/>
                <w:numId w:val="0"/>
              </w:numPr>
              <w:rPr>
                <w:rFonts w:hint="default" w:ascii="宋体" w:hAnsi="宋体" w:eastAsia="宋体"/>
                <w:b/>
                <w:color w:val="FF0000"/>
                <w:sz w:val="24"/>
                <w:lang w:val="en-US" w:eastAsia="zh-CN"/>
              </w:rPr>
            </w:pPr>
            <w:r>
              <w:rPr>
                <w:rFonts w:hint="eastAsia" w:cs="宋体"/>
                <w:i w:val="0"/>
                <w:iCs w:val="0"/>
                <w:color w:val="000000"/>
                <w:kern w:val="0"/>
                <w:sz w:val="24"/>
                <w:szCs w:val="24"/>
                <w:u w:val="none"/>
                <w:lang w:val="en-US" w:eastAsia="zh-CN" w:bidi="ar"/>
              </w:rPr>
              <w:t>2、本次为监理服务招标。本项目全过程工程监理服务（包括但不限于：项目的施工图设计、施工图纸范围内的施工等监理内容），包括项目实施阶段的质量、进度、费用控制管理和安全、合同、信息等方面协调管理服务。</w:t>
            </w:r>
          </w:p>
        </w:tc>
      </w:tr>
      <w:tr w14:paraId="08AD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pct"/>
            <w:vMerge w:val="restart"/>
            <w:noWrap w:val="0"/>
            <w:vAlign w:val="center"/>
          </w:tcPr>
          <w:p w14:paraId="0E50E5BC">
            <w:pPr>
              <w:jc w:val="center"/>
              <w:rPr>
                <w:rFonts w:hint="eastAsia" w:ascii="宋体" w:hAnsi="宋体"/>
                <w:b/>
                <w:sz w:val="24"/>
              </w:rPr>
            </w:pPr>
            <w:r>
              <w:rPr>
                <w:rFonts w:hint="eastAsia" w:ascii="宋体" w:hAnsi="宋体"/>
                <w:b/>
                <w:sz w:val="24"/>
              </w:rPr>
              <w:t>项目是否分包</w:t>
            </w:r>
          </w:p>
          <w:p w14:paraId="0FBA9DE0">
            <w:pPr>
              <w:jc w:val="center"/>
              <w:rPr>
                <w:rFonts w:hint="eastAsia" w:ascii="宋体" w:hAnsi="宋体"/>
                <w:b/>
                <w:sz w:val="24"/>
              </w:rPr>
            </w:pPr>
            <w:r>
              <w:rPr>
                <w:rFonts w:hint="eastAsia" w:ascii="宋体" w:hAnsi="宋体"/>
                <w:b/>
                <w:sz w:val="24"/>
              </w:rPr>
              <w:t>分包预算</w:t>
            </w:r>
          </w:p>
        </w:tc>
        <w:tc>
          <w:tcPr>
            <w:tcW w:w="3981" w:type="pct"/>
            <w:noWrap w:val="0"/>
            <w:vAlign w:val="center"/>
          </w:tcPr>
          <w:p w14:paraId="3CFFDF12">
            <w:pPr>
              <w:autoSpaceDE w:val="0"/>
              <w:autoSpaceDN w:val="0"/>
              <w:adjustRightInd w:val="0"/>
              <w:rPr>
                <w:rFonts w:hint="eastAsia" w:ascii="宋体" w:hAnsi="宋体"/>
                <w:b/>
                <w:sz w:val="24"/>
              </w:rPr>
            </w:pPr>
            <w:r>
              <w:rPr>
                <w:rFonts w:hint="eastAsia" w:ascii="宋体" w:hAnsi="宋体"/>
                <w:b/>
                <w:sz w:val="24"/>
              </w:rPr>
              <w:t xml:space="preserve">不分包 </w:t>
            </w:r>
            <w:r>
              <w:rPr>
                <w:rFonts w:hint="eastAsia" w:ascii="宋体" w:hAnsi="宋体"/>
                <w:sz w:val="24"/>
              </w:rPr>
              <w:t>分为</w:t>
            </w:r>
            <w:r>
              <w:rPr>
                <w:rFonts w:hint="eastAsia" w:ascii="宋体" w:hAnsi="宋体"/>
                <w:sz w:val="24"/>
                <w:u w:val="single"/>
              </w:rPr>
              <w:t xml:space="preserve">   </w:t>
            </w:r>
            <w:r>
              <w:rPr>
                <w:rFonts w:hint="eastAsia" w:ascii="宋体" w:hAnsi="宋体"/>
                <w:sz w:val="24"/>
              </w:rPr>
              <w:t>个包，第1包:分包名称，</w:t>
            </w:r>
            <w:r>
              <w:rPr>
                <w:rFonts w:hint="eastAsia" w:ascii="宋体" w:hAnsi="宋体"/>
                <w:sz w:val="24"/>
                <w:u w:val="single"/>
              </w:rPr>
              <w:t xml:space="preserve">   </w:t>
            </w:r>
            <w:r>
              <w:rPr>
                <w:rFonts w:hint="eastAsia" w:ascii="宋体" w:hAnsi="宋体"/>
                <w:sz w:val="24"/>
              </w:rPr>
              <w:t>万元，第2包:分包名称，</w:t>
            </w:r>
            <w:r>
              <w:rPr>
                <w:rFonts w:hint="eastAsia" w:ascii="宋体" w:hAnsi="宋体"/>
                <w:sz w:val="24"/>
                <w:u w:val="single"/>
              </w:rPr>
              <w:t xml:space="preserve">   </w:t>
            </w:r>
            <w:r>
              <w:rPr>
                <w:rFonts w:hint="eastAsia" w:ascii="宋体" w:hAnsi="宋体"/>
                <w:sz w:val="24"/>
              </w:rPr>
              <w:t>万元，第3包:分包名称，</w:t>
            </w:r>
            <w:r>
              <w:rPr>
                <w:rFonts w:hint="eastAsia" w:ascii="宋体" w:hAnsi="宋体"/>
                <w:sz w:val="24"/>
                <w:u w:val="single"/>
              </w:rPr>
              <w:t xml:space="preserve">   </w:t>
            </w:r>
            <w:r>
              <w:rPr>
                <w:rFonts w:hint="eastAsia" w:ascii="宋体" w:hAnsi="宋体"/>
                <w:sz w:val="24"/>
              </w:rPr>
              <w:t>万元…………</w:t>
            </w:r>
          </w:p>
        </w:tc>
      </w:tr>
      <w:tr w14:paraId="2C37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18" w:type="pct"/>
            <w:vMerge w:val="continue"/>
            <w:noWrap w:val="0"/>
            <w:vAlign w:val="center"/>
          </w:tcPr>
          <w:p w14:paraId="58344CE4">
            <w:pPr>
              <w:jc w:val="center"/>
              <w:rPr>
                <w:rFonts w:hint="eastAsia" w:ascii="宋体" w:hAnsi="宋体"/>
                <w:b/>
                <w:sz w:val="24"/>
              </w:rPr>
            </w:pPr>
          </w:p>
        </w:tc>
        <w:tc>
          <w:tcPr>
            <w:tcW w:w="3981" w:type="pct"/>
            <w:noWrap w:val="0"/>
            <w:vAlign w:val="center"/>
          </w:tcPr>
          <w:p w14:paraId="7398B8DF">
            <w:pPr>
              <w:autoSpaceDE w:val="0"/>
              <w:autoSpaceDN w:val="0"/>
              <w:adjustRightInd w:val="0"/>
              <w:rPr>
                <w:rFonts w:hint="eastAsia" w:ascii="宋体" w:hAnsi="宋体"/>
                <w:b/>
                <w:sz w:val="24"/>
              </w:rPr>
            </w:pPr>
            <w:r>
              <w:rPr>
                <w:rFonts w:hint="eastAsia" w:ascii="宋体" w:hAnsi="宋体"/>
                <w:b/>
                <w:sz w:val="24"/>
              </w:rPr>
              <w:t>否</w:t>
            </w:r>
          </w:p>
        </w:tc>
      </w:tr>
      <w:tr w14:paraId="00F9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1018" w:type="pct"/>
            <w:noWrap w:val="0"/>
            <w:vAlign w:val="center"/>
          </w:tcPr>
          <w:p w14:paraId="7C9944D6">
            <w:pPr>
              <w:jc w:val="center"/>
              <w:rPr>
                <w:rFonts w:hint="eastAsia" w:ascii="宋体" w:hAnsi="宋体"/>
                <w:b/>
                <w:sz w:val="24"/>
              </w:rPr>
            </w:pPr>
            <w:r>
              <w:rPr>
                <w:rFonts w:hint="eastAsia" w:ascii="宋体" w:hAnsi="宋体"/>
                <w:b/>
                <w:sz w:val="24"/>
              </w:rPr>
              <w:t>投标人</w:t>
            </w:r>
          </w:p>
          <w:p w14:paraId="762CFEF6">
            <w:pPr>
              <w:jc w:val="center"/>
              <w:rPr>
                <w:rFonts w:hint="eastAsia" w:ascii="宋体" w:hAnsi="宋体"/>
                <w:b/>
                <w:sz w:val="24"/>
              </w:rPr>
            </w:pPr>
            <w:r>
              <w:rPr>
                <w:rFonts w:hint="eastAsia" w:ascii="宋体" w:hAnsi="宋体"/>
                <w:b/>
                <w:sz w:val="24"/>
              </w:rPr>
              <w:t>资格要求</w:t>
            </w:r>
          </w:p>
        </w:tc>
        <w:tc>
          <w:tcPr>
            <w:tcW w:w="3981" w:type="pct"/>
            <w:noWrap w:val="0"/>
            <w:vAlign w:val="center"/>
          </w:tcPr>
          <w:p w14:paraId="045BB776">
            <w:pPr>
              <w:autoSpaceDE w:val="0"/>
              <w:autoSpaceDN w:val="0"/>
              <w:adjustRightInd w:val="0"/>
              <w:spacing w:line="360" w:lineRule="auto"/>
              <w:jc w:val="left"/>
              <w:rPr>
                <w:rFonts w:hint="eastAsia" w:ascii="宋体" w:hAnsi="宋体"/>
                <w:sz w:val="24"/>
                <w:szCs w:val="18"/>
              </w:rPr>
            </w:pPr>
            <w:r>
              <w:rPr>
                <w:rFonts w:hint="eastAsia" w:ascii="宋体" w:hAnsi="宋体"/>
                <w:sz w:val="24"/>
                <w:szCs w:val="18"/>
                <w:lang w:val="en-US" w:eastAsia="zh-CN"/>
              </w:rPr>
              <w:t>1</w:t>
            </w:r>
            <w:r>
              <w:rPr>
                <w:rFonts w:hint="eastAsia" w:ascii="宋体" w:hAnsi="宋体"/>
                <w:sz w:val="24"/>
                <w:szCs w:val="18"/>
              </w:rPr>
              <w:t>.本项目不接受联合体投标；</w:t>
            </w:r>
          </w:p>
          <w:p w14:paraId="1A63E507">
            <w:pPr>
              <w:keepNext w:val="0"/>
              <w:keepLines w:val="0"/>
              <w:widowControl/>
              <w:suppressLineNumbers w:val="0"/>
              <w:jc w:val="left"/>
              <w:rPr>
                <w:rFonts w:hint="eastAsia" w:ascii="宋体" w:hAnsi="宋体" w:cs="宋体"/>
                <w:i w:val="0"/>
                <w:iCs w:val="0"/>
                <w:color w:val="000000"/>
                <w:kern w:val="0"/>
                <w:sz w:val="24"/>
                <w:szCs w:val="24"/>
                <w:u w:val="none"/>
                <w:lang w:val="en-US" w:eastAsia="zh-CN" w:bidi="ar"/>
              </w:rPr>
            </w:pPr>
            <w:r>
              <w:rPr>
                <w:rFonts w:hint="eastAsia" w:ascii="宋体" w:hAnsi="宋体"/>
                <w:sz w:val="24"/>
                <w:szCs w:val="18"/>
                <w:lang w:val="en-US" w:eastAsia="zh-CN"/>
              </w:rPr>
              <w:t>2</w:t>
            </w:r>
            <w:r>
              <w:rPr>
                <w:rFonts w:hint="eastAsia" w:ascii="宋体" w:hAnsi="宋体"/>
                <w:sz w:val="24"/>
                <w:szCs w:val="18"/>
              </w:rPr>
              <w:t>.</w:t>
            </w:r>
            <w:r>
              <w:rPr>
                <w:rFonts w:hint="eastAsia" w:ascii="宋体" w:hAnsi="宋体"/>
                <w:sz w:val="24"/>
                <w:szCs w:val="18"/>
                <w:lang w:val="en-US" w:eastAsia="zh-CN"/>
              </w:rPr>
              <w:t>投标人资质要求：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cs="宋体"/>
                <w:i w:val="0"/>
                <w:iCs w:val="0"/>
                <w:color w:val="000000"/>
                <w:kern w:val="0"/>
                <w:sz w:val="24"/>
                <w:szCs w:val="24"/>
                <w:u w:val="none"/>
                <w:lang w:val="en-US" w:eastAsia="zh-CN" w:bidi="ar"/>
              </w:rPr>
              <w:t>具</w:t>
            </w:r>
            <w:r>
              <w:rPr>
                <w:rFonts w:hint="eastAsia" w:ascii="宋体" w:hAnsi="宋体" w:eastAsia="宋体" w:cs="宋体"/>
                <w:i w:val="0"/>
                <w:iCs w:val="0"/>
                <w:color w:val="000000"/>
                <w:kern w:val="0"/>
                <w:sz w:val="24"/>
                <w:szCs w:val="24"/>
                <w:u w:val="none"/>
                <w:lang w:val="en-US" w:eastAsia="zh-CN" w:bidi="ar"/>
              </w:rPr>
              <w:t>备有效的住建部门颁发的房屋建筑工程专业监理</w:t>
            </w:r>
            <w:r>
              <w:rPr>
                <w:rFonts w:hint="eastAsia" w:ascii="宋体" w:hAnsi="宋体" w:cs="宋体"/>
                <w:i w:val="0"/>
                <w:iCs w:val="0"/>
                <w:color w:val="000000"/>
                <w:kern w:val="0"/>
                <w:sz w:val="24"/>
                <w:szCs w:val="24"/>
                <w:u w:val="none"/>
                <w:lang w:val="en-US" w:eastAsia="zh-CN" w:bidi="ar"/>
              </w:rPr>
              <w:t>乙</w:t>
            </w:r>
            <w:r>
              <w:rPr>
                <w:rFonts w:hint="eastAsia" w:ascii="宋体" w:hAnsi="宋体" w:eastAsia="宋体" w:cs="宋体"/>
                <w:i w:val="0"/>
                <w:iCs w:val="0"/>
                <w:color w:val="000000"/>
                <w:kern w:val="0"/>
                <w:sz w:val="24"/>
                <w:szCs w:val="24"/>
                <w:u w:val="none"/>
                <w:lang w:val="en-US" w:eastAsia="zh-CN" w:bidi="ar"/>
              </w:rPr>
              <w:t>级及以上资质</w:t>
            </w:r>
            <w:r>
              <w:rPr>
                <w:rFonts w:hint="eastAsia" w:ascii="宋体" w:hAnsi="宋体" w:cs="宋体"/>
                <w:i w:val="0"/>
                <w:iCs w:val="0"/>
                <w:color w:val="000000"/>
                <w:kern w:val="0"/>
                <w:sz w:val="24"/>
                <w:szCs w:val="24"/>
                <w:u w:val="none"/>
                <w:lang w:val="en-US" w:eastAsia="zh-CN" w:bidi="ar"/>
              </w:rPr>
              <w:t>或工程监理综合资质；</w:t>
            </w:r>
          </w:p>
          <w:p w14:paraId="6C8FB1AF">
            <w:pPr>
              <w:keepNext w:val="0"/>
              <w:keepLines w:val="0"/>
              <w:widowControl/>
              <w:suppressLineNumbers w:val="0"/>
              <w:jc w:val="left"/>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3.投标人业绩要求：</w:t>
            </w:r>
          </w:p>
          <w:p w14:paraId="6EA69D9D">
            <w:pPr>
              <w:keepNext w:val="0"/>
              <w:keepLines w:val="0"/>
              <w:widowControl/>
              <w:suppressLineNumbers w:val="0"/>
              <w:jc w:val="left"/>
              <w:rPr>
                <w:rFonts w:hint="eastAsia" w:ascii="宋体" w:hAnsi="宋体"/>
                <w:b/>
                <w:szCs w:val="21"/>
              </w:rPr>
            </w:pPr>
            <w:r>
              <w:rPr>
                <w:rFonts w:hint="eastAsia" w:ascii="宋体" w:hAnsi="宋体" w:cs="宋体"/>
                <w:i w:val="0"/>
                <w:iCs w:val="0"/>
                <w:color w:val="000000"/>
                <w:kern w:val="0"/>
                <w:sz w:val="24"/>
                <w:szCs w:val="24"/>
                <w:u w:val="none"/>
                <w:lang w:val="en-US" w:eastAsia="zh-CN" w:bidi="ar"/>
              </w:rPr>
              <w:t>自2021年1月1日以来（以竣工时间为准），在中华人民共和国境内（不含港澳台）须具备单个合同监理费用金额不低于6万元的建筑工程项目施工监理业绩。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cs="宋体"/>
                <w:i w:val="0"/>
                <w:iCs w:val="0"/>
                <w:color w:val="000000"/>
                <w:kern w:val="0"/>
                <w:sz w:val="24"/>
                <w:szCs w:val="24"/>
                <w:u w:val="none"/>
                <w:lang w:val="en-US" w:eastAsia="zh-CN" w:bidi="ar"/>
              </w:rPr>
              <w:t>4.总监理工程师要求：具备房屋建筑工程专业国家注册监理工程师执业资格。</w:t>
            </w:r>
          </w:p>
        </w:tc>
      </w:tr>
      <w:tr w14:paraId="2A8D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18" w:type="pct"/>
            <w:noWrap w:val="0"/>
            <w:vAlign w:val="center"/>
          </w:tcPr>
          <w:p w14:paraId="301688E4">
            <w:pPr>
              <w:jc w:val="center"/>
              <w:rPr>
                <w:rFonts w:hint="eastAsia" w:ascii="宋体" w:hAnsi="宋体"/>
                <w:b/>
                <w:sz w:val="24"/>
              </w:rPr>
            </w:pPr>
            <w:r>
              <w:rPr>
                <w:rFonts w:hint="eastAsia" w:ascii="宋体" w:hAnsi="宋体"/>
                <w:b/>
                <w:sz w:val="24"/>
              </w:rPr>
              <w:t>付款方式及税</w:t>
            </w:r>
            <w:r>
              <w:rPr>
                <w:rFonts w:hint="eastAsia" w:ascii="宋体" w:hAnsi="宋体" w:eastAsia="宋体" w:cs="Times New Roman"/>
                <w:b/>
                <w:sz w:val="24"/>
              </w:rPr>
              <w:t>率</w:t>
            </w:r>
          </w:p>
        </w:tc>
        <w:tc>
          <w:tcPr>
            <w:tcW w:w="3981" w:type="pct"/>
            <w:noWrap w:val="0"/>
            <w:vAlign w:val="center"/>
          </w:tcPr>
          <w:p w14:paraId="15FA19EA">
            <w:pPr>
              <w:numPr>
                <w:ilvl w:val="0"/>
                <w:numId w:val="0"/>
              </w:numPr>
              <w:rPr>
                <w:rFonts w:hint="eastAsia"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1.每个月支付当期施工单位完成合格工程量金额*监理服务中标费率*80%。</w:t>
            </w:r>
          </w:p>
          <w:p w14:paraId="3CD0BB07">
            <w:pPr>
              <w:numPr>
                <w:ilvl w:val="0"/>
                <w:numId w:val="0"/>
              </w:numPr>
              <w:rPr>
                <w:rFonts w:hint="eastAsia"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2.完成竣工验收（含各专业、专项验收）及备案后，支付至施工单位完成合格工程量金额*监理服务中标费率*85%；</w:t>
            </w:r>
          </w:p>
          <w:p w14:paraId="031E73A1">
            <w:pPr>
              <w:numPr>
                <w:ilvl w:val="0"/>
                <w:numId w:val="0"/>
              </w:numPr>
              <w:rPr>
                <w:rFonts w:hint="eastAsia"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3.完成竣工验收（含各专业、专项验收）备案并工程价款结算审核完成后（扣除违约金，如有），支付至施工单位工程结算审核完成后价*监理服务中标费率* 97%，余款待工程缺陷责任期满经验收合格后付清。</w:t>
            </w:r>
          </w:p>
          <w:p w14:paraId="0EBDEFCB">
            <w:pPr>
              <w:numPr>
                <w:ilvl w:val="0"/>
                <w:numId w:val="0"/>
              </w:numPr>
              <w:rPr>
                <w:rFonts w:hint="default" w:ascii="宋体" w:hAnsi="宋体"/>
                <w:color w:val="FF0000"/>
                <w:sz w:val="24"/>
                <w:szCs w:val="18"/>
                <w:lang w:val="en-US"/>
              </w:rPr>
            </w:pPr>
            <w:r>
              <w:rPr>
                <w:rFonts w:hint="eastAsia" w:cs="宋体"/>
                <w:i w:val="0"/>
                <w:iCs w:val="0"/>
                <w:color w:val="000000"/>
                <w:kern w:val="0"/>
                <w:sz w:val="24"/>
                <w:szCs w:val="24"/>
                <w:u w:val="none"/>
                <w:lang w:val="en-US" w:eastAsia="zh-CN" w:bidi="ar"/>
              </w:rPr>
              <w:t>注：如中标人采用“银行保函或担保机构担保或保证保险等方式”提交等额余款，则在结算完成后应付至最终结算价款的100%。</w:t>
            </w:r>
          </w:p>
        </w:tc>
      </w:tr>
      <w:tr w14:paraId="6BAE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8" w:type="pct"/>
            <w:noWrap w:val="0"/>
            <w:vAlign w:val="center"/>
          </w:tcPr>
          <w:p w14:paraId="0CE5958A">
            <w:pPr>
              <w:jc w:val="center"/>
              <w:rPr>
                <w:rFonts w:hint="eastAsia" w:ascii="宋体" w:hAnsi="宋体"/>
                <w:b/>
                <w:sz w:val="24"/>
              </w:rPr>
            </w:pPr>
            <w:r>
              <w:rPr>
                <w:rFonts w:hint="eastAsia" w:ascii="宋体" w:hAnsi="宋体"/>
                <w:b/>
                <w:sz w:val="24"/>
              </w:rPr>
              <w:t>服务地点</w:t>
            </w:r>
          </w:p>
        </w:tc>
        <w:tc>
          <w:tcPr>
            <w:tcW w:w="3981" w:type="pct"/>
            <w:noWrap w:val="0"/>
            <w:vAlign w:val="center"/>
          </w:tcPr>
          <w:p w14:paraId="2745F9DD">
            <w:pPr>
              <w:autoSpaceDE w:val="0"/>
              <w:autoSpaceDN w:val="0"/>
              <w:adjustRightInd w:val="0"/>
              <w:spacing w:line="360" w:lineRule="auto"/>
              <w:jc w:val="left"/>
              <w:rPr>
                <w:rFonts w:hint="eastAsia" w:ascii="宋体" w:hAnsi="宋体" w:eastAsia="宋体"/>
                <w:color w:val="FF0000"/>
                <w:sz w:val="24"/>
                <w:szCs w:val="18"/>
                <w:lang w:eastAsia="zh-CN"/>
              </w:rPr>
            </w:pPr>
            <w:r>
              <w:rPr>
                <w:rFonts w:hint="eastAsia" w:ascii="宋体" w:hAnsi="宋体"/>
                <w:b/>
                <w:color w:val="000000" w:themeColor="text1"/>
                <w:sz w:val="24"/>
                <w:lang w:val="en-US" w:eastAsia="zh-CN"/>
                <w14:textFill>
                  <w14:solidFill>
                    <w14:schemeClr w14:val="tx1"/>
                  </w14:solidFill>
                </w14:textFill>
              </w:rPr>
              <w:t>经开区（北区）</w:t>
            </w:r>
          </w:p>
        </w:tc>
      </w:tr>
      <w:tr w14:paraId="2A9D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18" w:type="pct"/>
            <w:noWrap w:val="0"/>
            <w:vAlign w:val="center"/>
          </w:tcPr>
          <w:p w14:paraId="0BB5C196">
            <w:pPr>
              <w:jc w:val="center"/>
              <w:rPr>
                <w:rFonts w:hint="eastAsia" w:ascii="宋体" w:hAnsi="宋体"/>
                <w:b/>
                <w:sz w:val="24"/>
              </w:rPr>
            </w:pPr>
            <w:r>
              <w:rPr>
                <w:rFonts w:hint="eastAsia" w:ascii="宋体" w:hAnsi="宋体"/>
                <w:b/>
                <w:sz w:val="24"/>
              </w:rPr>
              <w:t>服务期限、工期</w:t>
            </w:r>
          </w:p>
        </w:tc>
        <w:tc>
          <w:tcPr>
            <w:tcW w:w="3981" w:type="pct"/>
            <w:noWrap w:val="0"/>
            <w:vAlign w:val="center"/>
          </w:tcPr>
          <w:p w14:paraId="433A862E">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color w:val="000000" w:themeColor="text1"/>
                <w:sz w:val="24"/>
                <w:szCs w:val="18"/>
                <w:lang w:val="en-US" w:eastAsia="zh-CN"/>
                <w14:textFill>
                  <w14:solidFill>
                    <w14:schemeClr w14:val="tx1"/>
                  </w14:solidFill>
                </w14:textFill>
              </w:rPr>
              <w:t>服务期限</w:t>
            </w:r>
            <w:r>
              <w:rPr>
                <w:rFonts w:hint="eastAsia" w:ascii="宋体" w:hAnsi="宋体"/>
                <w:color w:val="000000" w:themeColor="text1"/>
                <w:sz w:val="24"/>
                <w:szCs w:val="18"/>
                <w14:textFill>
                  <w14:solidFill>
                    <w14:schemeClr w14:val="tx1"/>
                  </w14:solidFill>
                </w14:textFill>
              </w:rPr>
              <w:t>：</w:t>
            </w:r>
            <w:r>
              <w:rPr>
                <w:rFonts w:hint="eastAsia" w:ascii="宋体" w:hAnsi="宋体"/>
                <w:color w:val="000000" w:themeColor="text1"/>
                <w:sz w:val="24"/>
                <w:szCs w:val="18"/>
                <w:lang w:val="en-US" w:eastAsia="zh-CN"/>
                <w14:textFill>
                  <w14:solidFill>
                    <w14:schemeClr w14:val="tx1"/>
                  </w14:solidFill>
                </w14:textFill>
              </w:rPr>
              <w:t>360日历天（以竣工验收时间为准）</w:t>
            </w:r>
          </w:p>
        </w:tc>
      </w:tr>
      <w:tr w14:paraId="4030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18" w:type="pct"/>
            <w:noWrap w:val="0"/>
            <w:vAlign w:val="center"/>
          </w:tcPr>
          <w:p w14:paraId="64E880E8">
            <w:pPr>
              <w:jc w:val="center"/>
              <w:rPr>
                <w:rFonts w:hint="default" w:ascii="宋体" w:hAnsi="宋体" w:eastAsia="宋体"/>
                <w:b/>
                <w:sz w:val="24"/>
                <w:lang w:val="en-US" w:eastAsia="zh-CN"/>
              </w:rPr>
            </w:pPr>
            <w:r>
              <w:rPr>
                <w:rFonts w:hint="eastAsia" w:ascii="宋体" w:hAnsi="宋体"/>
                <w:b/>
                <w:sz w:val="24"/>
                <w:lang w:val="en-US" w:eastAsia="zh-CN"/>
              </w:rPr>
              <w:t>履约保证金</w:t>
            </w:r>
          </w:p>
        </w:tc>
        <w:tc>
          <w:tcPr>
            <w:tcW w:w="3981" w:type="pct"/>
            <w:noWrap w:val="0"/>
            <w:vAlign w:val="center"/>
          </w:tcPr>
          <w:p w14:paraId="0FF5AD15">
            <w:pPr>
              <w:autoSpaceDE w:val="0"/>
              <w:autoSpaceDN w:val="0"/>
              <w:adjustRightInd w:val="0"/>
              <w:spacing w:line="360" w:lineRule="auto"/>
              <w:jc w:val="left"/>
              <w:rPr>
                <w:rFonts w:hint="default" w:ascii="宋体" w:hAnsi="宋体" w:eastAsia="宋体"/>
                <w:color w:val="FF0000"/>
                <w:sz w:val="24"/>
                <w:szCs w:val="18"/>
                <w:lang w:val="en-US" w:eastAsia="zh-CN"/>
              </w:rPr>
            </w:pPr>
            <w:r>
              <w:rPr>
                <w:rFonts w:hint="eastAsia" w:ascii="宋体" w:hAnsi="宋体" w:eastAsia="宋体"/>
                <w:color w:val="FF0000"/>
                <w:sz w:val="24"/>
                <w:szCs w:val="18"/>
                <w:lang w:val="en-US" w:eastAsia="zh-CN"/>
              </w:rPr>
              <w:t>/</w:t>
            </w:r>
          </w:p>
        </w:tc>
      </w:tr>
      <w:tr w14:paraId="436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18" w:type="pct"/>
            <w:noWrap w:val="0"/>
            <w:vAlign w:val="center"/>
          </w:tcPr>
          <w:p w14:paraId="73EDEA54">
            <w:pPr>
              <w:jc w:val="center"/>
              <w:rPr>
                <w:rFonts w:hint="eastAsia" w:ascii="宋体" w:hAnsi="宋体"/>
                <w:b/>
                <w:sz w:val="24"/>
              </w:rPr>
            </w:pPr>
            <w:r>
              <w:rPr>
                <w:rFonts w:hint="eastAsia" w:ascii="宋体" w:hAnsi="宋体"/>
                <w:b/>
                <w:sz w:val="24"/>
              </w:rPr>
              <w:t>拟采用的评标办法</w:t>
            </w:r>
          </w:p>
        </w:tc>
        <w:tc>
          <w:tcPr>
            <w:tcW w:w="3981" w:type="pct"/>
            <w:noWrap w:val="0"/>
            <w:vAlign w:val="center"/>
          </w:tcPr>
          <w:p w14:paraId="0D7CEBF4">
            <w:pPr>
              <w:autoSpaceDE w:val="0"/>
              <w:autoSpaceDN w:val="0"/>
              <w:adjustRightInd w:val="0"/>
              <w:jc w:val="center"/>
              <w:rPr>
                <w:rFonts w:hint="eastAsia" w:ascii="宋体" w:hAnsi="宋体"/>
                <w:b/>
                <w:sz w:val="24"/>
                <w:szCs w:val="18"/>
              </w:rPr>
            </w:pPr>
          </w:p>
          <w:p w14:paraId="52202AE4">
            <w:pPr>
              <w:autoSpaceDE w:val="0"/>
              <w:autoSpaceDN w:val="0"/>
              <w:adjustRightInd w:val="0"/>
              <w:jc w:val="center"/>
              <w:rPr>
                <w:rFonts w:hint="default" w:ascii="宋体" w:hAnsi="宋体" w:eastAsia="宋体"/>
                <w:szCs w:val="21"/>
                <w:lang w:val="en-US" w:eastAsia="zh-CN"/>
              </w:rPr>
            </w:pPr>
            <w:r>
              <w:rPr>
                <w:rFonts w:hint="eastAsia" w:ascii="宋体" w:hAnsi="宋体"/>
                <w:b/>
                <w:sz w:val="24"/>
                <w:szCs w:val="18"/>
                <w:lang w:val="en-US" w:eastAsia="zh-CN"/>
              </w:rPr>
              <w:t>平均值评标法</w:t>
            </w:r>
          </w:p>
        </w:tc>
      </w:tr>
      <w:tr w14:paraId="3E34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18" w:type="pct"/>
            <w:noWrap w:val="0"/>
            <w:vAlign w:val="center"/>
          </w:tcPr>
          <w:p w14:paraId="7A03F570">
            <w:pPr>
              <w:jc w:val="center"/>
              <w:rPr>
                <w:rFonts w:hint="default" w:ascii="宋体" w:hAnsi="宋体" w:eastAsia="宋体"/>
                <w:b/>
                <w:sz w:val="24"/>
                <w:lang w:val="en-US" w:eastAsia="zh-CN"/>
              </w:rPr>
            </w:pPr>
            <w:r>
              <w:rPr>
                <w:rFonts w:hint="eastAsia" w:ascii="宋体" w:hAnsi="宋体"/>
                <w:b/>
                <w:sz w:val="24"/>
                <w:lang w:val="en-US" w:eastAsia="zh-CN"/>
              </w:rPr>
              <w:t>本地化服务</w:t>
            </w:r>
          </w:p>
        </w:tc>
        <w:tc>
          <w:tcPr>
            <w:tcW w:w="3981" w:type="pct"/>
            <w:noWrap w:val="0"/>
            <w:vAlign w:val="center"/>
          </w:tcPr>
          <w:p w14:paraId="740E97DA">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本项目是否要求本地化服务能力：</w:t>
            </w:r>
            <w:r>
              <w:rPr>
                <w:rFonts w:hint="eastAsia" w:ascii="宋体" w:hAnsi="宋体" w:eastAsia="宋体" w:cs="宋体"/>
                <w:color w:val="000000"/>
                <w:kern w:val="0"/>
                <w:sz w:val="24"/>
                <w:szCs w:val="24"/>
                <w:lang w:val="en-US" w:eastAsia="zh-CN" w:bidi="ar"/>
              </w:rPr>
              <w:sym w:font="Wingdings" w:char="00FE"/>
            </w:r>
            <w:r>
              <w:rPr>
                <w:rFonts w:hint="eastAsia" w:ascii="宋体" w:hAnsi="宋体" w:eastAsia="宋体" w:cs="宋体"/>
                <w:color w:val="000000"/>
                <w:kern w:val="0"/>
                <w:sz w:val="24"/>
                <w:szCs w:val="24"/>
                <w:lang w:val="en-US" w:eastAsia="zh-CN" w:bidi="ar"/>
              </w:rPr>
              <w:t>要求□不要求</w:t>
            </w:r>
          </w:p>
          <w:p w14:paraId="30179204">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本地化服务的能力是指具有以下条件之一：</w:t>
            </w:r>
          </w:p>
          <w:p w14:paraId="71F66104">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1）在本地具有固定的办公场所及人员；</w:t>
            </w:r>
          </w:p>
          <w:p w14:paraId="1CD456AC">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2）在本地注册成立的；</w:t>
            </w:r>
          </w:p>
          <w:p w14:paraId="5D43BDEA">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3）承诺成交即设立本地化服务机构。</w:t>
            </w:r>
          </w:p>
          <w:p w14:paraId="5D802CF3">
            <w:pPr>
              <w:autoSpaceDE w:val="0"/>
              <w:autoSpaceDN w:val="0"/>
              <w:adjustRightInd w:val="0"/>
              <w:jc w:val="left"/>
              <w:rPr>
                <w:rFonts w:hint="eastAsia" w:ascii="宋体" w:hAnsi="宋体"/>
                <w:szCs w:val="21"/>
              </w:rPr>
            </w:pPr>
            <w:r>
              <w:rPr>
                <w:rFonts w:hint="eastAsia" w:ascii="宋体" w:hAnsi="宋体" w:eastAsia="宋体" w:cs="宋体"/>
                <w:color w:val="000000"/>
                <w:kern w:val="0"/>
                <w:sz w:val="24"/>
                <w:szCs w:val="24"/>
                <w:lang w:val="en-US" w:eastAsia="zh-CN" w:bidi="ar"/>
              </w:rPr>
              <w:t>备注：“本地”系指： 合肥市</w:t>
            </w:r>
          </w:p>
        </w:tc>
      </w:tr>
      <w:tr w14:paraId="60F9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018" w:type="pct"/>
            <w:noWrap w:val="0"/>
            <w:vAlign w:val="center"/>
          </w:tcPr>
          <w:p w14:paraId="6176A025">
            <w:pPr>
              <w:jc w:val="center"/>
              <w:rPr>
                <w:rFonts w:hint="eastAsia" w:ascii="宋体" w:hAnsi="宋体"/>
                <w:b/>
                <w:sz w:val="24"/>
              </w:rPr>
            </w:pPr>
            <w:r>
              <w:rPr>
                <w:rFonts w:hint="eastAsia" w:ascii="宋体" w:hAnsi="宋体"/>
                <w:b/>
                <w:bCs/>
                <w:sz w:val="24"/>
                <w:szCs w:val="24"/>
              </w:rPr>
              <w:t>采购需求</w:t>
            </w:r>
          </w:p>
        </w:tc>
        <w:tc>
          <w:tcPr>
            <w:tcW w:w="3981" w:type="pct"/>
            <w:noWrap w:val="0"/>
            <w:vAlign w:val="center"/>
          </w:tcPr>
          <w:p w14:paraId="5867BF16">
            <w:pPr>
              <w:autoSpaceDE w:val="0"/>
              <w:autoSpaceDN w:val="0"/>
              <w:adjustRightInd w:val="0"/>
              <w:jc w:val="left"/>
              <w:rPr>
                <w:rFonts w:hint="eastAsia" w:ascii="宋体" w:hAnsi="宋体"/>
                <w:b/>
                <w:bCs/>
                <w:sz w:val="24"/>
                <w:szCs w:val="24"/>
              </w:rPr>
            </w:pPr>
            <w:r>
              <w:rPr>
                <w:rFonts w:hint="eastAsia" w:ascii="宋体" w:hAnsi="宋体"/>
                <w:b/>
                <w:bCs/>
                <w:sz w:val="24"/>
                <w:szCs w:val="24"/>
                <w:lang w:val="en-US" w:eastAsia="zh-CN"/>
              </w:rPr>
              <w:t>详见附件</w:t>
            </w:r>
            <w:r>
              <w:rPr>
                <w:rFonts w:hint="eastAsia" w:ascii="宋体" w:hAnsi="宋体"/>
                <w:b/>
                <w:bCs/>
                <w:sz w:val="24"/>
                <w:szCs w:val="24"/>
              </w:rPr>
              <w:t>。</w:t>
            </w:r>
          </w:p>
        </w:tc>
      </w:tr>
      <w:tr w14:paraId="6561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018" w:type="pct"/>
            <w:noWrap w:val="0"/>
            <w:vAlign w:val="center"/>
          </w:tcPr>
          <w:p w14:paraId="5A492218">
            <w:pPr>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其他</w:t>
            </w:r>
          </w:p>
        </w:tc>
        <w:tc>
          <w:tcPr>
            <w:tcW w:w="3981" w:type="pct"/>
            <w:noWrap w:val="0"/>
            <w:vAlign w:val="center"/>
          </w:tcPr>
          <w:p w14:paraId="06719AB7">
            <w:pPr>
              <w:autoSpaceDE w:val="0"/>
              <w:autoSpaceDN w:val="0"/>
              <w:adjustRightInd w:val="0"/>
              <w:jc w:val="left"/>
              <w:rPr>
                <w:rFonts w:hint="eastAsia" w:ascii="宋体" w:hAnsi="宋体"/>
                <w:b/>
                <w:bCs/>
                <w:sz w:val="24"/>
                <w:szCs w:val="24"/>
                <w:lang w:val="en-US" w:eastAsia="zh-CN"/>
              </w:rPr>
            </w:pPr>
          </w:p>
        </w:tc>
      </w:tr>
    </w:tbl>
    <w:p w14:paraId="00C84B18">
      <w:pPr>
        <w:spacing w:line="360" w:lineRule="auto"/>
        <w:rPr>
          <w:rFonts w:hint="eastAsia" w:ascii="宋体" w:hAnsi="宋体" w:eastAsia="宋体"/>
          <w:b/>
          <w:sz w:val="28"/>
          <w:szCs w:val="28"/>
          <w:lang w:eastAsia="zh-CN"/>
        </w:rPr>
      </w:pPr>
      <w:r>
        <w:rPr>
          <w:rFonts w:hint="eastAsia" w:ascii="宋体" w:hAnsi="宋体"/>
          <w:b/>
          <w:sz w:val="28"/>
          <w:szCs w:val="28"/>
        </w:rPr>
        <w:t>二、项目</w:t>
      </w:r>
      <w:r>
        <w:rPr>
          <w:rFonts w:hint="eastAsia" w:ascii="宋体" w:hAnsi="宋体"/>
          <w:b/>
          <w:sz w:val="28"/>
          <w:szCs w:val="28"/>
          <w:lang w:val="en-US" w:eastAsia="zh-CN"/>
        </w:rPr>
        <w:t>内容</w:t>
      </w:r>
    </w:p>
    <w:p w14:paraId="1F3B7A04">
      <w:pPr>
        <w:spacing w:line="220" w:lineRule="atLeast"/>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集成电路（西区）基础设施配套生活区总用地面积约59764㎡，规划临时总建筑面积约10548平方米，主要建设百货区、餐饮区、停车场等。本次施工项目主要工程包括土方工程、混凝土场地硬化、机动车碎石停车场以及放坡、室外给排水工程、室外电气工程、零星配套工程等工程，项目概算投资约640万元，工期为30日历天。</w:t>
      </w:r>
    </w:p>
    <w:p w14:paraId="35FEB361">
      <w:pPr>
        <w:spacing w:line="220" w:lineRule="atLeast"/>
        <w:ind w:firstLine="560" w:firstLineChars="200"/>
        <w:rPr>
          <w:rFonts w:ascii="宋体" w:hAnsi="宋体" w:cs="宋体"/>
          <w:sz w:val="28"/>
          <w:szCs w:val="28"/>
        </w:rPr>
      </w:pPr>
      <w:r>
        <w:rPr>
          <w:rFonts w:hint="eastAsia" w:ascii="宋体" w:hAnsi="宋体" w:cs="宋体"/>
          <w:sz w:val="28"/>
          <w:szCs w:val="28"/>
        </w:rPr>
        <w:t>一、资质条件</w:t>
      </w:r>
    </w:p>
    <w:p w14:paraId="5578DCAF">
      <w:pPr>
        <w:spacing w:line="220" w:lineRule="atLeast"/>
        <w:ind w:firstLine="560" w:firstLineChars="200"/>
        <w:rPr>
          <w:rFonts w:ascii="宋体" w:hAnsi="宋体" w:cs="宋体"/>
          <w:sz w:val="28"/>
          <w:szCs w:val="28"/>
        </w:rPr>
      </w:pPr>
      <w:r>
        <w:rPr>
          <w:rFonts w:hint="eastAsia" w:ascii="宋体" w:hAnsi="宋体" w:cs="宋体"/>
          <w:sz w:val="28"/>
          <w:szCs w:val="28"/>
        </w:rPr>
        <w:t>投标人应具备《中华人民共和国政府采购法》第二十二条第一款规定的条件，并提供以下证明材料：</w:t>
      </w:r>
    </w:p>
    <w:p w14:paraId="7D3394EC">
      <w:pPr>
        <w:spacing w:line="220" w:lineRule="atLeast"/>
        <w:ind w:firstLine="560" w:firstLineChars="200"/>
        <w:rPr>
          <w:rFonts w:hint="eastAsia" w:ascii="宋体" w:hAnsi="宋体" w:eastAsia="宋体" w:cs="宋体"/>
          <w:color w:val="FF0000"/>
          <w:sz w:val="28"/>
          <w:szCs w:val="28"/>
          <w:lang w:eastAsia="zh-CN"/>
        </w:rPr>
      </w:pPr>
      <w:r>
        <w:rPr>
          <w:rFonts w:hint="eastAsia" w:ascii="宋体" w:hAnsi="宋体" w:cs="宋体"/>
          <w:sz w:val="28"/>
          <w:szCs w:val="28"/>
        </w:rPr>
        <w:t>1、具有有效的营业执照，（或事业单位法人登记证书）和税务登记证扫描件或复印件，应完整的体现出营业执照（或事业单位法人登记证书）和税务登记证的全部内容，已办理“三证合一”登记的，提供“三证合一”执照</w:t>
      </w:r>
      <w:r>
        <w:rPr>
          <w:rFonts w:hint="eastAsia" w:ascii="宋体" w:hAnsi="宋体" w:cs="宋体"/>
          <w:sz w:val="28"/>
          <w:szCs w:val="28"/>
          <w:lang w:eastAsia="zh-CN"/>
        </w:rPr>
        <w:t>。</w:t>
      </w:r>
    </w:p>
    <w:p w14:paraId="7A634325">
      <w:pPr>
        <w:spacing w:line="220" w:lineRule="atLeast"/>
        <w:ind w:firstLine="560" w:firstLineChars="200"/>
        <w:rPr>
          <w:rFonts w:hint="eastAsia"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、本项目不接受任何形式的联合体投标。</w:t>
      </w:r>
    </w:p>
    <w:p w14:paraId="6497262F">
      <w:pPr>
        <w:spacing w:line="220" w:lineRule="atLeast"/>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二、报价要求</w:t>
      </w:r>
    </w:p>
    <w:p w14:paraId="14B1B160">
      <w:pPr>
        <w:spacing w:line="220" w:lineRule="atLeas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 xml:space="preserve">本项目采用费率报价，监理费率保留至小数点后两位，如 0.917%，以 0.91%计。本项目投标费率上限 </w:t>
      </w:r>
      <w:r>
        <w:rPr>
          <w:rFonts w:hint="eastAsia" w:ascii="宋体" w:hAnsi="宋体" w:cs="宋体"/>
          <w:sz w:val="28"/>
          <w:szCs w:val="28"/>
          <w:lang w:val="en-US" w:eastAsia="zh-CN"/>
        </w:rPr>
        <w:t>1.40</w:t>
      </w:r>
      <w:r>
        <w:rPr>
          <w:rFonts w:hint="default" w:ascii="宋体" w:hAnsi="宋体" w:eastAsia="宋体" w:cs="宋体"/>
          <w:sz w:val="28"/>
          <w:szCs w:val="28"/>
          <w:lang w:val="en-US" w:eastAsia="zh-CN"/>
        </w:rPr>
        <w:t>%，如投标费率超过上限将导致投标无效。最终监理费用结算根据工程结算审定价格作为基数，乘以监理中标费率进行计算。即：最终监理服务费=监理中标费率*工程结算审定价格，且最终结算价不超过监理费概算价（</w:t>
      </w:r>
      <w:r>
        <w:rPr>
          <w:rFonts w:hint="eastAsia" w:ascii="宋体" w:hAnsi="宋体" w:cs="宋体"/>
          <w:sz w:val="28"/>
          <w:szCs w:val="28"/>
          <w:lang w:val="en-US" w:eastAsia="zh-CN"/>
        </w:rPr>
        <w:t>8.96</w:t>
      </w:r>
      <w:r>
        <w:rPr>
          <w:rFonts w:hint="default" w:ascii="宋体" w:hAnsi="宋体" w:eastAsia="宋体" w:cs="宋体"/>
          <w:sz w:val="28"/>
          <w:szCs w:val="28"/>
          <w:lang w:val="en-US" w:eastAsia="zh-CN"/>
        </w:rPr>
        <w:t>万元）。监理项目费率不再根据项目及工程量的增减或取消、工期的调整而变动。</w:t>
      </w:r>
    </w:p>
    <w:p w14:paraId="3EAC1B1E">
      <w:pPr>
        <w:spacing w:line="220" w:lineRule="atLeast"/>
        <w:ind w:firstLine="560" w:firstLineChars="200"/>
        <w:rPr>
          <w:rFonts w:ascii="宋体" w:hAnsi="宋体" w:cs="宋体"/>
          <w:sz w:val="28"/>
          <w:szCs w:val="28"/>
        </w:rPr>
      </w:pPr>
      <w:r>
        <w:rPr>
          <w:rFonts w:hint="eastAsia" w:ascii="宋体" w:hAnsi="宋体" w:cs="宋体"/>
          <w:sz w:val="28"/>
          <w:szCs w:val="28"/>
          <w:lang w:val="en-US" w:eastAsia="zh-CN"/>
        </w:rPr>
        <w:t>三</w:t>
      </w:r>
      <w:r>
        <w:rPr>
          <w:rFonts w:hint="eastAsia" w:ascii="宋体" w:hAnsi="宋体" w:cs="宋体"/>
          <w:sz w:val="28"/>
          <w:szCs w:val="28"/>
        </w:rPr>
        <w:t>、服务要求</w:t>
      </w:r>
    </w:p>
    <w:p w14:paraId="05F457EE">
      <w:pPr>
        <w:spacing w:line="220" w:lineRule="atLeas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1.监理依据：《中华人民共和国建筑法》、《中华人民共和国民法典》及依法签订的监理合同；国家颁布的工程施工验收规范及监理大纲；本工程设计图纸及有关的设计条件；发包人提供的其他文件。</w:t>
      </w:r>
    </w:p>
    <w:p w14:paraId="3C07895F">
      <w:pPr>
        <w:keepNext w:val="0"/>
        <w:keepLines w:val="0"/>
        <w:widowControl/>
        <w:suppressLineNumbers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2.监理范围：集成电路（西区）基础设施配套生活区EPC项目全部内容，即施工图设计、施工、材料设备采购及安装直至竣工验收合格、移交、缺陷责任期内的保修等全部工作。具体以施工图纸及招标人要求为准。</w:t>
      </w:r>
    </w:p>
    <w:p w14:paraId="080A0611">
      <w:pPr>
        <w:spacing w:line="220" w:lineRule="atLeast"/>
        <w:rPr>
          <w:rFonts w:hint="eastAsia" w:ascii="宋体" w:hAnsi="宋体" w:eastAsia="宋体" w:cs="宋体"/>
          <w:sz w:val="28"/>
          <w:szCs w:val="28"/>
          <w:lang w:val="en-US" w:eastAsia="zh-CN"/>
        </w:rPr>
      </w:pPr>
      <w:r>
        <w:rPr>
          <w:rFonts w:hint="eastAsia" w:ascii="宋体" w:hAnsi="宋体" w:cs="宋体"/>
          <w:sz w:val="28"/>
          <w:szCs w:val="28"/>
          <w:lang w:val="en-US" w:eastAsia="zh-CN"/>
        </w:rPr>
        <w:t>3.监理内容：</w:t>
      </w:r>
      <w:r>
        <w:rPr>
          <w:rFonts w:hint="eastAsia" w:ascii="宋体" w:hAnsi="宋体" w:eastAsia="宋体" w:cs="宋体"/>
          <w:sz w:val="28"/>
          <w:szCs w:val="28"/>
          <w:lang w:val="en-US" w:eastAsia="zh-CN"/>
        </w:rPr>
        <w:t>本项目全过程工程监理服务（包括但不限于：项目的施工图设计、施工图纸范围内的施工等监理内容），包括项目实施阶段的质量、进度、费用控制管理和安全、合同、信息等方面协调管理服务。</w:t>
      </w:r>
    </w:p>
    <w:p w14:paraId="446CF43E">
      <w:pPr>
        <w:spacing w:line="220" w:lineRule="atLeast"/>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 xml:space="preserve">监理服务期限：自监理合同签订之日起至竣工验收备案移交且保修 </w:t>
      </w:r>
    </w:p>
    <w:p w14:paraId="4506ABA8">
      <w:pPr>
        <w:spacing w:line="220" w:lineRule="atLeas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期满回访合格止。</w:t>
      </w:r>
    </w:p>
    <w:bookmarkEnd w:id="8"/>
    <w:p w14:paraId="1D40A2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9252A"/>
    <w:multiLevelType w:val="singleLevel"/>
    <w:tmpl w:val="B1A9252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326170B4"/>
    <w:rsid w:val="3401034F"/>
    <w:rsid w:val="365F5108"/>
    <w:rsid w:val="38451629"/>
    <w:rsid w:val="39202096"/>
    <w:rsid w:val="3956631D"/>
    <w:rsid w:val="3977637C"/>
    <w:rsid w:val="39A323C9"/>
    <w:rsid w:val="3A5A6F41"/>
    <w:rsid w:val="3D0656AD"/>
    <w:rsid w:val="3D995F73"/>
    <w:rsid w:val="3DD40ACC"/>
    <w:rsid w:val="3E7A3FF6"/>
    <w:rsid w:val="3F7C42B6"/>
    <w:rsid w:val="40821E95"/>
    <w:rsid w:val="417A40B0"/>
    <w:rsid w:val="42331D89"/>
    <w:rsid w:val="425A3632"/>
    <w:rsid w:val="425C413F"/>
    <w:rsid w:val="42654155"/>
    <w:rsid w:val="44AD421E"/>
    <w:rsid w:val="475C491A"/>
    <w:rsid w:val="49521D16"/>
    <w:rsid w:val="4A180A44"/>
    <w:rsid w:val="4A630034"/>
    <w:rsid w:val="4D752558"/>
    <w:rsid w:val="4D841426"/>
    <w:rsid w:val="4D926C66"/>
    <w:rsid w:val="4E235B10"/>
    <w:rsid w:val="4E4A0A8E"/>
    <w:rsid w:val="4EFF657E"/>
    <w:rsid w:val="50116703"/>
    <w:rsid w:val="51EB53DF"/>
    <w:rsid w:val="53603F65"/>
    <w:rsid w:val="53DD68C3"/>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9E52DB8"/>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30"/>
    <w:autoRedefine/>
    <w:semiHidden/>
    <w:unhideWhenUsed/>
    <w:qFormat/>
    <w:uiPriority w:val="99"/>
    <w:pPr>
      <w:jc w:val="left"/>
    </w:pPr>
  </w:style>
  <w:style w:type="paragraph" w:styleId="7">
    <w:name w:val="Body Text"/>
    <w:basedOn w:val="1"/>
    <w:next w:val="8"/>
    <w:autoRedefine/>
    <w:qFormat/>
    <w:uiPriority w:val="1"/>
    <w:pPr>
      <w:ind w:left="140"/>
    </w:pPr>
    <w:rPr>
      <w:rFonts w:ascii="宋体" w:hAnsi="宋体"/>
      <w:sz w:val="21"/>
      <w:szCs w:val="21"/>
    </w:rPr>
  </w:style>
  <w:style w:type="paragraph" w:styleId="8">
    <w:name w:val="Date"/>
    <w:basedOn w:val="1"/>
    <w:next w:val="1"/>
    <w:qFormat/>
    <w:uiPriority w:val="0"/>
    <w:rPr>
      <w:rFonts w:ascii="Times New Roman"/>
      <w:b/>
      <w:kern w:val="2"/>
      <w:sz w:val="28"/>
    </w:rPr>
  </w:style>
  <w:style w:type="paragraph" w:styleId="9">
    <w:name w:val="Body Text Indent"/>
    <w:basedOn w:val="1"/>
    <w:next w:val="10"/>
    <w:autoRedefine/>
    <w:qFormat/>
    <w:uiPriority w:val="0"/>
    <w:pPr>
      <w:ind w:firstLine="645"/>
    </w:pPr>
    <w:rPr>
      <w:rFonts w:ascii="楷体_GB2312" w:eastAsia="楷体_GB2312"/>
      <w:kern w:val="2"/>
      <w:sz w:val="32"/>
    </w:rPr>
  </w:style>
  <w:style w:type="paragraph" w:styleId="10">
    <w:name w:val="envelope return"/>
    <w:basedOn w:val="1"/>
    <w:qFormat/>
    <w:uiPriority w:val="0"/>
    <w:pPr>
      <w:snapToGrid w:val="0"/>
    </w:pPr>
    <w:rPr>
      <w:rFonts w:ascii="Arial" w:hAnsi="Arial" w:cs="Arial"/>
      <w:szCs w:val="24"/>
    </w:rPr>
  </w:style>
  <w:style w:type="paragraph" w:styleId="11">
    <w:name w:val="Plain Text"/>
    <w:basedOn w:val="1"/>
    <w:autoRedefine/>
    <w:qFormat/>
    <w:uiPriority w:val="0"/>
    <w:rPr>
      <w:rFonts w:hAnsi="Courier New"/>
      <w:kern w:val="2"/>
      <w:sz w:val="21"/>
    </w:rPr>
  </w:style>
  <w:style w:type="paragraph" w:styleId="12">
    <w:name w:val="Balloon Text"/>
    <w:basedOn w:val="1"/>
    <w:link w:val="32"/>
    <w:autoRedefine/>
    <w:semiHidden/>
    <w:unhideWhenUsed/>
    <w:qFormat/>
    <w:uiPriority w:val="99"/>
    <w:rPr>
      <w:sz w:val="18"/>
      <w:szCs w:val="18"/>
    </w:rPr>
  </w:style>
  <w:style w:type="paragraph" w:styleId="13">
    <w:name w:val="footer"/>
    <w:basedOn w:val="1"/>
    <w:link w:val="28"/>
    <w:autoRedefine/>
    <w:unhideWhenUsed/>
    <w:qFormat/>
    <w:uiPriority w:val="99"/>
    <w:pPr>
      <w:tabs>
        <w:tab w:val="center" w:pos="4153"/>
        <w:tab w:val="right" w:pos="8306"/>
      </w:tabs>
      <w:snapToGrid w:val="0"/>
      <w:jc w:val="left"/>
    </w:pPr>
    <w:rPr>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6"/>
    <w:next w:val="6"/>
    <w:link w:val="31"/>
    <w:autoRedefine/>
    <w:semiHidden/>
    <w:unhideWhenUsed/>
    <w:qFormat/>
    <w:uiPriority w:val="99"/>
    <w:rPr>
      <w:b/>
      <w:bCs/>
    </w:rPr>
  </w:style>
  <w:style w:type="paragraph" w:styleId="19">
    <w:name w:val="Body Text First Indent 2"/>
    <w:basedOn w:val="9"/>
    <w:next w:val="1"/>
    <w:autoRedefine/>
    <w:qFormat/>
    <w:uiPriority w:val="0"/>
    <w:pPr>
      <w:ind w:left="420" w:leftChars="200" w:firstLine="420" w:firstLineChars="200"/>
    </w:p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4"/>
    <w:autoRedefine/>
    <w:qFormat/>
    <w:uiPriority w:val="99"/>
    <w:rPr>
      <w:sz w:val="18"/>
      <w:szCs w:val="18"/>
    </w:rPr>
  </w:style>
  <w:style w:type="character" w:customStyle="1" w:styleId="28">
    <w:name w:val="页脚 Char"/>
    <w:basedOn w:val="22"/>
    <w:link w:val="13"/>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6"/>
    <w:autoRedefine/>
    <w:semiHidden/>
    <w:qFormat/>
    <w:uiPriority w:val="99"/>
  </w:style>
  <w:style w:type="character" w:customStyle="1" w:styleId="31">
    <w:name w:val="批注主题 Char"/>
    <w:basedOn w:val="30"/>
    <w:link w:val="18"/>
    <w:autoRedefine/>
    <w:semiHidden/>
    <w:qFormat/>
    <w:uiPriority w:val="99"/>
    <w:rPr>
      <w:b/>
      <w:bCs/>
    </w:rPr>
  </w:style>
  <w:style w:type="character" w:customStyle="1" w:styleId="32">
    <w:name w:val="批注框文本 Char"/>
    <w:basedOn w:val="22"/>
    <w:link w:val="12"/>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Pages>
  <Words>1560</Words>
  <Characters>1563</Characters>
  <Lines>5</Lines>
  <Paragraphs>1</Paragraphs>
  <TotalTime>40</TotalTime>
  <ScaleCrop>false</ScaleCrop>
  <LinksUpToDate>false</LinksUpToDate>
  <CharactersWithSpaces>1755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2026-08-24T02:07:06Z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