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3"/>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4"/>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461053086"/>
      <w:bookmarkStart w:id="2" w:name="_Toc2774249"/>
      <w:bookmarkStart w:id="3" w:name="_Toc461056631"/>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rPr>
                <w:rFonts w:hint="default" w:hAnsi="宋体"/>
                <w:b/>
                <w:color w:val="auto"/>
                <w:highlight w:val="none"/>
                <w:u w:val="single"/>
                <w:lang w:val="en-US" w:eastAsia="zh-CN"/>
              </w:rPr>
            </w:pPr>
            <w:r>
              <w:rPr>
                <w:rFonts w:hint="eastAsia" w:hAnsi="宋体"/>
                <w:b/>
                <w:color w:val="auto"/>
                <w:highlight w:val="none"/>
                <w:u w:val="none"/>
                <w:lang w:val="en-US" w:eastAsia="zh-CN"/>
              </w:rPr>
              <w:t>金额</w:t>
            </w:r>
            <w:r>
              <w:rPr>
                <w:rFonts w:hint="eastAsia" w:hAnsi="宋体"/>
                <w:b/>
                <w:color w:val="auto"/>
                <w:highlight w:val="none"/>
                <w:u w:val="single"/>
                <w:lang w:val="en-US" w:eastAsia="zh-CN"/>
              </w:rPr>
              <w:t xml:space="preserve">           元</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eastAsiaTheme="minorEastAsia"/>
                <w:b/>
                <w:color w:val="auto"/>
                <w:highlight w:val="none"/>
                <w:lang w:val="en-US" w:eastAsia="zh-CN"/>
              </w:rPr>
            </w:pPr>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19"/>
        <w:ind w:left="438" w:firstLine="600"/>
        <w:rPr>
          <w:rFonts w:hAnsi="宋体"/>
          <w:b/>
          <w:bCs/>
          <w:color w:val="auto"/>
          <w:szCs w:val="28"/>
          <w:highlight w:val="none"/>
        </w:rPr>
      </w:pPr>
    </w:p>
    <w:p w14:paraId="13D274D9">
      <w:pPr>
        <w:pStyle w:val="19"/>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8"/>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9"/>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9"/>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9"/>
        <w:snapToGrid w:val="0"/>
        <w:spacing w:line="360" w:lineRule="auto"/>
        <w:ind w:firstLine="480" w:firstLineChars="200"/>
        <w:jc w:val="left"/>
        <w:rPr>
          <w:rFonts w:hAnsi="宋体"/>
          <w:color w:val="auto"/>
          <w:sz w:val="24"/>
          <w:highlight w:val="none"/>
        </w:rPr>
      </w:pPr>
    </w:p>
    <w:p w14:paraId="1226A658">
      <w:pPr>
        <w:pStyle w:val="9"/>
        <w:snapToGrid w:val="0"/>
        <w:spacing w:line="360" w:lineRule="auto"/>
        <w:ind w:firstLine="480" w:firstLineChars="200"/>
        <w:jc w:val="left"/>
        <w:rPr>
          <w:rFonts w:hAnsi="宋体"/>
          <w:color w:val="auto"/>
          <w:sz w:val="24"/>
          <w:highlight w:val="none"/>
        </w:rPr>
      </w:pPr>
    </w:p>
    <w:p w14:paraId="2881CC13">
      <w:pPr>
        <w:pStyle w:val="9"/>
        <w:snapToGrid w:val="0"/>
        <w:spacing w:line="360" w:lineRule="auto"/>
        <w:ind w:firstLine="480" w:firstLineChars="200"/>
        <w:jc w:val="left"/>
        <w:rPr>
          <w:rFonts w:hAnsi="宋体"/>
          <w:color w:val="auto"/>
          <w:sz w:val="24"/>
          <w:highlight w:val="none"/>
        </w:rPr>
      </w:pPr>
    </w:p>
    <w:p w14:paraId="687406C5">
      <w:pPr>
        <w:pStyle w:val="9"/>
        <w:snapToGrid w:val="0"/>
        <w:spacing w:line="360" w:lineRule="auto"/>
        <w:ind w:firstLine="480" w:firstLineChars="200"/>
        <w:jc w:val="left"/>
        <w:rPr>
          <w:rFonts w:hAnsi="宋体"/>
          <w:color w:val="auto"/>
          <w:sz w:val="24"/>
          <w:highlight w:val="none"/>
        </w:rPr>
      </w:pPr>
    </w:p>
    <w:p w14:paraId="283D7114">
      <w:pPr>
        <w:pStyle w:val="9"/>
        <w:snapToGrid w:val="0"/>
        <w:spacing w:line="360" w:lineRule="auto"/>
        <w:ind w:firstLine="480" w:firstLineChars="200"/>
        <w:jc w:val="left"/>
        <w:rPr>
          <w:rFonts w:hAnsi="宋体"/>
          <w:color w:val="auto"/>
          <w:sz w:val="24"/>
          <w:highlight w:val="none"/>
        </w:rPr>
      </w:pPr>
    </w:p>
    <w:p w14:paraId="652CA97C">
      <w:pPr>
        <w:pStyle w:val="9"/>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9"/>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9"/>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3835936"/>
      <w:bookmarkStart w:id="7" w:name="_Toc438648630"/>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1037F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jc w:val="center"/>
        <w:textAlignment w:val="auto"/>
        <w:rPr>
          <w:rFonts w:hint="eastAsia" w:hAnsi="宋体"/>
          <w:b/>
          <w:color w:val="auto"/>
          <w:sz w:val="32"/>
          <w:szCs w:val="32"/>
          <w:highlight w:val="none"/>
          <w:lang w:val="en-US" w:eastAsia="zh-CN"/>
        </w:rPr>
      </w:pPr>
      <w:bookmarkStart w:id="8" w:name="OLE_LINK3"/>
      <w:r>
        <w:rPr>
          <w:rFonts w:hint="eastAsia" w:hAnsi="宋体"/>
          <w:b/>
          <w:color w:val="auto"/>
          <w:sz w:val="32"/>
          <w:szCs w:val="32"/>
          <w:highlight w:val="none"/>
          <w:lang w:val="en-US" w:eastAsia="zh-CN"/>
        </w:rPr>
        <w:t>采购项目需求表</w:t>
      </w:r>
      <w:bookmarkEnd w:id="8"/>
    </w:p>
    <w:tbl>
      <w:tblPr>
        <w:tblStyle w:val="2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7B10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1E62182D">
            <w:pPr>
              <w:jc w:val="center"/>
              <w:rPr>
                <w:rFonts w:hAnsi="宋体"/>
                <w:b/>
                <w:color w:val="000000"/>
                <w:sz w:val="21"/>
                <w:szCs w:val="21"/>
              </w:rPr>
            </w:pPr>
            <w:r>
              <w:rPr>
                <w:rFonts w:hint="eastAsia" w:hAnsi="宋体"/>
                <w:b/>
                <w:color w:val="000000"/>
                <w:sz w:val="21"/>
                <w:szCs w:val="21"/>
              </w:rPr>
              <w:t>序号</w:t>
            </w:r>
          </w:p>
        </w:tc>
        <w:tc>
          <w:tcPr>
            <w:tcW w:w="1447" w:type="dxa"/>
            <w:vAlign w:val="center"/>
          </w:tcPr>
          <w:p w14:paraId="02883B3D">
            <w:pPr>
              <w:jc w:val="center"/>
              <w:rPr>
                <w:rFonts w:hAnsi="宋体"/>
                <w:b/>
                <w:color w:val="000000"/>
                <w:sz w:val="21"/>
                <w:szCs w:val="21"/>
              </w:rPr>
            </w:pPr>
            <w:r>
              <w:rPr>
                <w:rFonts w:hint="eastAsia" w:hAnsi="宋体"/>
                <w:b/>
                <w:color w:val="000000"/>
                <w:sz w:val="21"/>
                <w:szCs w:val="21"/>
              </w:rPr>
              <w:t>内容</w:t>
            </w:r>
          </w:p>
        </w:tc>
        <w:tc>
          <w:tcPr>
            <w:tcW w:w="7223" w:type="dxa"/>
            <w:vAlign w:val="center"/>
          </w:tcPr>
          <w:p w14:paraId="2AACD404">
            <w:pPr>
              <w:pStyle w:val="43"/>
              <w:widowControl w:val="0"/>
              <w:spacing w:before="0" w:beforeAutospacing="0" w:after="0" w:afterAutospacing="0"/>
              <w:rPr>
                <w:bCs w:val="0"/>
                <w:color w:val="000000"/>
                <w:kern w:val="2"/>
                <w:sz w:val="21"/>
                <w:szCs w:val="21"/>
              </w:rPr>
            </w:pPr>
            <w:r>
              <w:rPr>
                <w:rFonts w:hint="eastAsia"/>
                <w:bCs w:val="0"/>
                <w:color w:val="000000"/>
                <w:kern w:val="2"/>
                <w:sz w:val="21"/>
                <w:szCs w:val="21"/>
              </w:rPr>
              <w:t>说明与要求</w:t>
            </w:r>
          </w:p>
        </w:tc>
      </w:tr>
      <w:tr w14:paraId="7F67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40CC0B36">
            <w:pPr>
              <w:jc w:val="center"/>
              <w:rPr>
                <w:rFonts w:hAnsi="宋体"/>
                <w:bCs/>
                <w:color w:val="000000"/>
                <w:sz w:val="21"/>
                <w:szCs w:val="21"/>
              </w:rPr>
            </w:pPr>
            <w:r>
              <w:rPr>
                <w:rFonts w:hint="eastAsia" w:hAnsi="宋体"/>
                <w:bCs/>
                <w:color w:val="000000"/>
                <w:sz w:val="21"/>
                <w:szCs w:val="21"/>
              </w:rPr>
              <w:t>1</w:t>
            </w:r>
          </w:p>
        </w:tc>
        <w:tc>
          <w:tcPr>
            <w:tcW w:w="1447" w:type="dxa"/>
            <w:vAlign w:val="center"/>
          </w:tcPr>
          <w:p w14:paraId="348F21A4">
            <w:pPr>
              <w:jc w:val="center"/>
              <w:rPr>
                <w:rFonts w:hint="default" w:hAnsi="宋体" w:eastAsia="宋体"/>
                <w:bCs/>
                <w:color w:val="000000"/>
                <w:sz w:val="21"/>
                <w:szCs w:val="21"/>
                <w:highlight w:val="none"/>
                <w:lang w:val="en-US" w:eastAsia="zh-CN"/>
              </w:rPr>
            </w:pPr>
            <w:r>
              <w:rPr>
                <w:rFonts w:hint="eastAsia" w:hAnsi="宋体"/>
                <w:bCs/>
                <w:color w:val="000000"/>
                <w:sz w:val="21"/>
                <w:szCs w:val="21"/>
                <w:highlight w:val="none"/>
                <w:lang w:val="en-US" w:eastAsia="zh-CN"/>
              </w:rPr>
              <w:t>项目名称</w:t>
            </w:r>
          </w:p>
        </w:tc>
        <w:tc>
          <w:tcPr>
            <w:tcW w:w="7223" w:type="dxa"/>
            <w:vAlign w:val="center"/>
          </w:tcPr>
          <w:p w14:paraId="4AA9C2F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eastAsia="宋体"/>
                <w:b w:val="0"/>
                <w:bCs w:val="0"/>
                <w:color w:val="000000"/>
                <w:sz w:val="21"/>
                <w:szCs w:val="21"/>
                <w:lang w:val="en-US" w:eastAsia="zh-CN"/>
              </w:rPr>
            </w:pPr>
            <w:r>
              <w:rPr>
                <w:rFonts w:hint="eastAsia"/>
                <w:sz w:val="21"/>
                <w:szCs w:val="21"/>
              </w:rPr>
              <w:t>合肥经济开发区公</w:t>
            </w:r>
            <w:r>
              <w:rPr>
                <w:rFonts w:hint="eastAsia"/>
                <w:sz w:val="21"/>
                <w:szCs w:val="21"/>
                <w:lang w:val="en-US" w:eastAsia="zh-CN"/>
              </w:rPr>
              <w:t>用</w:t>
            </w:r>
            <w:r>
              <w:rPr>
                <w:rFonts w:hint="eastAsia"/>
                <w:sz w:val="21"/>
                <w:szCs w:val="21"/>
              </w:rPr>
              <w:t>事业发展有限公司</w:t>
            </w:r>
            <w:r>
              <w:rPr>
                <w:rFonts w:hint="eastAsia"/>
                <w:sz w:val="21"/>
                <w:szCs w:val="21"/>
                <w:lang w:eastAsia="zh-CN"/>
              </w:rPr>
              <w:t>（</w:t>
            </w:r>
            <w:r>
              <w:rPr>
                <w:rFonts w:hint="eastAsia"/>
                <w:sz w:val="21"/>
                <w:szCs w:val="21"/>
                <w:lang w:val="en-US" w:eastAsia="zh-CN"/>
              </w:rPr>
              <w:t>北区</w:t>
            </w:r>
            <w:r>
              <w:rPr>
                <w:rFonts w:hint="eastAsia"/>
                <w:sz w:val="21"/>
                <w:szCs w:val="21"/>
                <w:lang w:eastAsia="zh-CN"/>
              </w:rPr>
              <w:t>）</w:t>
            </w:r>
            <w:r>
              <w:rPr>
                <w:rFonts w:hint="eastAsia"/>
                <w:sz w:val="21"/>
                <w:szCs w:val="21"/>
              </w:rPr>
              <w:t>环卫</w:t>
            </w:r>
            <w:r>
              <w:rPr>
                <w:rFonts w:hint="eastAsia"/>
                <w:sz w:val="21"/>
                <w:szCs w:val="21"/>
                <w:lang w:val="en-US" w:eastAsia="zh-CN"/>
              </w:rPr>
              <w:t>转运设备</w:t>
            </w:r>
            <w:r>
              <w:rPr>
                <w:rFonts w:hint="eastAsia"/>
                <w:sz w:val="21"/>
                <w:szCs w:val="21"/>
              </w:rPr>
              <w:t>采购项目</w:t>
            </w:r>
          </w:p>
        </w:tc>
      </w:tr>
      <w:tr w14:paraId="7E24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79871829">
            <w:pPr>
              <w:jc w:val="center"/>
              <w:rPr>
                <w:rFonts w:hAnsi="宋体"/>
                <w:bCs/>
                <w:color w:val="000000"/>
                <w:sz w:val="21"/>
                <w:szCs w:val="21"/>
              </w:rPr>
            </w:pPr>
            <w:r>
              <w:rPr>
                <w:rFonts w:hint="eastAsia" w:hAnsi="宋体"/>
                <w:bCs/>
                <w:color w:val="000000"/>
                <w:sz w:val="21"/>
                <w:szCs w:val="21"/>
              </w:rPr>
              <w:t>2</w:t>
            </w:r>
          </w:p>
        </w:tc>
        <w:tc>
          <w:tcPr>
            <w:tcW w:w="1447" w:type="dxa"/>
            <w:vAlign w:val="center"/>
          </w:tcPr>
          <w:p w14:paraId="5A46309D">
            <w:pPr>
              <w:jc w:val="center"/>
              <w:rPr>
                <w:rFonts w:hint="eastAsia" w:hAnsi="宋体" w:eastAsia="宋体"/>
                <w:color w:val="000000"/>
                <w:sz w:val="21"/>
                <w:szCs w:val="21"/>
                <w:highlight w:val="none"/>
                <w:lang w:eastAsia="zh-CN"/>
              </w:rPr>
            </w:pPr>
            <w:r>
              <w:rPr>
                <w:rFonts w:hint="eastAsia" w:hAnsi="宋体"/>
                <w:color w:val="000000"/>
                <w:sz w:val="21"/>
                <w:szCs w:val="21"/>
                <w:highlight w:val="none"/>
              </w:rPr>
              <w:t>项目</w:t>
            </w:r>
            <w:r>
              <w:rPr>
                <w:rFonts w:hint="eastAsia" w:hAnsi="宋体"/>
                <w:color w:val="000000"/>
                <w:sz w:val="21"/>
                <w:szCs w:val="21"/>
                <w:highlight w:val="none"/>
                <w:lang w:val="en-US" w:eastAsia="zh-CN"/>
              </w:rPr>
              <w:t>概况</w:t>
            </w:r>
          </w:p>
        </w:tc>
        <w:tc>
          <w:tcPr>
            <w:tcW w:w="7223" w:type="dxa"/>
            <w:vAlign w:val="center"/>
          </w:tcPr>
          <w:p w14:paraId="45629B34">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default" w:eastAsia="宋体"/>
                <w:b w:val="0"/>
                <w:bCs w:val="0"/>
                <w:color w:val="000000"/>
                <w:sz w:val="21"/>
                <w:szCs w:val="21"/>
                <w:lang w:val="en-US" w:eastAsia="zh-CN"/>
              </w:rPr>
            </w:pPr>
            <w:r>
              <w:rPr>
                <w:rFonts w:hint="default" w:eastAsia="宋体"/>
                <w:b w:val="0"/>
                <w:bCs w:val="0"/>
                <w:color w:val="000000"/>
                <w:sz w:val="21"/>
                <w:szCs w:val="21"/>
                <w:lang w:val="en-US" w:eastAsia="zh-CN"/>
              </w:rPr>
              <w:t>本项目拟采购22辆环卫转运设备，服务于经开区（北区）市政道路快保作业等养护工作。</w:t>
            </w:r>
          </w:p>
        </w:tc>
      </w:tr>
      <w:tr w14:paraId="27D4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0378667A">
            <w:pPr>
              <w:jc w:val="center"/>
              <w:rPr>
                <w:rFonts w:hAnsi="宋体"/>
                <w:bCs/>
                <w:color w:val="000000"/>
                <w:sz w:val="21"/>
                <w:szCs w:val="21"/>
              </w:rPr>
            </w:pPr>
            <w:r>
              <w:rPr>
                <w:rFonts w:hint="eastAsia" w:hAnsi="宋体"/>
                <w:bCs/>
                <w:color w:val="000000"/>
                <w:sz w:val="21"/>
                <w:szCs w:val="21"/>
              </w:rPr>
              <w:t>3</w:t>
            </w:r>
          </w:p>
        </w:tc>
        <w:tc>
          <w:tcPr>
            <w:tcW w:w="1447" w:type="dxa"/>
            <w:vAlign w:val="center"/>
          </w:tcPr>
          <w:p w14:paraId="42EEC0C8">
            <w:pPr>
              <w:jc w:val="center"/>
              <w:rPr>
                <w:rFonts w:hAnsi="宋体"/>
                <w:color w:val="000000"/>
                <w:sz w:val="21"/>
                <w:szCs w:val="21"/>
                <w:highlight w:val="none"/>
              </w:rPr>
            </w:pPr>
            <w:r>
              <w:rPr>
                <w:rFonts w:hint="eastAsia" w:hAnsi="宋体"/>
                <w:color w:val="000000"/>
                <w:sz w:val="21"/>
                <w:szCs w:val="21"/>
                <w:highlight w:val="none"/>
              </w:rPr>
              <w:t>供应商资格</w:t>
            </w:r>
          </w:p>
        </w:tc>
        <w:tc>
          <w:tcPr>
            <w:tcW w:w="7223" w:type="dxa"/>
            <w:vAlign w:val="center"/>
          </w:tcPr>
          <w:p w14:paraId="62CB9F3B">
            <w:pPr>
              <w:keepNext w:val="0"/>
              <w:keepLines w:val="0"/>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val="0"/>
                <w:bCs w:val="0"/>
                <w:sz w:val="21"/>
                <w:szCs w:val="21"/>
                <w:highlight w:val="none"/>
                <w:u w:val="none"/>
              </w:rPr>
            </w:pPr>
            <w:r>
              <w:rPr>
                <w:rFonts w:hint="eastAsia" w:ascii="宋体" w:hAnsi="宋体" w:eastAsia="宋体" w:cs="宋体"/>
                <w:b w:val="0"/>
                <w:bCs w:val="0"/>
                <w:sz w:val="21"/>
                <w:szCs w:val="21"/>
                <w:highlight w:val="none"/>
                <w:u w:val="none"/>
              </w:rPr>
              <w:t>1.符合《中华人民共和国政府采购法》第二十二条规定；</w:t>
            </w:r>
          </w:p>
          <w:p w14:paraId="2DE06C14">
            <w:pPr>
              <w:keepNext w:val="0"/>
              <w:keepLines w:val="0"/>
              <w:pageBreakBefore w:val="0"/>
              <w:widowControl w:val="0"/>
              <w:kinsoku/>
              <w:wordWrap/>
              <w:overflowPunct/>
              <w:topLinePunct w:val="0"/>
              <w:bidi w:val="0"/>
              <w:adjustRightInd/>
              <w:snapToGrid/>
              <w:spacing w:line="360" w:lineRule="auto"/>
              <w:jc w:val="left"/>
              <w:textAlignment w:val="auto"/>
              <w:rPr>
                <w:bCs/>
                <w:color w:val="000000"/>
                <w:sz w:val="21"/>
                <w:szCs w:val="21"/>
              </w:rPr>
            </w:pPr>
            <w:r>
              <w:rPr>
                <w:rFonts w:hint="eastAsia" w:asciiTheme="minorEastAsia" w:hAnsiTheme="minorEastAsia" w:eastAsiaTheme="minorEastAsia" w:cstheme="minorEastAsia"/>
                <w:sz w:val="21"/>
                <w:szCs w:val="21"/>
                <w:highlight w:val="none"/>
                <w:lang w:val="en-US" w:eastAsia="zh-CN"/>
              </w:rPr>
              <w:t>2. 本项目不接受联合体投标。</w:t>
            </w:r>
          </w:p>
        </w:tc>
      </w:tr>
      <w:tr w14:paraId="7634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2085E146">
            <w:pPr>
              <w:jc w:val="center"/>
              <w:rPr>
                <w:rFonts w:hAnsi="宋体"/>
                <w:bCs/>
                <w:color w:val="000000"/>
                <w:sz w:val="21"/>
                <w:szCs w:val="21"/>
              </w:rPr>
            </w:pPr>
            <w:r>
              <w:rPr>
                <w:rFonts w:hint="eastAsia" w:hAnsi="宋体"/>
                <w:bCs/>
                <w:color w:val="000000"/>
                <w:sz w:val="21"/>
                <w:szCs w:val="21"/>
              </w:rPr>
              <w:t>4</w:t>
            </w:r>
          </w:p>
        </w:tc>
        <w:tc>
          <w:tcPr>
            <w:tcW w:w="1447" w:type="dxa"/>
            <w:vAlign w:val="center"/>
          </w:tcPr>
          <w:p w14:paraId="1D94B679">
            <w:pPr>
              <w:jc w:val="center"/>
              <w:rPr>
                <w:rFonts w:hAnsi="宋体"/>
                <w:color w:val="000000"/>
                <w:sz w:val="21"/>
                <w:szCs w:val="21"/>
                <w:highlight w:val="none"/>
              </w:rPr>
            </w:pPr>
            <w:r>
              <w:rPr>
                <w:rFonts w:hint="eastAsia" w:hAnsi="宋体"/>
                <w:color w:val="000000"/>
                <w:sz w:val="21"/>
                <w:szCs w:val="21"/>
                <w:highlight w:val="none"/>
              </w:rPr>
              <w:t>项目性质</w:t>
            </w:r>
          </w:p>
        </w:tc>
        <w:tc>
          <w:tcPr>
            <w:tcW w:w="7223" w:type="dxa"/>
            <w:vAlign w:val="center"/>
          </w:tcPr>
          <w:p w14:paraId="2973E0E3">
            <w:pPr>
              <w:pStyle w:val="43"/>
              <w:widowControl w:val="0"/>
              <w:spacing w:before="0" w:beforeAutospacing="0" w:after="0" w:afterAutospacing="0"/>
              <w:jc w:val="both"/>
              <w:rPr>
                <w:rFonts w:hint="eastAsia" w:eastAsia="宋体"/>
                <w:b w:val="0"/>
                <w:bCs w:val="0"/>
                <w:color w:val="000000"/>
                <w:sz w:val="21"/>
                <w:szCs w:val="21"/>
                <w:lang w:eastAsia="zh-CN"/>
              </w:rPr>
            </w:pPr>
            <w:r>
              <w:rPr>
                <w:rFonts w:hint="eastAsia"/>
                <w:b w:val="0"/>
                <w:bCs w:val="0"/>
                <w:color w:val="000000"/>
                <w:sz w:val="21"/>
                <w:szCs w:val="21"/>
                <w:lang w:val="en-US" w:eastAsia="zh-CN"/>
              </w:rPr>
              <w:t>货物</w:t>
            </w:r>
            <w:r>
              <w:rPr>
                <w:rFonts w:hint="eastAsia"/>
                <w:b w:val="0"/>
                <w:bCs w:val="0"/>
                <w:color w:val="000000"/>
                <w:sz w:val="21"/>
                <w:szCs w:val="21"/>
              </w:rPr>
              <w:t>类</w:t>
            </w:r>
          </w:p>
        </w:tc>
      </w:tr>
      <w:tr w14:paraId="72FA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6D8D9EF1">
            <w:pPr>
              <w:jc w:val="center"/>
              <w:rPr>
                <w:rFonts w:hAnsi="宋体"/>
                <w:bCs/>
                <w:color w:val="000000"/>
                <w:sz w:val="21"/>
                <w:szCs w:val="21"/>
              </w:rPr>
            </w:pPr>
            <w:r>
              <w:rPr>
                <w:rFonts w:hint="eastAsia" w:hAnsi="宋体"/>
                <w:bCs/>
                <w:color w:val="000000"/>
                <w:sz w:val="21"/>
                <w:szCs w:val="21"/>
              </w:rPr>
              <w:t>5</w:t>
            </w:r>
          </w:p>
        </w:tc>
        <w:tc>
          <w:tcPr>
            <w:tcW w:w="1447" w:type="dxa"/>
            <w:vAlign w:val="center"/>
          </w:tcPr>
          <w:p w14:paraId="1C63C1E7">
            <w:pPr>
              <w:pStyle w:val="43"/>
              <w:widowControl w:val="0"/>
              <w:spacing w:before="0" w:beforeAutospacing="0" w:after="0" w:afterAutospacing="0"/>
              <w:rPr>
                <w:b w:val="0"/>
                <w:bCs w:val="0"/>
                <w:color w:val="000000"/>
                <w:sz w:val="21"/>
                <w:szCs w:val="21"/>
                <w:highlight w:val="none"/>
              </w:rPr>
            </w:pPr>
            <w:r>
              <w:rPr>
                <w:rFonts w:hint="eastAsia"/>
                <w:b w:val="0"/>
                <w:bCs w:val="0"/>
                <w:color w:val="000000"/>
                <w:sz w:val="21"/>
                <w:szCs w:val="21"/>
                <w:highlight w:val="none"/>
              </w:rPr>
              <w:t>资金来源</w:t>
            </w:r>
          </w:p>
        </w:tc>
        <w:tc>
          <w:tcPr>
            <w:tcW w:w="7223" w:type="dxa"/>
            <w:vAlign w:val="center"/>
          </w:tcPr>
          <w:p w14:paraId="613FC880">
            <w:pPr>
              <w:pStyle w:val="43"/>
              <w:widowControl w:val="0"/>
              <w:spacing w:before="0" w:beforeAutospacing="0" w:after="0" w:afterAutospacing="0"/>
              <w:jc w:val="both"/>
              <w:rPr>
                <w:b w:val="0"/>
                <w:bCs w:val="0"/>
                <w:color w:val="000000"/>
                <w:sz w:val="21"/>
                <w:szCs w:val="21"/>
              </w:rPr>
            </w:pPr>
            <w:r>
              <w:rPr>
                <w:color w:val="000000"/>
                <w:sz w:val="21"/>
                <w:szCs w:val="21"/>
              </w:rPr>
              <w:sym w:font="Wingdings" w:char="00FE"/>
            </w:r>
            <w:r>
              <w:rPr>
                <w:rFonts w:hint="eastAsia"/>
                <w:b w:val="0"/>
                <w:bCs w:val="0"/>
                <w:color w:val="000000"/>
                <w:sz w:val="21"/>
                <w:szCs w:val="21"/>
              </w:rPr>
              <w:t>采购人自筹  □其他</w:t>
            </w:r>
          </w:p>
        </w:tc>
      </w:tr>
      <w:tr w14:paraId="2C53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69011F91">
            <w:pPr>
              <w:spacing w:line="500" w:lineRule="exact"/>
              <w:jc w:val="center"/>
              <w:rPr>
                <w:rFonts w:hAnsi="宋体"/>
                <w:color w:val="000000"/>
                <w:sz w:val="21"/>
                <w:szCs w:val="21"/>
              </w:rPr>
            </w:pPr>
            <w:r>
              <w:rPr>
                <w:rFonts w:hint="eastAsia" w:hAnsi="宋体"/>
                <w:color w:val="000000"/>
                <w:sz w:val="21"/>
                <w:szCs w:val="21"/>
              </w:rPr>
              <w:t>6</w:t>
            </w:r>
          </w:p>
        </w:tc>
        <w:tc>
          <w:tcPr>
            <w:tcW w:w="1447" w:type="dxa"/>
          </w:tcPr>
          <w:p w14:paraId="4938A54E">
            <w:pPr>
              <w:spacing w:line="500" w:lineRule="exact"/>
              <w:jc w:val="center"/>
              <w:rPr>
                <w:rFonts w:hAnsi="宋体"/>
                <w:color w:val="000000"/>
                <w:sz w:val="21"/>
                <w:szCs w:val="21"/>
                <w:highlight w:val="none"/>
                <w:lang w:val="zh-CN"/>
              </w:rPr>
            </w:pPr>
            <w:r>
              <w:rPr>
                <w:rFonts w:hint="eastAsia" w:hAnsi="宋体"/>
                <w:color w:val="000000"/>
                <w:sz w:val="21"/>
                <w:szCs w:val="21"/>
                <w:highlight w:val="none"/>
              </w:rPr>
              <w:t>标段划分</w:t>
            </w:r>
          </w:p>
        </w:tc>
        <w:tc>
          <w:tcPr>
            <w:tcW w:w="7223" w:type="dxa"/>
            <w:vAlign w:val="center"/>
          </w:tcPr>
          <w:p w14:paraId="7C9C7EC6">
            <w:pPr>
              <w:spacing w:line="500" w:lineRule="exact"/>
              <w:ind w:firstLine="105" w:firstLineChars="50"/>
              <w:rPr>
                <w:rFonts w:hAnsi="宋体"/>
                <w:bCs/>
                <w:color w:val="000000"/>
                <w:sz w:val="21"/>
                <w:szCs w:val="21"/>
              </w:rPr>
            </w:pPr>
            <w:r>
              <w:rPr>
                <w:b/>
                <w:bCs/>
                <w:color w:val="000000"/>
                <w:sz w:val="21"/>
                <w:szCs w:val="21"/>
              </w:rPr>
              <w:sym w:font="Wingdings" w:char="00FE"/>
            </w:r>
            <w:r>
              <w:rPr>
                <w:rFonts w:hint="eastAsia" w:hAnsi="宋体"/>
                <w:color w:val="000000"/>
                <w:sz w:val="21"/>
                <w:szCs w:val="21"/>
              </w:rPr>
              <w:t xml:space="preserve">不分包     □分为  个包  </w:t>
            </w:r>
          </w:p>
        </w:tc>
      </w:tr>
      <w:tr w14:paraId="3CA1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vAlign w:val="center"/>
          </w:tcPr>
          <w:p w14:paraId="68DCC3F6">
            <w:pPr>
              <w:spacing w:line="500" w:lineRule="exact"/>
              <w:ind w:right="102"/>
              <w:jc w:val="center"/>
              <w:rPr>
                <w:rFonts w:hAnsi="宋体"/>
                <w:color w:val="000000"/>
                <w:sz w:val="21"/>
                <w:szCs w:val="21"/>
                <w:lang w:val="zh-CN"/>
              </w:rPr>
            </w:pPr>
            <w:r>
              <w:rPr>
                <w:rFonts w:hint="eastAsia" w:hAnsi="宋体"/>
                <w:color w:val="000000"/>
                <w:sz w:val="21"/>
                <w:szCs w:val="21"/>
                <w:lang w:val="zh-CN"/>
              </w:rPr>
              <w:t>7</w:t>
            </w:r>
          </w:p>
        </w:tc>
        <w:tc>
          <w:tcPr>
            <w:tcW w:w="1447" w:type="dxa"/>
            <w:vAlign w:val="center"/>
          </w:tcPr>
          <w:p w14:paraId="505E491D">
            <w:pPr>
              <w:spacing w:line="500" w:lineRule="exact"/>
              <w:jc w:val="center"/>
              <w:rPr>
                <w:rFonts w:hAnsi="宋体"/>
                <w:color w:val="000000"/>
                <w:sz w:val="21"/>
                <w:szCs w:val="21"/>
                <w:highlight w:val="none"/>
              </w:rPr>
            </w:pPr>
            <w:r>
              <w:rPr>
                <w:rFonts w:hint="eastAsia" w:hAnsi="宋体"/>
                <w:color w:val="000000"/>
                <w:sz w:val="21"/>
                <w:szCs w:val="21"/>
                <w:highlight w:val="none"/>
                <w:lang w:val="zh-CN"/>
              </w:rPr>
              <w:t>付款方式</w:t>
            </w:r>
          </w:p>
        </w:tc>
        <w:tc>
          <w:tcPr>
            <w:tcW w:w="7223" w:type="dxa"/>
          </w:tcPr>
          <w:p w14:paraId="66F95F2E">
            <w:pPr>
              <w:pStyle w:val="36"/>
              <w:spacing w:line="500" w:lineRule="exact"/>
              <w:rPr>
                <w:rFonts w:hAnsi="宋体" w:cs="宋体"/>
                <w:color w:val="000000"/>
                <w:sz w:val="21"/>
                <w:szCs w:val="21"/>
              </w:rPr>
            </w:pPr>
            <w:r>
              <w:rPr>
                <w:rFonts w:ascii="宋体" w:hAnsi="宋体" w:eastAsia="宋体" w:cs="宋体"/>
                <w:sz w:val="21"/>
                <w:szCs w:val="21"/>
              </w:rPr>
              <w:t>本项目无预付款；服务全部完成并通过采购人验收合格后，供应商提供合法有效发票，采购人在收到发票后按实际结算金额</w:t>
            </w:r>
            <w:r>
              <w:rPr>
                <w:rFonts w:hint="eastAsia" w:ascii="宋体" w:hAnsi="宋体" w:cs="宋体"/>
                <w:sz w:val="21"/>
                <w:szCs w:val="21"/>
                <w:lang w:val="en-US" w:eastAsia="zh-CN"/>
              </w:rPr>
              <w:t>支付90%，质保期满后一次性付清</w:t>
            </w:r>
            <w:r>
              <w:rPr>
                <w:rFonts w:ascii="宋体" w:hAnsi="宋体" w:eastAsia="宋体" w:cs="宋体"/>
                <w:sz w:val="21"/>
                <w:szCs w:val="21"/>
              </w:rPr>
              <w:t>。</w:t>
            </w:r>
          </w:p>
        </w:tc>
      </w:tr>
      <w:tr w14:paraId="4BCF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31BA00CF">
            <w:pPr>
              <w:spacing w:line="500" w:lineRule="exact"/>
              <w:ind w:right="102"/>
              <w:jc w:val="center"/>
              <w:rPr>
                <w:rFonts w:hAnsi="宋体"/>
                <w:color w:val="000000"/>
                <w:sz w:val="21"/>
                <w:szCs w:val="21"/>
                <w:lang w:val="zh-CN"/>
              </w:rPr>
            </w:pPr>
            <w:r>
              <w:rPr>
                <w:rFonts w:hint="eastAsia" w:hAnsi="宋体"/>
                <w:color w:val="000000"/>
                <w:sz w:val="21"/>
                <w:szCs w:val="21"/>
                <w:lang w:val="zh-CN"/>
              </w:rPr>
              <w:t>8</w:t>
            </w:r>
          </w:p>
        </w:tc>
        <w:tc>
          <w:tcPr>
            <w:tcW w:w="1447" w:type="dxa"/>
            <w:vAlign w:val="center"/>
          </w:tcPr>
          <w:p w14:paraId="478A50D0">
            <w:pPr>
              <w:spacing w:line="500" w:lineRule="exact"/>
              <w:jc w:val="center"/>
              <w:rPr>
                <w:rFonts w:hAnsi="宋体"/>
                <w:color w:val="000000"/>
                <w:sz w:val="21"/>
                <w:szCs w:val="21"/>
              </w:rPr>
            </w:pPr>
            <w:r>
              <w:rPr>
                <w:rFonts w:hint="eastAsia" w:hAnsi="宋体"/>
                <w:color w:val="000000"/>
                <w:sz w:val="21"/>
                <w:szCs w:val="21"/>
              </w:rPr>
              <w:t>联合体投标</w:t>
            </w:r>
          </w:p>
        </w:tc>
        <w:tc>
          <w:tcPr>
            <w:tcW w:w="7223" w:type="dxa"/>
            <w:vAlign w:val="center"/>
          </w:tcPr>
          <w:p w14:paraId="3BB9D97E">
            <w:pPr>
              <w:spacing w:line="500" w:lineRule="exact"/>
              <w:rPr>
                <w:rFonts w:hAnsi="宋体"/>
                <w:color w:val="000000"/>
                <w:sz w:val="21"/>
                <w:szCs w:val="21"/>
              </w:rPr>
            </w:pPr>
            <w:r>
              <w:rPr>
                <w:rFonts w:hint="eastAsia" w:hAnsi="宋体"/>
                <w:color w:val="000000"/>
                <w:sz w:val="21"/>
                <w:szCs w:val="21"/>
              </w:rPr>
              <w:t>□</w:t>
            </w:r>
            <w:r>
              <w:rPr>
                <w:rFonts w:hint="eastAsia" w:hAnsi="宋体"/>
                <w:color w:val="000000"/>
                <w:sz w:val="21"/>
                <w:szCs w:val="21"/>
                <w:lang w:val="zh-CN"/>
              </w:rPr>
              <w:t xml:space="preserve">接受  </w:t>
            </w:r>
            <w:r>
              <w:rPr>
                <w:b/>
                <w:bCs/>
                <w:color w:val="000000"/>
                <w:sz w:val="21"/>
                <w:szCs w:val="21"/>
              </w:rPr>
              <w:sym w:font="Wingdings" w:char="00FE"/>
            </w:r>
            <w:r>
              <w:rPr>
                <w:rFonts w:hint="eastAsia" w:hAnsi="宋体"/>
                <w:color w:val="000000"/>
                <w:sz w:val="21"/>
                <w:szCs w:val="21"/>
              </w:rPr>
              <w:t>不</w:t>
            </w:r>
            <w:r>
              <w:rPr>
                <w:rFonts w:hint="eastAsia" w:hAnsi="宋体"/>
                <w:color w:val="000000"/>
                <w:sz w:val="21"/>
                <w:szCs w:val="21"/>
                <w:lang w:val="zh-CN"/>
              </w:rPr>
              <w:t>接受</w:t>
            </w:r>
          </w:p>
        </w:tc>
      </w:tr>
      <w:tr w14:paraId="3712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33DB5A2C">
            <w:pPr>
              <w:spacing w:line="500" w:lineRule="exact"/>
              <w:jc w:val="center"/>
              <w:rPr>
                <w:rFonts w:hAnsi="宋体"/>
                <w:color w:val="000000"/>
                <w:sz w:val="21"/>
                <w:szCs w:val="21"/>
              </w:rPr>
            </w:pPr>
            <w:r>
              <w:rPr>
                <w:rFonts w:hint="eastAsia" w:hAnsi="宋体"/>
                <w:color w:val="000000"/>
                <w:sz w:val="21"/>
                <w:szCs w:val="21"/>
              </w:rPr>
              <w:t>9</w:t>
            </w:r>
          </w:p>
        </w:tc>
        <w:tc>
          <w:tcPr>
            <w:tcW w:w="1447" w:type="dxa"/>
          </w:tcPr>
          <w:p w14:paraId="78ED41E2">
            <w:pPr>
              <w:spacing w:line="500" w:lineRule="exact"/>
              <w:rPr>
                <w:rFonts w:hAnsi="宋体"/>
                <w:color w:val="000000"/>
                <w:sz w:val="21"/>
                <w:szCs w:val="21"/>
              </w:rPr>
            </w:pPr>
            <w:r>
              <w:rPr>
                <w:rFonts w:hint="eastAsia" w:hAnsi="宋体"/>
                <w:color w:val="000000"/>
                <w:sz w:val="21"/>
                <w:szCs w:val="21"/>
              </w:rPr>
              <w:t>服务地点</w:t>
            </w:r>
          </w:p>
        </w:tc>
        <w:tc>
          <w:tcPr>
            <w:tcW w:w="7223" w:type="dxa"/>
          </w:tcPr>
          <w:p w14:paraId="284A7C95">
            <w:pPr>
              <w:spacing w:line="500" w:lineRule="exact"/>
              <w:rPr>
                <w:rFonts w:hint="default" w:hAnsi="宋体" w:eastAsia="宋体"/>
                <w:color w:val="000000"/>
                <w:sz w:val="21"/>
                <w:szCs w:val="21"/>
                <w:lang w:val="en-US" w:eastAsia="zh-CN"/>
              </w:rPr>
            </w:pPr>
            <w:r>
              <w:rPr>
                <w:rFonts w:hint="eastAsia" w:hAnsi="宋体"/>
                <w:color w:val="000000"/>
                <w:sz w:val="21"/>
                <w:szCs w:val="21"/>
              </w:rPr>
              <w:t>合肥经济技术开发</w:t>
            </w:r>
            <w:r>
              <w:rPr>
                <w:rFonts w:hint="eastAsia" w:hAnsi="宋体"/>
                <w:color w:val="000000"/>
                <w:sz w:val="21"/>
                <w:szCs w:val="21"/>
                <w:lang w:val="en-US" w:eastAsia="zh-CN"/>
              </w:rPr>
              <w:t>区启德路与长兴大道西北角</w:t>
            </w:r>
          </w:p>
        </w:tc>
      </w:tr>
      <w:tr w14:paraId="5934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1EB59E05">
            <w:pPr>
              <w:spacing w:line="500" w:lineRule="exact"/>
              <w:jc w:val="center"/>
              <w:rPr>
                <w:rFonts w:hAnsi="宋体"/>
                <w:color w:val="000000"/>
                <w:sz w:val="21"/>
                <w:szCs w:val="21"/>
              </w:rPr>
            </w:pPr>
            <w:r>
              <w:rPr>
                <w:rFonts w:hint="eastAsia" w:hAnsi="宋体"/>
                <w:color w:val="000000"/>
                <w:sz w:val="21"/>
                <w:szCs w:val="21"/>
              </w:rPr>
              <w:t>10</w:t>
            </w:r>
          </w:p>
        </w:tc>
        <w:tc>
          <w:tcPr>
            <w:tcW w:w="1447" w:type="dxa"/>
            <w:vAlign w:val="center"/>
          </w:tcPr>
          <w:p w14:paraId="0BAF3F23">
            <w:pPr>
              <w:spacing w:line="500" w:lineRule="exact"/>
              <w:jc w:val="center"/>
              <w:rPr>
                <w:rFonts w:hAnsi="宋体"/>
                <w:color w:val="000000"/>
                <w:sz w:val="21"/>
                <w:szCs w:val="21"/>
                <w:highlight w:val="none"/>
              </w:rPr>
            </w:pPr>
            <w:r>
              <w:rPr>
                <w:rFonts w:hint="eastAsia" w:hAnsi="宋体"/>
                <w:color w:val="000000"/>
                <w:sz w:val="21"/>
                <w:szCs w:val="21"/>
                <w:highlight w:val="none"/>
              </w:rPr>
              <w:t>服务期限</w:t>
            </w:r>
          </w:p>
        </w:tc>
        <w:tc>
          <w:tcPr>
            <w:tcW w:w="7223" w:type="dxa"/>
            <w:vAlign w:val="center"/>
          </w:tcPr>
          <w:p w14:paraId="0CD251B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cs="宋体" w:asciiTheme="minorEastAsia" w:hAnsiTheme="minorEastAsia" w:eastAsiaTheme="minorEastAsia"/>
                <w:color w:val="000000"/>
                <w:sz w:val="21"/>
                <w:szCs w:val="21"/>
                <w:highlight w:val="none"/>
              </w:rPr>
            </w:pPr>
            <w:r>
              <w:rPr>
                <w:rFonts w:hint="eastAsia" w:cs="宋体" w:asciiTheme="minorEastAsia" w:hAnsiTheme="minorEastAsia" w:eastAsiaTheme="minorEastAsia"/>
                <w:color w:val="000000"/>
                <w:sz w:val="21"/>
                <w:szCs w:val="21"/>
                <w:highlight w:val="none"/>
              </w:rPr>
              <w:t>合同签订之日起</w:t>
            </w:r>
            <w:r>
              <w:rPr>
                <w:rFonts w:hint="eastAsia" w:cs="宋体" w:asciiTheme="minorEastAsia" w:hAnsiTheme="minorEastAsia" w:eastAsiaTheme="minorEastAsia"/>
                <w:color w:val="000000"/>
                <w:sz w:val="21"/>
                <w:szCs w:val="21"/>
                <w:highlight w:val="none"/>
                <w:lang w:val="en-US" w:eastAsia="zh-CN"/>
              </w:rPr>
              <w:t>15日内</w:t>
            </w:r>
            <w:r>
              <w:rPr>
                <w:rFonts w:hint="eastAsia" w:cs="宋体" w:asciiTheme="minorEastAsia" w:hAnsiTheme="minorEastAsia" w:eastAsiaTheme="minorEastAsia"/>
                <w:color w:val="000000"/>
                <w:sz w:val="21"/>
                <w:szCs w:val="21"/>
                <w:highlight w:val="none"/>
              </w:rPr>
              <w:t>完成全部车辆送达指定地点、调试。逾期交付，按合同总额每日0.3%支付违约金。</w:t>
            </w:r>
          </w:p>
          <w:p w14:paraId="5AFF461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cs="宋体" w:asciiTheme="minorEastAsia" w:hAnsiTheme="minorEastAsia" w:eastAsiaTheme="minorEastAsia"/>
                <w:color w:val="000000"/>
                <w:sz w:val="21"/>
                <w:szCs w:val="21"/>
                <w:highlight w:val="none"/>
              </w:rPr>
            </w:pPr>
            <w:r>
              <w:rPr>
                <w:rFonts w:hint="eastAsia"/>
                <w:sz w:val="21"/>
                <w:szCs w:val="21"/>
              </w:rPr>
              <w:t>验收：到货后采购人组织现场验收，核对数量、技术参数、功能。不合格货物中标方无条件更换，承担全部费用。</w:t>
            </w:r>
          </w:p>
          <w:p w14:paraId="7F5F35C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cs="宋体" w:asciiTheme="minorEastAsia" w:hAnsiTheme="minorEastAsia" w:eastAsiaTheme="minorEastAsia"/>
                <w:color w:val="000000"/>
                <w:sz w:val="21"/>
                <w:szCs w:val="21"/>
                <w:highlight w:val="none"/>
              </w:rPr>
            </w:pPr>
            <w:r>
              <w:rPr>
                <w:rFonts w:hint="eastAsia" w:cs="宋体" w:asciiTheme="minorEastAsia" w:hAnsiTheme="minorEastAsia" w:eastAsiaTheme="minorEastAsia"/>
                <w:color w:val="000000"/>
                <w:sz w:val="21"/>
                <w:szCs w:val="21"/>
                <w:highlight w:val="none"/>
              </w:rPr>
              <w:t>当出现以下因素时，采购人有权随时终止合同，中标供应商不得以任何理由提出索赔要求：（1）政策性调整；（2）因中标供应商原因发生安全事故</w:t>
            </w:r>
            <w:r>
              <w:rPr>
                <w:rFonts w:hint="eastAsia" w:asciiTheme="minorEastAsia" w:hAnsiTheme="minorEastAsia" w:eastAsiaTheme="minorEastAsia"/>
                <w:sz w:val="21"/>
                <w:szCs w:val="21"/>
                <w:highlight w:val="none"/>
              </w:rPr>
              <w:t>。</w:t>
            </w:r>
          </w:p>
          <w:p w14:paraId="2DDBFCD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sz w:val="21"/>
                <w:szCs w:val="21"/>
                <w:highlight w:val="none"/>
              </w:rPr>
            </w:pPr>
            <w:r>
              <w:rPr>
                <w:rFonts w:hint="eastAsia" w:cs="宋体" w:asciiTheme="minorEastAsia" w:hAnsiTheme="minorEastAsia" w:eastAsiaTheme="minorEastAsia"/>
                <w:color w:val="000000"/>
                <w:sz w:val="21"/>
                <w:szCs w:val="21"/>
                <w:highlight w:val="none"/>
                <w:lang w:val="en-US" w:eastAsia="zh-CN"/>
              </w:rPr>
              <w:t>整车质保期2年。</w:t>
            </w:r>
          </w:p>
        </w:tc>
      </w:tr>
      <w:tr w14:paraId="5136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35AF964B">
            <w:pPr>
              <w:spacing w:line="500" w:lineRule="exact"/>
              <w:jc w:val="center"/>
              <w:rPr>
                <w:rFonts w:hAnsi="宋体"/>
                <w:color w:val="000000"/>
              </w:rPr>
            </w:pPr>
            <w:r>
              <w:rPr>
                <w:rFonts w:hint="eastAsia" w:hAnsi="宋体"/>
                <w:color w:val="000000"/>
              </w:rPr>
              <w:t>14</w:t>
            </w:r>
          </w:p>
        </w:tc>
        <w:tc>
          <w:tcPr>
            <w:tcW w:w="1447" w:type="dxa"/>
            <w:vAlign w:val="center"/>
          </w:tcPr>
          <w:p w14:paraId="110BD075">
            <w:pPr>
              <w:spacing w:line="500" w:lineRule="exact"/>
              <w:jc w:val="center"/>
              <w:rPr>
                <w:rFonts w:hAnsi="宋体"/>
                <w:color w:val="000000"/>
              </w:rPr>
            </w:pPr>
            <w:r>
              <w:rPr>
                <w:rFonts w:hint="eastAsia" w:hAnsi="宋体"/>
                <w:bCs/>
                <w:color w:val="000000"/>
              </w:rPr>
              <w:t>踏勘现场</w:t>
            </w:r>
          </w:p>
        </w:tc>
        <w:tc>
          <w:tcPr>
            <w:tcW w:w="7223" w:type="dxa"/>
            <w:vAlign w:val="center"/>
          </w:tcPr>
          <w:p w14:paraId="69480E51">
            <w:pPr>
              <w:spacing w:line="500" w:lineRule="exact"/>
              <w:rPr>
                <w:rFonts w:hAnsi="宋体"/>
                <w:color w:val="000000"/>
                <w:lang w:val="zh-CN"/>
              </w:rPr>
            </w:pPr>
            <w:r>
              <w:rPr>
                <w:b/>
                <w:color w:val="000000"/>
              </w:rPr>
              <w:sym w:font="Wingdings" w:char="00FE"/>
            </w:r>
            <w:r>
              <w:rPr>
                <w:rFonts w:hint="eastAsia" w:hAnsi="宋体"/>
                <w:bCs/>
                <w:color w:val="000000"/>
              </w:rPr>
              <w:t>自行踏勘</w:t>
            </w:r>
            <w:r>
              <w:rPr>
                <w:rFonts w:hint="eastAsia" w:hAnsi="宋体"/>
                <w:color w:val="000000"/>
              </w:rPr>
              <w:t xml:space="preserve">  □采购人</w:t>
            </w:r>
            <w:r>
              <w:rPr>
                <w:rFonts w:hint="eastAsia" w:hAnsi="宋体"/>
                <w:color w:val="000000"/>
                <w:lang w:val="zh-CN"/>
              </w:rPr>
              <w:t>统一组织</w:t>
            </w:r>
          </w:p>
        </w:tc>
      </w:tr>
      <w:tr w14:paraId="41D3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4F01BBBB">
            <w:pPr>
              <w:spacing w:line="500" w:lineRule="exact"/>
              <w:jc w:val="center"/>
              <w:rPr>
                <w:rFonts w:hAnsi="宋体"/>
                <w:color w:val="000000"/>
              </w:rPr>
            </w:pPr>
            <w:r>
              <w:rPr>
                <w:rFonts w:hint="eastAsia" w:hAnsi="宋体"/>
                <w:color w:val="000000"/>
              </w:rPr>
              <w:t>17</w:t>
            </w:r>
          </w:p>
        </w:tc>
        <w:tc>
          <w:tcPr>
            <w:tcW w:w="1447" w:type="dxa"/>
            <w:vAlign w:val="center"/>
          </w:tcPr>
          <w:p w14:paraId="5D9AAA83">
            <w:pPr>
              <w:spacing w:line="500" w:lineRule="exact"/>
              <w:jc w:val="center"/>
              <w:rPr>
                <w:rFonts w:hAnsi="宋体"/>
                <w:color w:val="000000"/>
                <w:highlight w:val="none"/>
              </w:rPr>
            </w:pPr>
            <w:r>
              <w:rPr>
                <w:rFonts w:hint="eastAsia" w:hAnsi="宋体"/>
                <w:color w:val="000000"/>
                <w:highlight w:val="none"/>
              </w:rPr>
              <w:t>评标办法</w:t>
            </w:r>
          </w:p>
        </w:tc>
        <w:tc>
          <w:tcPr>
            <w:tcW w:w="7223" w:type="dxa"/>
            <w:vAlign w:val="center"/>
          </w:tcPr>
          <w:p w14:paraId="3EA4AB58">
            <w:pPr>
              <w:spacing w:line="500" w:lineRule="exact"/>
              <w:rPr>
                <w:rFonts w:hint="default" w:hAnsi="宋体" w:eastAsia="宋体"/>
                <w:color w:val="000000"/>
                <w:highlight w:val="none"/>
                <w:lang w:val="en-US" w:eastAsia="zh-CN"/>
              </w:rPr>
            </w:pPr>
            <w:r>
              <w:rPr>
                <w:rFonts w:hint="eastAsia" w:hAnsi="宋体"/>
                <w:color w:val="000000"/>
                <w:highlight w:val="none"/>
                <w:lang w:val="en-US" w:eastAsia="zh-CN"/>
              </w:rPr>
              <w:t>最低价评标法</w:t>
            </w:r>
          </w:p>
        </w:tc>
      </w:tr>
      <w:tr w14:paraId="53B3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0CA9A0A8">
            <w:pPr>
              <w:spacing w:line="500" w:lineRule="exact"/>
              <w:jc w:val="center"/>
              <w:rPr>
                <w:rFonts w:hAnsi="宋体"/>
                <w:color w:val="000000"/>
              </w:rPr>
            </w:pPr>
            <w:r>
              <w:rPr>
                <w:rFonts w:hint="eastAsia" w:hAnsi="宋体"/>
                <w:color w:val="000000"/>
              </w:rPr>
              <w:t>18</w:t>
            </w:r>
          </w:p>
        </w:tc>
        <w:tc>
          <w:tcPr>
            <w:tcW w:w="1447" w:type="dxa"/>
            <w:vAlign w:val="center"/>
          </w:tcPr>
          <w:p w14:paraId="79DCBEA3">
            <w:pPr>
              <w:spacing w:line="500" w:lineRule="exact"/>
              <w:jc w:val="center"/>
              <w:rPr>
                <w:rFonts w:hAnsi="宋体"/>
                <w:bCs/>
                <w:color w:val="000000"/>
                <w:szCs w:val="24"/>
                <w:highlight w:val="none"/>
              </w:rPr>
            </w:pPr>
            <w:r>
              <w:rPr>
                <w:rFonts w:hint="eastAsia" w:hAnsi="宋体"/>
                <w:color w:val="000000"/>
                <w:szCs w:val="24"/>
                <w:highlight w:val="none"/>
              </w:rPr>
              <w:t>履约保证金</w:t>
            </w:r>
          </w:p>
        </w:tc>
        <w:tc>
          <w:tcPr>
            <w:tcW w:w="7223" w:type="dxa"/>
            <w:vAlign w:val="center"/>
          </w:tcPr>
          <w:p w14:paraId="0F52D77F">
            <w:pPr>
              <w:pStyle w:val="36"/>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bCs/>
                <w:color w:val="000000"/>
                <w:highlight w:val="none"/>
              </w:rPr>
            </w:pPr>
            <w:r>
              <w:rPr>
                <w:rFonts w:hint="eastAsia" w:ascii="宋体" w:hAnsi="宋体"/>
                <w:bCs/>
                <w:color w:val="000000"/>
                <w:highlight w:val="none"/>
              </w:rPr>
              <w:t>履约保证金数额：</w:t>
            </w:r>
            <w:r>
              <w:rPr>
                <w:rFonts w:hint="eastAsia" w:ascii="宋体" w:hAnsi="宋体"/>
                <w:b/>
                <w:bCs w:val="0"/>
                <w:color w:val="000000"/>
                <w:highlight w:val="none"/>
              </w:rPr>
              <w:t>本项目</w:t>
            </w:r>
            <w:r>
              <w:rPr>
                <w:rFonts w:hint="eastAsia" w:ascii="宋体" w:hAnsi="宋体"/>
                <w:b/>
                <w:bCs w:val="0"/>
                <w:color w:val="000000"/>
                <w:highlight w:val="none"/>
                <w:lang w:val="en-US" w:eastAsia="zh-CN"/>
              </w:rPr>
              <w:t>定额</w:t>
            </w:r>
            <w:r>
              <w:rPr>
                <w:rFonts w:hint="eastAsia" w:ascii="宋体" w:hAnsi="宋体"/>
                <w:b/>
                <w:bCs w:val="0"/>
                <w:color w:val="000000"/>
                <w:highlight w:val="none"/>
              </w:rPr>
              <w:t>收取履约保证金</w:t>
            </w:r>
            <w:r>
              <w:rPr>
                <w:rFonts w:hint="eastAsia" w:ascii="宋体" w:hAnsi="宋体"/>
                <w:b/>
                <w:bCs w:val="0"/>
                <w:color w:val="000000"/>
                <w:highlight w:val="none"/>
                <w:lang w:val="en-US" w:eastAsia="zh-CN"/>
              </w:rPr>
              <w:t xml:space="preserve">  </w:t>
            </w:r>
            <w:r>
              <w:rPr>
                <w:rFonts w:hint="eastAsia" w:ascii="宋体" w:hAnsi="宋体"/>
                <w:b/>
                <w:bCs w:val="0"/>
                <w:color w:val="000000"/>
                <w:highlight w:val="none"/>
                <w:u w:val="single"/>
                <w:lang w:val="en-US" w:eastAsia="zh-CN"/>
              </w:rPr>
              <w:t xml:space="preserve">   /    元</w:t>
            </w:r>
          </w:p>
          <w:p w14:paraId="7BEB54D7">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bCs/>
                <w:color w:val="000000"/>
                <w:highlight w:val="none"/>
              </w:rPr>
            </w:pPr>
            <w:r>
              <w:rPr>
                <w:rFonts w:hint="eastAsia" w:ascii="宋体" w:hAnsi="宋体"/>
                <w:bCs/>
                <w:color w:val="000000"/>
                <w:highlight w:val="none"/>
              </w:rPr>
              <w:t xml:space="preserve">2.收受方式为： </w:t>
            </w:r>
            <w:r>
              <w:rPr>
                <w:rFonts w:hint="eastAsia" w:ascii="宋体" w:hAnsi="宋体"/>
                <w:bCs/>
                <w:color w:val="000000"/>
                <w:highlight w:val="none"/>
              </w:rPr>
              <w:sym w:font="Wingdings 2" w:char="0052"/>
            </w:r>
            <w:r>
              <w:rPr>
                <w:rFonts w:hint="eastAsia" w:ascii="宋体" w:hAnsi="宋体"/>
                <w:bCs/>
                <w:color w:val="000000"/>
                <w:highlight w:val="none"/>
              </w:rPr>
              <w:t xml:space="preserve">银行保函  </w:t>
            </w:r>
            <w:r>
              <w:rPr>
                <w:rFonts w:hint="eastAsia" w:ascii="宋体" w:hAnsi="宋体"/>
                <w:bCs/>
                <w:color w:val="000000"/>
                <w:highlight w:val="none"/>
              </w:rPr>
              <w:sym w:font="Wingdings 2" w:char="0052"/>
            </w:r>
            <w:r>
              <w:rPr>
                <w:rFonts w:hint="eastAsia" w:ascii="宋体" w:hAnsi="宋体"/>
                <w:bCs/>
                <w:color w:val="000000"/>
                <w:highlight w:val="none"/>
              </w:rPr>
              <w:t xml:space="preserve">保证保险 </w:t>
            </w:r>
            <w:r>
              <w:rPr>
                <w:rFonts w:ascii="宋体" w:hAnsi="宋体"/>
                <w:bCs/>
                <w:color w:val="000000"/>
                <w:highlight w:val="none"/>
              </w:rPr>
              <w:t xml:space="preserve"> </w:t>
            </w:r>
            <w:r>
              <w:rPr>
                <w:rFonts w:hint="eastAsia" w:ascii="宋体" w:hAnsi="宋体"/>
                <w:bCs/>
                <w:color w:val="000000"/>
                <w:highlight w:val="none"/>
                <w:lang w:eastAsia="zh-CN"/>
              </w:rPr>
              <w:t>☑</w:t>
            </w:r>
            <w:r>
              <w:rPr>
                <w:rFonts w:hint="eastAsia" w:ascii="宋体" w:hAnsi="宋体"/>
                <w:bCs/>
                <w:color w:val="000000"/>
                <w:highlight w:val="none"/>
              </w:rPr>
              <w:t>担保机构担保</w:t>
            </w:r>
            <w:r>
              <w:rPr>
                <w:rFonts w:ascii="宋体" w:hAnsi="宋体"/>
                <w:bCs/>
                <w:color w:val="000000"/>
                <w:highlight w:val="none"/>
              </w:rPr>
              <w:t xml:space="preserve">  </w:t>
            </w:r>
          </w:p>
          <w:p w14:paraId="7367B7F9">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Cs/>
                <w:color w:val="000000"/>
                <w:highlight w:val="none"/>
              </w:rPr>
            </w:pPr>
            <w:r>
              <w:rPr>
                <w:rFonts w:ascii="宋体" w:hAnsi="宋体"/>
                <w:bCs/>
                <w:color w:val="000000"/>
                <w:highlight w:val="none"/>
              </w:rPr>
              <w:t>3.</w:t>
            </w:r>
            <w:r>
              <w:rPr>
                <w:rFonts w:hint="eastAsia" w:ascii="宋体" w:hAnsi="宋体"/>
                <w:bCs/>
                <w:color w:val="000000"/>
                <w:highlight w:val="none"/>
              </w:rPr>
              <w:t>收受人为</w:t>
            </w:r>
            <w:r>
              <w:rPr>
                <w:rFonts w:ascii="宋体" w:hAnsi="宋体"/>
                <w:bCs/>
                <w:color w:val="000000"/>
                <w:highlight w:val="none"/>
              </w:rPr>
              <w:t>：</w:t>
            </w:r>
            <w:r>
              <w:rPr>
                <w:rFonts w:hint="eastAsia" w:ascii="宋体" w:hAnsi="宋体"/>
                <w:bCs/>
                <w:color w:val="000000"/>
                <w:highlight w:val="none"/>
                <w:lang w:eastAsia="zh-CN"/>
              </w:rPr>
              <w:t>☑</w:t>
            </w:r>
            <w:r>
              <w:rPr>
                <w:rFonts w:hint="eastAsia" w:ascii="宋体" w:hAnsi="宋体"/>
                <w:bCs/>
                <w:color w:val="000000"/>
                <w:highlight w:val="none"/>
              </w:rPr>
              <w:t>招标人</w:t>
            </w:r>
          </w:p>
          <w:p w14:paraId="07815E30">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highlight w:val="none"/>
              </w:rPr>
            </w:pPr>
            <w:r>
              <w:rPr>
                <w:rFonts w:hint="eastAsia" w:ascii="宋体" w:hAnsi="宋体"/>
                <w:bCs/>
                <w:color w:val="000000"/>
                <w:highlight w:val="none"/>
              </w:rPr>
              <w:t>4.提交时限：合同签订前按规定提交履约保证金，若中标人在规定时限内未提交履约保证金的，招标人有权取消其中标资格。</w:t>
            </w:r>
          </w:p>
          <w:p w14:paraId="3F8186CD">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highlight w:val="none"/>
                <w:u w:val="single"/>
              </w:rPr>
            </w:pPr>
            <w:r>
              <w:rPr>
                <w:rFonts w:hint="eastAsia" w:ascii="宋体" w:hAnsi="宋体"/>
                <w:bCs/>
                <w:color w:val="000000"/>
                <w:highlight w:val="none"/>
              </w:rPr>
              <w:t>5.退还：</w:t>
            </w:r>
            <w:r>
              <w:rPr>
                <w:rFonts w:hint="eastAsia" w:ascii="宋体" w:hAnsi="宋体"/>
                <w:b/>
                <w:bCs w:val="0"/>
                <w:color w:val="000000"/>
                <w:highlight w:val="none"/>
                <w:u w:val="single"/>
                <w:lang w:val="en-US" w:eastAsia="zh-CN"/>
              </w:rPr>
              <w:t>项目履约完成后，一次性退还。</w:t>
            </w:r>
          </w:p>
          <w:p w14:paraId="46CCC19B">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highlight w:val="none"/>
              </w:rPr>
            </w:pPr>
            <w:r>
              <w:rPr>
                <w:rFonts w:hint="eastAsia" w:ascii="宋体" w:hAnsi="宋体"/>
                <w:bCs/>
                <w:color w:val="000000"/>
                <w:highlight w:val="none"/>
              </w:rPr>
              <w:t>6.如采用银行保函，银行保函应为合肥行政区域（含四县一市）具有分支机构的银行（或该银行国内任一分行或支行）出具的见索即付无条件银行保函。例如：某银行在合肥行政区域有分支机构，则该银行总行（或该银行国内任一分行或支行）出具的满足招标文件要求的银行保函均予以认可；</w:t>
            </w:r>
          </w:p>
          <w:p w14:paraId="76D58008">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highlight w:val="none"/>
              </w:rPr>
            </w:pPr>
            <w:r>
              <w:rPr>
                <w:rFonts w:hint="eastAsia" w:ascii="宋体" w:hAnsi="宋体"/>
                <w:bCs/>
                <w:color w:val="000000"/>
                <w:highlight w:val="none"/>
              </w:rPr>
              <w:t>7.如采用担保机构担保，应为注册地在合肥行政区域（含四县一市）范围内的融资担保机构或经安徽省地方金融监督管理局备案的融资担保机构出具的无条件担保。</w:t>
            </w:r>
          </w:p>
          <w:p w14:paraId="11CAC0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napToGrid w:val="0"/>
                <w:kern w:val="0"/>
                <w:szCs w:val="21"/>
              </w:rPr>
            </w:pPr>
            <w:r>
              <w:rPr>
                <w:rFonts w:hint="eastAsia" w:ascii="宋体" w:hAnsi="宋体"/>
                <w:bCs/>
                <w:color w:val="000000"/>
                <w:highlight w:val="none"/>
              </w:rPr>
              <w:t>8.以上各类机构出具的以担保函、保证保险承担责任的方式均须满足无条件见索即付条件。</w:t>
            </w:r>
          </w:p>
        </w:tc>
      </w:tr>
      <w:tr w14:paraId="3096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7AA2CCAA">
            <w:pPr>
              <w:spacing w:line="500" w:lineRule="exact"/>
              <w:jc w:val="center"/>
              <w:rPr>
                <w:rFonts w:hAnsi="宋体"/>
                <w:color w:val="000000"/>
              </w:rPr>
            </w:pPr>
            <w:r>
              <w:rPr>
                <w:rFonts w:hint="eastAsia" w:hAnsi="宋体"/>
                <w:color w:val="000000"/>
              </w:rPr>
              <w:t>20</w:t>
            </w:r>
          </w:p>
        </w:tc>
        <w:tc>
          <w:tcPr>
            <w:tcW w:w="1447" w:type="dxa"/>
            <w:vAlign w:val="center"/>
          </w:tcPr>
          <w:p w14:paraId="6DACF095">
            <w:pPr>
              <w:spacing w:line="500" w:lineRule="exact"/>
              <w:jc w:val="center"/>
              <w:rPr>
                <w:rFonts w:hAnsi="宋体"/>
                <w:color w:val="000000"/>
              </w:rPr>
            </w:pPr>
            <w:r>
              <w:rPr>
                <w:rFonts w:hint="eastAsia" w:hAnsi="宋体"/>
                <w:color w:val="000000"/>
              </w:rPr>
              <w:t>本地化服务</w:t>
            </w:r>
          </w:p>
        </w:tc>
        <w:tc>
          <w:tcPr>
            <w:tcW w:w="7223" w:type="dxa"/>
            <w:vAlign w:val="center"/>
          </w:tcPr>
          <w:p w14:paraId="6D513BA3">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rPr>
            </w:pPr>
            <w:r>
              <w:rPr>
                <w:rFonts w:hint="eastAsia" w:hAnsi="宋体"/>
                <w:color w:val="000000"/>
              </w:rPr>
              <w:t>本项目是否要求本地化服务能力：</w:t>
            </w:r>
            <w:r>
              <w:rPr>
                <w:rFonts w:hAnsi="宋体"/>
                <w:color w:val="000000"/>
              </w:rPr>
              <w:t></w:t>
            </w:r>
            <w:r>
              <w:rPr>
                <w:rFonts w:hint="eastAsia"/>
                <w:b/>
                <w:bCs/>
                <w:color w:val="000000"/>
                <w:u w:val="single"/>
              </w:rPr>
              <w:sym w:font="Wingdings" w:char="00A8"/>
            </w:r>
            <w:r>
              <w:rPr>
                <w:rFonts w:hint="eastAsia" w:hAnsi="宋体"/>
                <w:color w:val="000000"/>
              </w:rPr>
              <w:t>要求</w:t>
            </w:r>
            <w:r>
              <w:rPr>
                <w:rFonts w:hint="eastAsia" w:hAnsi="宋体"/>
                <w:color w:val="000000"/>
                <w:lang w:eastAsia="zh-CN"/>
              </w:rPr>
              <w:t>☑</w:t>
            </w:r>
            <w:r>
              <w:rPr>
                <w:rFonts w:hint="eastAsia" w:hAnsi="宋体"/>
                <w:color w:val="000000"/>
              </w:rPr>
              <w:t>不要求</w:t>
            </w:r>
          </w:p>
          <w:p w14:paraId="30EB8739">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rPr>
            </w:pPr>
            <w:r>
              <w:rPr>
                <w:rFonts w:hint="eastAsia" w:hAnsi="宋体"/>
                <w:color w:val="000000"/>
              </w:rPr>
              <w:t>本地化服务的能力是指具有以下条件之一：</w:t>
            </w:r>
          </w:p>
          <w:p w14:paraId="4E0E0C91">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rPr>
            </w:pPr>
            <w:r>
              <w:rPr>
                <w:rFonts w:hint="eastAsia" w:hAnsi="宋体"/>
                <w:color w:val="000000"/>
              </w:rPr>
              <w:t>1）在本地具有固定的办公场所及人员；</w:t>
            </w:r>
          </w:p>
          <w:p w14:paraId="3FFA77AC">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rPr>
            </w:pPr>
            <w:r>
              <w:rPr>
                <w:rFonts w:hint="eastAsia" w:hAnsi="宋体"/>
                <w:color w:val="000000"/>
              </w:rPr>
              <w:t>2）在本地注册成立的；</w:t>
            </w:r>
          </w:p>
          <w:p w14:paraId="283FC041">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rPr>
            </w:pPr>
            <w:r>
              <w:rPr>
                <w:rFonts w:hint="eastAsia" w:hAnsi="宋体"/>
                <w:color w:val="000000"/>
              </w:rPr>
              <w:t>3）承诺成交即设立本地化服务机构。</w:t>
            </w:r>
          </w:p>
          <w:p w14:paraId="019CC14F">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b/>
                <w:color w:val="000000"/>
              </w:rPr>
            </w:pPr>
            <w:r>
              <w:rPr>
                <w:rFonts w:hint="eastAsia" w:hAnsi="宋体"/>
                <w:color w:val="000000"/>
              </w:rPr>
              <w:t>备注：“本地”系指： 合肥市</w:t>
            </w:r>
          </w:p>
        </w:tc>
      </w:tr>
      <w:tr w14:paraId="2E6E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31A551C5">
            <w:pPr>
              <w:spacing w:line="500" w:lineRule="exact"/>
              <w:rPr>
                <w:rFonts w:hAnsi="宋体"/>
                <w:color w:val="000000"/>
              </w:rPr>
            </w:pPr>
            <w:r>
              <w:rPr>
                <w:rFonts w:hint="eastAsia" w:hAnsi="宋体"/>
                <w:color w:val="000000"/>
              </w:rPr>
              <w:t>21</w:t>
            </w:r>
          </w:p>
        </w:tc>
        <w:tc>
          <w:tcPr>
            <w:tcW w:w="1447" w:type="dxa"/>
            <w:vAlign w:val="center"/>
          </w:tcPr>
          <w:p w14:paraId="5B4D86E1">
            <w:pPr>
              <w:ind w:firstLine="210" w:firstLineChars="100"/>
              <w:rPr>
                <w:color w:val="000000"/>
                <w:highlight w:val="none"/>
              </w:rPr>
            </w:pPr>
            <w:r>
              <w:rPr>
                <w:rFonts w:hint="eastAsia"/>
                <w:color w:val="000000"/>
                <w:highlight w:val="none"/>
              </w:rPr>
              <w:t>业绩</w:t>
            </w:r>
          </w:p>
        </w:tc>
        <w:tc>
          <w:tcPr>
            <w:tcW w:w="7223" w:type="dxa"/>
            <w:vAlign w:val="center"/>
          </w:tcPr>
          <w:p w14:paraId="2F728649">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highlight w:val="yellow"/>
              </w:rPr>
            </w:pPr>
          </w:p>
        </w:tc>
      </w:tr>
      <w:tr w14:paraId="7BC8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08B47CBA">
            <w:pPr>
              <w:spacing w:line="500" w:lineRule="exact"/>
              <w:rPr>
                <w:rFonts w:hAnsi="宋体"/>
                <w:color w:val="000000"/>
              </w:rPr>
            </w:pPr>
            <w:r>
              <w:rPr>
                <w:rFonts w:hint="eastAsia" w:hAnsi="宋体"/>
                <w:color w:val="000000"/>
              </w:rPr>
              <w:t>22</w:t>
            </w:r>
          </w:p>
        </w:tc>
        <w:tc>
          <w:tcPr>
            <w:tcW w:w="1447" w:type="dxa"/>
            <w:vAlign w:val="center"/>
          </w:tcPr>
          <w:p w14:paraId="5F3F2998">
            <w:pPr>
              <w:ind w:firstLine="210" w:firstLineChars="100"/>
              <w:rPr>
                <w:color w:val="000000"/>
                <w:highlight w:val="none"/>
              </w:rPr>
            </w:pPr>
            <w:r>
              <w:rPr>
                <w:rFonts w:hint="eastAsia"/>
                <w:color w:val="000000"/>
                <w:highlight w:val="none"/>
              </w:rPr>
              <w:t>其他</w:t>
            </w:r>
          </w:p>
        </w:tc>
        <w:tc>
          <w:tcPr>
            <w:tcW w:w="7223" w:type="dxa"/>
            <w:vAlign w:val="center"/>
          </w:tcPr>
          <w:p w14:paraId="72513ED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color w:val="000000"/>
                <w:highlight w:val="yellow"/>
              </w:rPr>
            </w:pPr>
          </w:p>
        </w:tc>
      </w:tr>
    </w:tbl>
    <w:p w14:paraId="536BF732"/>
    <w:p w14:paraId="048D41AD"/>
    <w:p w14:paraId="279174EE">
      <w:pPr>
        <w:pStyle w:val="3"/>
        <w:numPr>
          <w:ilvl w:val="0"/>
          <w:numId w:val="0"/>
        </w:numPr>
        <w:spacing w:before="260" w:after="260" w:line="500" w:lineRule="exact"/>
        <w:jc w:val="center"/>
        <w:rPr>
          <w:rFonts w:hint="eastAsia" w:hAnsi="宋体"/>
          <w:color w:val="000000"/>
          <w:highlight w:val="yellow"/>
        </w:rPr>
      </w:pPr>
      <w:bookmarkStart w:id="9" w:name="_Toc527131323"/>
      <w:bookmarkStart w:id="10" w:name="_Toc527117258"/>
      <w:r>
        <w:rPr>
          <w:rFonts w:hint="eastAsia" w:ascii="Times New Roman" w:hAnsi="宋体" w:eastAsia="宋体" w:cs="Times New Roman"/>
          <w:b/>
          <w:bCs/>
          <w:color w:val="000000"/>
          <w:kern w:val="44"/>
          <w:sz w:val="30"/>
          <w:szCs w:val="44"/>
          <w:lang w:val="en-US" w:eastAsia="zh-CN" w:bidi="ar-SA"/>
        </w:rPr>
        <w:t>五、</w:t>
      </w:r>
      <w:r>
        <w:rPr>
          <w:rFonts w:hint="eastAsia" w:hAnsi="宋体"/>
          <w:color w:val="000000"/>
          <w:highlight w:val="none"/>
        </w:rPr>
        <w:t>采购需求</w:t>
      </w:r>
      <w:bookmarkEnd w:id="9"/>
      <w:bookmarkEnd w:id="10"/>
    </w:p>
    <w:p w14:paraId="225ACD4F">
      <w:pPr>
        <w:rPr>
          <w:rFonts w:hint="eastAsia" w:hAnsi="宋体"/>
          <w:b/>
          <w:bCs/>
          <w:color w:val="000000"/>
          <w:highlight w:val="none"/>
          <w:lang w:val="en-US" w:eastAsia="zh-CN"/>
        </w:rPr>
      </w:pPr>
      <w:bookmarkStart w:id="11" w:name="_GoBack"/>
      <w:bookmarkEnd w:id="11"/>
    </w:p>
    <w:p w14:paraId="2CD547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highlight w:val="none"/>
        </w:rPr>
      </w:pPr>
      <w:r>
        <w:rPr>
          <w:rFonts w:hint="eastAsia"/>
          <w:b/>
          <w:highlight w:val="none"/>
          <w:lang w:val="en-US" w:eastAsia="zh-CN"/>
        </w:rPr>
        <w:t>第一条</w:t>
      </w:r>
      <w:r>
        <w:rPr>
          <w:rFonts w:hint="eastAsia"/>
          <w:b/>
          <w:highlight w:val="none"/>
          <w:lang w:eastAsia="zh-CN"/>
        </w:rPr>
        <w:t>：</w:t>
      </w:r>
      <w:r>
        <w:rPr>
          <w:rFonts w:hint="eastAsia"/>
          <w:b/>
          <w:highlight w:val="none"/>
        </w:rPr>
        <w:t xml:space="preserve">技术指标要求 </w:t>
      </w:r>
    </w:p>
    <w:p w14:paraId="5664BB78">
      <w:pPr>
        <w:numPr>
          <w:ilvl w:val="0"/>
          <w:numId w:val="0"/>
        </w:numPr>
        <w:rPr>
          <w:rFonts w:hint="default" w:hAnsi="宋体"/>
          <w:b/>
          <w:bCs/>
          <w:color w:val="000000"/>
          <w:highlight w:val="none"/>
          <w:lang w:val="en-US" w:eastAsia="zh-CN"/>
        </w:rPr>
      </w:pPr>
    </w:p>
    <w:tbl>
      <w:tblPr>
        <w:tblStyle w:val="20"/>
        <w:tblW w:w="9302" w:type="dxa"/>
        <w:tblInd w:w="-22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5"/>
        <w:gridCol w:w="1146"/>
        <w:gridCol w:w="4500"/>
        <w:gridCol w:w="1183"/>
        <w:gridCol w:w="674"/>
        <w:gridCol w:w="1074"/>
      </w:tblGrid>
      <w:tr w14:paraId="549FF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725" w:type="dxa"/>
            <w:vAlign w:val="center"/>
          </w:tcPr>
          <w:p w14:paraId="6DA759A8">
            <w:pPr>
              <w:spacing w:line="440" w:lineRule="exact"/>
              <w:jc w:val="center"/>
              <w:rPr>
                <w:highlight w:val="none"/>
              </w:rPr>
            </w:pPr>
            <w:r>
              <w:rPr>
                <w:rFonts w:hint="eastAsia"/>
                <w:highlight w:val="none"/>
              </w:rPr>
              <w:t>序号</w:t>
            </w:r>
          </w:p>
        </w:tc>
        <w:tc>
          <w:tcPr>
            <w:tcW w:w="1146" w:type="dxa"/>
            <w:vAlign w:val="center"/>
          </w:tcPr>
          <w:p w14:paraId="0C8F553F">
            <w:pPr>
              <w:spacing w:line="440" w:lineRule="exact"/>
              <w:jc w:val="center"/>
              <w:rPr>
                <w:highlight w:val="none"/>
              </w:rPr>
            </w:pPr>
            <w:r>
              <w:rPr>
                <w:rFonts w:hint="eastAsia"/>
                <w:highlight w:val="none"/>
              </w:rPr>
              <w:t>名称</w:t>
            </w:r>
          </w:p>
        </w:tc>
        <w:tc>
          <w:tcPr>
            <w:tcW w:w="4500" w:type="dxa"/>
            <w:vAlign w:val="center"/>
          </w:tcPr>
          <w:p w14:paraId="7DEF72ED">
            <w:pPr>
              <w:spacing w:line="440" w:lineRule="exact"/>
              <w:jc w:val="center"/>
              <w:rPr>
                <w:highlight w:val="none"/>
              </w:rPr>
            </w:pPr>
            <w:r>
              <w:rPr>
                <w:rFonts w:hint="eastAsia"/>
                <w:highlight w:val="none"/>
              </w:rPr>
              <w:t>主要技术参数</w:t>
            </w:r>
          </w:p>
        </w:tc>
        <w:tc>
          <w:tcPr>
            <w:tcW w:w="1183" w:type="dxa"/>
            <w:vAlign w:val="center"/>
          </w:tcPr>
          <w:p w14:paraId="20DC0139">
            <w:pPr>
              <w:spacing w:line="440" w:lineRule="exact"/>
              <w:jc w:val="center"/>
              <w:rPr>
                <w:rFonts w:hint="eastAsia"/>
                <w:highlight w:val="none"/>
              </w:rPr>
            </w:pPr>
            <w:r>
              <w:rPr>
                <w:rFonts w:hint="eastAsia"/>
                <w:highlight w:val="none"/>
                <w:lang w:val="en-US" w:eastAsia="zh-CN"/>
              </w:rPr>
              <w:t>控制</w:t>
            </w:r>
            <w:r>
              <w:rPr>
                <w:rFonts w:hint="eastAsia"/>
                <w:highlight w:val="none"/>
              </w:rPr>
              <w:t>单价</w:t>
            </w:r>
          </w:p>
          <w:p w14:paraId="035EE93A">
            <w:pPr>
              <w:spacing w:line="440" w:lineRule="exact"/>
              <w:jc w:val="center"/>
              <w:rPr>
                <w:highlight w:val="none"/>
              </w:rPr>
            </w:pPr>
            <w:r>
              <w:rPr>
                <w:rFonts w:hint="eastAsia"/>
                <w:highlight w:val="none"/>
              </w:rPr>
              <w:t>（元</w:t>
            </w:r>
            <w:r>
              <w:rPr>
                <w:rFonts w:hint="eastAsia"/>
                <w:highlight w:val="none"/>
                <w:lang w:val="en-US" w:eastAsia="zh-CN"/>
              </w:rPr>
              <w:t>/人</w:t>
            </w:r>
            <w:r>
              <w:rPr>
                <w:rFonts w:hint="eastAsia"/>
                <w:highlight w:val="none"/>
              </w:rPr>
              <w:t>）</w:t>
            </w:r>
          </w:p>
        </w:tc>
        <w:tc>
          <w:tcPr>
            <w:tcW w:w="674" w:type="dxa"/>
            <w:vAlign w:val="center"/>
          </w:tcPr>
          <w:p w14:paraId="24890922">
            <w:pPr>
              <w:spacing w:line="440" w:lineRule="exact"/>
              <w:jc w:val="center"/>
              <w:rPr>
                <w:highlight w:val="none"/>
              </w:rPr>
            </w:pPr>
            <w:r>
              <w:rPr>
                <w:rFonts w:hint="eastAsia"/>
                <w:highlight w:val="none"/>
              </w:rPr>
              <w:t>暂估量</w:t>
            </w:r>
          </w:p>
        </w:tc>
        <w:tc>
          <w:tcPr>
            <w:tcW w:w="1074" w:type="dxa"/>
            <w:vAlign w:val="center"/>
          </w:tcPr>
          <w:p w14:paraId="3AA8D4A6">
            <w:pPr>
              <w:spacing w:line="440" w:lineRule="exact"/>
              <w:jc w:val="center"/>
              <w:rPr>
                <w:rFonts w:hint="eastAsia"/>
                <w:highlight w:val="none"/>
                <w:lang w:val="en-US" w:eastAsia="zh-CN"/>
              </w:rPr>
            </w:pPr>
            <w:r>
              <w:rPr>
                <w:rFonts w:hint="eastAsia"/>
                <w:highlight w:val="none"/>
                <w:lang w:val="en-US" w:eastAsia="zh-CN"/>
              </w:rPr>
              <w:t>合计</w:t>
            </w:r>
          </w:p>
          <w:p w14:paraId="3B9DC8DD">
            <w:pPr>
              <w:spacing w:line="440" w:lineRule="exact"/>
              <w:jc w:val="center"/>
              <w:rPr>
                <w:rFonts w:hint="eastAsia"/>
                <w:highlight w:val="none"/>
              </w:rPr>
            </w:pPr>
            <w:r>
              <w:rPr>
                <w:rFonts w:hint="eastAsia"/>
                <w:highlight w:val="none"/>
              </w:rPr>
              <w:t>（元）</w:t>
            </w:r>
          </w:p>
        </w:tc>
      </w:tr>
      <w:tr w14:paraId="0425FD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trPr>
        <w:tc>
          <w:tcPr>
            <w:tcW w:w="725" w:type="dxa"/>
            <w:vAlign w:val="center"/>
          </w:tcPr>
          <w:p w14:paraId="14B1082F">
            <w:pPr>
              <w:spacing w:line="440" w:lineRule="exact"/>
              <w:jc w:val="center"/>
              <w:rPr>
                <w:highlight w:val="none"/>
              </w:rPr>
            </w:pPr>
            <w:r>
              <w:rPr>
                <w:rFonts w:hint="eastAsia"/>
                <w:highlight w:val="none"/>
              </w:rPr>
              <w:t>1</w:t>
            </w:r>
          </w:p>
        </w:tc>
        <w:tc>
          <w:tcPr>
            <w:tcW w:w="1146" w:type="dxa"/>
            <w:vAlign w:val="center"/>
          </w:tcPr>
          <w:p w14:paraId="209394C9">
            <w:pPr>
              <w:spacing w:line="440" w:lineRule="exact"/>
              <w:rPr>
                <w:rFonts w:hint="eastAsia" w:eastAsia="宋体"/>
                <w:highlight w:val="none"/>
                <w:lang w:eastAsia="zh-CN"/>
              </w:rPr>
            </w:pPr>
            <w:r>
              <w:rPr>
                <w:rFonts w:hint="eastAsia"/>
              </w:rPr>
              <w:t>电动保洁三轮车</w:t>
            </w:r>
            <w:r>
              <w:rPr>
                <w:rFonts w:hint="eastAsia"/>
                <w:lang w:eastAsia="zh-CN"/>
              </w:rPr>
              <w:t>（</w:t>
            </w:r>
            <w:r>
              <w:rPr>
                <w:rFonts w:hint="eastAsia"/>
                <w:lang w:val="en-US" w:eastAsia="zh-CN"/>
              </w:rPr>
              <w:t>加雨棚</w:t>
            </w:r>
            <w:r>
              <w:rPr>
                <w:rFonts w:hint="eastAsia"/>
                <w:lang w:eastAsia="zh-CN"/>
              </w:rPr>
              <w:t>）</w:t>
            </w:r>
          </w:p>
        </w:tc>
        <w:tc>
          <w:tcPr>
            <w:tcW w:w="4500" w:type="dxa"/>
            <w:vAlign w:val="center"/>
          </w:tcPr>
          <w:p w14:paraId="070849D1">
            <w:pPr>
              <w:rPr>
                <w:rFonts w:hint="eastAsia"/>
              </w:rPr>
            </w:pPr>
            <w:r>
              <w:rPr>
                <w:rFonts w:hint="eastAsia"/>
                <w:lang w:val="en-US" w:eastAsia="zh-CN"/>
              </w:rPr>
              <w:t>1.</w:t>
            </w:r>
            <w:r>
              <w:rPr>
                <w:rFonts w:hint="eastAsia"/>
              </w:rPr>
              <w:t>电池</w:t>
            </w:r>
            <w:r>
              <w:rPr>
                <w:rFonts w:hint="eastAsia"/>
                <w:lang w:val="en-US" w:eastAsia="zh-CN"/>
              </w:rPr>
              <w:t>≥</w:t>
            </w:r>
            <w:r>
              <w:rPr>
                <w:rFonts w:hint="eastAsia"/>
              </w:rPr>
              <w:t>48V32Ah，铅酸免维护电池</w:t>
            </w:r>
          </w:p>
          <w:p w14:paraId="4AFF95B0">
            <w:pPr>
              <w:rPr>
                <w:rFonts w:hint="eastAsia"/>
              </w:rPr>
            </w:pPr>
            <w:r>
              <w:rPr>
                <w:rFonts w:hint="eastAsia"/>
                <w:lang w:val="en-US" w:eastAsia="zh-CN"/>
              </w:rPr>
              <w:t>2.</w:t>
            </w:r>
            <w:r>
              <w:rPr>
                <w:rFonts w:hint="eastAsia"/>
              </w:rPr>
              <w:t>电机≥580W直流无刷电机，IP54防护等级</w:t>
            </w:r>
          </w:p>
          <w:p w14:paraId="0B4EBA2F">
            <w:pPr>
              <w:rPr>
                <w:rFonts w:hint="eastAsia"/>
              </w:rPr>
            </w:pPr>
            <w:r>
              <w:rPr>
                <w:rFonts w:hint="eastAsia" w:ascii="宋体" w:hAnsi="宋体" w:eastAsia="宋体" w:cs="宋体"/>
                <w:sz w:val="24"/>
                <w:szCs w:val="24"/>
                <w:highlight w:val="none"/>
              </w:rPr>
              <w:t>★</w:t>
            </w:r>
            <w:r>
              <w:rPr>
                <w:rFonts w:hint="eastAsia"/>
                <w:lang w:val="en-US" w:eastAsia="zh-CN"/>
              </w:rPr>
              <w:t>3.</w:t>
            </w:r>
            <w:r>
              <w:rPr>
                <w:rFonts w:hint="eastAsia"/>
              </w:rPr>
              <w:t>控制器智能自保护控制器，电控防护等级IP65</w:t>
            </w:r>
          </w:p>
          <w:p w14:paraId="290D0B7B">
            <w:pPr>
              <w:rPr>
                <w:rFonts w:hint="eastAsia"/>
              </w:rPr>
            </w:pPr>
            <w:r>
              <w:rPr>
                <w:rFonts w:hint="eastAsia"/>
                <w:lang w:val="en-US" w:eastAsia="zh-CN"/>
              </w:rPr>
              <w:t>4.</w:t>
            </w:r>
            <w:r>
              <w:rPr>
                <w:rFonts w:hint="eastAsia"/>
              </w:rPr>
              <w:t>整车尺寸</w:t>
            </w:r>
            <w:r>
              <w:rPr>
                <w:rFonts w:hint="eastAsia"/>
                <w:lang w:val="en-US" w:eastAsia="zh-CN"/>
              </w:rPr>
              <w:t>≥</w:t>
            </w:r>
            <w:r>
              <w:rPr>
                <w:rFonts w:hint="eastAsia"/>
              </w:rPr>
              <w:t>2440</w:t>
            </w:r>
            <w:r>
              <w:rPr>
                <w:rFonts w:hint="eastAsia"/>
                <w:lang w:val="en-US" w:eastAsia="zh-CN"/>
              </w:rPr>
              <w:t>*990*</w:t>
            </w:r>
            <w:r>
              <w:rPr>
                <w:rFonts w:hint="eastAsia"/>
              </w:rPr>
              <w:t>1100mm（±3%，不含后视镜）</w:t>
            </w:r>
          </w:p>
          <w:p w14:paraId="05FA81AF">
            <w:pPr>
              <w:rPr>
                <w:rFonts w:hint="eastAsia"/>
              </w:rPr>
            </w:pPr>
            <w:r>
              <w:rPr>
                <w:rFonts w:hint="eastAsia"/>
                <w:lang w:val="en-US" w:eastAsia="zh-CN"/>
              </w:rPr>
              <w:t>5.</w:t>
            </w:r>
            <w:r>
              <w:rPr>
                <w:rFonts w:hint="eastAsia"/>
              </w:rPr>
              <w:t>厢体容积≥500L</w:t>
            </w:r>
          </w:p>
          <w:p w14:paraId="59BCD8B9">
            <w:pPr>
              <w:rPr>
                <w:rFonts w:hint="eastAsia"/>
              </w:rPr>
            </w:pPr>
            <w:r>
              <w:rPr>
                <w:rFonts w:hint="eastAsia"/>
                <w:lang w:val="en-US" w:eastAsia="zh-CN"/>
              </w:rPr>
              <w:t>6.</w:t>
            </w:r>
            <w:r>
              <w:rPr>
                <w:rFonts w:hint="eastAsia"/>
              </w:rPr>
              <w:t>额定载荷≥150kg</w:t>
            </w:r>
          </w:p>
          <w:p w14:paraId="455413BF">
            <w:pPr>
              <w:rPr>
                <w:rFonts w:hint="eastAsia"/>
              </w:rPr>
            </w:pPr>
            <w:r>
              <w:rPr>
                <w:rFonts w:hint="eastAsia"/>
                <w:lang w:val="en-US" w:eastAsia="zh-CN"/>
              </w:rPr>
              <w:t>7.</w:t>
            </w:r>
            <w:r>
              <w:rPr>
                <w:rFonts w:hint="eastAsia"/>
              </w:rPr>
              <w:t>续航里程≥45km</w:t>
            </w:r>
          </w:p>
          <w:p w14:paraId="4D89D98B">
            <w:pPr>
              <w:rPr>
                <w:rFonts w:hint="eastAsia"/>
              </w:rPr>
            </w:pPr>
            <w:r>
              <w:rPr>
                <w:rFonts w:hint="eastAsia" w:ascii="宋体" w:hAnsi="宋体" w:eastAsia="宋体" w:cs="宋体"/>
                <w:sz w:val="24"/>
                <w:szCs w:val="24"/>
                <w:highlight w:val="none"/>
              </w:rPr>
              <w:t>★</w:t>
            </w:r>
            <w:r>
              <w:rPr>
                <w:rFonts w:hint="eastAsia"/>
                <w:lang w:val="en-US" w:eastAsia="zh-CN"/>
              </w:rPr>
              <w:t>8.</w:t>
            </w:r>
            <w:r>
              <w:rPr>
                <w:rFonts w:hint="eastAsia"/>
              </w:rPr>
              <w:t>制动系统后鼓式制动+驻车制动装置</w:t>
            </w:r>
          </w:p>
          <w:p w14:paraId="7BD7DE5B">
            <w:pPr>
              <w:rPr>
                <w:rFonts w:hint="eastAsia" w:eastAsia="宋体"/>
                <w:lang w:eastAsia="zh-CN"/>
              </w:rPr>
            </w:pPr>
            <w:r>
              <w:rPr>
                <w:rFonts w:hint="eastAsia" w:ascii="宋体" w:hAnsi="宋体" w:eastAsia="宋体" w:cs="宋体"/>
                <w:sz w:val="24"/>
                <w:szCs w:val="24"/>
                <w:highlight w:val="none"/>
              </w:rPr>
              <w:t>★</w:t>
            </w:r>
            <w:r>
              <w:rPr>
                <w:rFonts w:hint="eastAsia"/>
                <w:lang w:val="en-US" w:eastAsia="zh-CN"/>
              </w:rPr>
              <w:t>9.</w:t>
            </w:r>
            <w:r>
              <w:rPr>
                <w:rFonts w:hint="eastAsia"/>
              </w:rPr>
              <w:t>车架高强度碳钢框架结构，气体保护焊焊接，电泳防腐</w:t>
            </w:r>
          </w:p>
          <w:p w14:paraId="3FDAD574">
            <w:pPr>
              <w:rPr>
                <w:rFonts w:hint="eastAsia"/>
              </w:rPr>
            </w:pPr>
            <w:r>
              <w:rPr>
                <w:rFonts w:hint="eastAsia" w:ascii="宋体" w:hAnsi="宋体" w:eastAsia="宋体" w:cs="宋体"/>
                <w:sz w:val="24"/>
                <w:szCs w:val="24"/>
                <w:highlight w:val="none"/>
              </w:rPr>
              <w:t>★</w:t>
            </w:r>
            <w:r>
              <w:rPr>
                <w:rFonts w:hint="eastAsia"/>
                <w:lang w:val="en-US" w:eastAsia="zh-CN"/>
              </w:rPr>
              <w:t>10.</w:t>
            </w:r>
            <w:r>
              <w:rPr>
                <w:rFonts w:hint="eastAsia"/>
              </w:rPr>
              <w:t>减震前双筒式液压减震器</w:t>
            </w:r>
          </w:p>
          <w:p w14:paraId="7CD8B57A">
            <w:pPr>
              <w:rPr>
                <w:rFonts w:hint="eastAsia"/>
              </w:rPr>
            </w:pPr>
            <w:r>
              <w:rPr>
                <w:rFonts w:hint="eastAsia" w:ascii="宋体" w:hAnsi="宋体" w:eastAsia="宋体" w:cs="宋体"/>
                <w:sz w:val="24"/>
                <w:szCs w:val="24"/>
                <w:highlight w:val="none"/>
              </w:rPr>
              <w:t>★</w:t>
            </w:r>
            <w:r>
              <w:rPr>
                <w:rFonts w:hint="eastAsia"/>
                <w:lang w:val="en-US" w:eastAsia="zh-CN"/>
              </w:rPr>
              <w:t>11.</w:t>
            </w:r>
            <w:r>
              <w:rPr>
                <w:rFonts w:hint="eastAsia"/>
              </w:rPr>
              <w:t>灯光信号LED大灯、转向灯、刹车灯、倒车报警器，配备</w:t>
            </w:r>
            <w:r>
              <w:rPr>
                <w:rFonts w:hint="eastAsia"/>
                <w:lang w:val="en-US" w:eastAsia="zh-CN"/>
              </w:rPr>
              <w:t>GPS、</w:t>
            </w:r>
            <w:r>
              <w:rPr>
                <w:rFonts w:hint="eastAsia"/>
              </w:rPr>
              <w:t>爆闪警示灯</w:t>
            </w:r>
            <w:r>
              <w:rPr>
                <w:rFonts w:hint="eastAsia"/>
                <w:lang w:eastAsia="zh-CN"/>
              </w:rPr>
              <w:t>、</w:t>
            </w:r>
            <w:r>
              <w:rPr>
                <w:rFonts w:hint="eastAsia"/>
              </w:rPr>
              <w:t>雨刮器</w:t>
            </w:r>
            <w:r>
              <w:rPr>
                <w:rFonts w:hint="eastAsia"/>
                <w:lang w:eastAsia="zh-CN"/>
              </w:rPr>
              <w:t>、</w:t>
            </w:r>
            <w:r>
              <w:rPr>
                <w:rFonts w:hint="eastAsia"/>
              </w:rPr>
              <w:t>1套</w:t>
            </w:r>
          </w:p>
          <w:p w14:paraId="2F45B07F">
            <w:pPr>
              <w:spacing w:line="440" w:lineRule="exact"/>
              <w:rPr>
                <w:highlight w:val="none"/>
              </w:rPr>
            </w:pPr>
          </w:p>
        </w:tc>
        <w:tc>
          <w:tcPr>
            <w:tcW w:w="1183" w:type="dxa"/>
            <w:vAlign w:val="center"/>
          </w:tcPr>
          <w:p w14:paraId="07D02496">
            <w:pPr>
              <w:spacing w:line="440" w:lineRule="exact"/>
              <w:jc w:val="center"/>
              <w:rPr>
                <w:rFonts w:hint="default" w:eastAsia="宋体"/>
                <w:highlight w:val="none"/>
                <w:lang w:val="en-US" w:eastAsia="zh-CN"/>
              </w:rPr>
            </w:pPr>
            <w:r>
              <w:rPr>
                <w:rFonts w:hint="eastAsia"/>
                <w:highlight w:val="none"/>
                <w:lang w:val="en-US" w:eastAsia="zh-CN"/>
              </w:rPr>
              <w:t>6000</w:t>
            </w:r>
          </w:p>
        </w:tc>
        <w:tc>
          <w:tcPr>
            <w:tcW w:w="674" w:type="dxa"/>
            <w:vAlign w:val="center"/>
          </w:tcPr>
          <w:p w14:paraId="5BD7BD7A">
            <w:pPr>
              <w:spacing w:line="440" w:lineRule="exact"/>
              <w:jc w:val="center"/>
              <w:rPr>
                <w:rFonts w:hint="default" w:eastAsia="宋体"/>
                <w:highlight w:val="none"/>
                <w:lang w:val="en-US" w:eastAsia="zh-CN"/>
              </w:rPr>
            </w:pPr>
            <w:r>
              <w:rPr>
                <w:rFonts w:hint="eastAsia"/>
                <w:highlight w:val="none"/>
                <w:lang w:val="en-US" w:eastAsia="zh-CN"/>
              </w:rPr>
              <w:t>15</w:t>
            </w:r>
          </w:p>
        </w:tc>
        <w:tc>
          <w:tcPr>
            <w:tcW w:w="1074" w:type="dxa"/>
            <w:vAlign w:val="center"/>
          </w:tcPr>
          <w:p w14:paraId="75D2E86F">
            <w:pPr>
              <w:spacing w:line="440" w:lineRule="exact"/>
              <w:jc w:val="center"/>
              <w:rPr>
                <w:rFonts w:hint="default" w:eastAsia="宋体"/>
                <w:highlight w:val="none"/>
                <w:lang w:val="en-US" w:eastAsia="zh-CN"/>
              </w:rPr>
            </w:pPr>
            <w:r>
              <w:rPr>
                <w:rFonts w:hint="eastAsia"/>
                <w:highlight w:val="none"/>
                <w:lang w:val="en-US" w:eastAsia="zh-CN"/>
              </w:rPr>
              <w:t>90000</w:t>
            </w:r>
          </w:p>
        </w:tc>
      </w:tr>
      <w:tr w14:paraId="0CD3F2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trPr>
        <w:tc>
          <w:tcPr>
            <w:tcW w:w="725" w:type="dxa"/>
            <w:vAlign w:val="center"/>
          </w:tcPr>
          <w:p w14:paraId="6E3D1E95">
            <w:pPr>
              <w:spacing w:line="440" w:lineRule="exact"/>
              <w:jc w:val="center"/>
              <w:rPr>
                <w:rFonts w:hint="eastAsia"/>
                <w:highlight w:val="none"/>
              </w:rPr>
            </w:pPr>
          </w:p>
        </w:tc>
        <w:tc>
          <w:tcPr>
            <w:tcW w:w="1146" w:type="dxa"/>
            <w:vAlign w:val="center"/>
          </w:tcPr>
          <w:p w14:paraId="785FFC35">
            <w:pPr>
              <w:spacing w:line="440" w:lineRule="exact"/>
              <w:rPr>
                <w:rFonts w:ascii="宋体" w:hAnsi="宋体" w:eastAsia="宋体" w:cs="宋体"/>
                <w:sz w:val="24"/>
                <w:szCs w:val="24"/>
              </w:rPr>
            </w:pPr>
            <w:r>
              <w:rPr>
                <w:rFonts w:hint="eastAsia"/>
              </w:rPr>
              <w:t>三轮高压冲洗车</w:t>
            </w:r>
          </w:p>
        </w:tc>
        <w:tc>
          <w:tcPr>
            <w:tcW w:w="4500" w:type="dxa"/>
            <w:vAlign w:val="center"/>
          </w:tcPr>
          <w:p w14:paraId="07A809D8">
            <w:pPr>
              <w:rPr>
                <w:rFonts w:hint="eastAsia"/>
              </w:rPr>
            </w:pPr>
            <w:r>
              <w:rPr>
                <w:rFonts w:hint="eastAsia"/>
                <w:lang w:val="en-US" w:eastAsia="zh-CN"/>
              </w:rPr>
              <w:t>1.</w:t>
            </w:r>
            <w:r>
              <w:rPr>
                <w:rFonts w:hint="eastAsia"/>
              </w:rPr>
              <w:t>电池72V120Ah</w:t>
            </w:r>
            <w:r>
              <w:rPr>
                <w:rFonts w:hint="eastAsia"/>
                <w:lang w:eastAsia="zh-CN"/>
              </w:rPr>
              <w:t>，</w:t>
            </w:r>
            <w:r>
              <w:rPr>
                <w:rFonts w:hint="eastAsia"/>
              </w:rPr>
              <w:t>锂电池</w:t>
            </w:r>
          </w:p>
          <w:p w14:paraId="5CC8B25E">
            <w:pPr>
              <w:rPr>
                <w:rFonts w:hint="eastAsia"/>
              </w:rPr>
            </w:pPr>
            <w:r>
              <w:rPr>
                <w:rFonts w:hint="eastAsia"/>
                <w:lang w:val="en-US" w:eastAsia="zh-CN"/>
              </w:rPr>
              <w:t>2.</w:t>
            </w:r>
            <w:r>
              <w:rPr>
                <w:rFonts w:hint="eastAsia"/>
              </w:rPr>
              <w:t>驱动电机≥2.5KW直流无刷电机，防护等级IP54</w:t>
            </w:r>
          </w:p>
          <w:p w14:paraId="5E4E3D3F">
            <w:pPr>
              <w:rPr>
                <w:rFonts w:hint="eastAsia"/>
              </w:rPr>
            </w:pPr>
            <w:r>
              <w:rPr>
                <w:rFonts w:hint="eastAsia"/>
                <w:lang w:val="en-US" w:eastAsia="zh-CN"/>
              </w:rPr>
              <w:t>3.</w:t>
            </w:r>
            <w:r>
              <w:rPr>
                <w:rFonts w:hint="eastAsia"/>
              </w:rPr>
              <w:t>动力主机≥1</w:t>
            </w:r>
            <w:r>
              <w:rPr>
                <w:rFonts w:hint="eastAsia"/>
                <w:lang w:val="en-US" w:eastAsia="zh-CN"/>
              </w:rPr>
              <w:t>1</w:t>
            </w:r>
            <w:r>
              <w:rPr>
                <w:rFonts w:hint="eastAsia"/>
              </w:rPr>
              <w:t>HP单缸四冲程汽油机，适配92#及以上汽油</w:t>
            </w:r>
          </w:p>
          <w:p w14:paraId="39448697">
            <w:pPr>
              <w:rPr>
                <w:rFonts w:hint="eastAsia"/>
              </w:rPr>
            </w:pPr>
            <w:r>
              <w:rPr>
                <w:rFonts w:hint="eastAsia"/>
                <w:lang w:val="en-US" w:eastAsia="zh-CN"/>
              </w:rPr>
              <w:t>4.</w:t>
            </w:r>
            <w:r>
              <w:rPr>
                <w:rFonts w:hint="eastAsia"/>
              </w:rPr>
              <w:t>高压泵，压力</w:t>
            </w:r>
            <w:r>
              <w:rPr>
                <w:rFonts w:hint="eastAsia"/>
                <w:lang w:val="en-US" w:eastAsia="zh-CN"/>
              </w:rPr>
              <w:t>≤</w:t>
            </w:r>
            <w:r>
              <w:rPr>
                <w:rFonts w:hint="eastAsia"/>
              </w:rPr>
              <w:t>25MPa，流量</w:t>
            </w:r>
            <w:r>
              <w:rPr>
                <w:rFonts w:hint="eastAsia"/>
                <w:lang w:val="en-US" w:eastAsia="zh-CN"/>
              </w:rPr>
              <w:t>≤</w:t>
            </w:r>
            <w:r>
              <w:rPr>
                <w:rFonts w:hint="eastAsia"/>
              </w:rPr>
              <w:t>18L/min</w:t>
            </w:r>
          </w:p>
          <w:p w14:paraId="57AA9378">
            <w:pPr>
              <w:rPr>
                <w:rFonts w:hint="eastAsia"/>
              </w:rPr>
            </w:pPr>
            <w:r>
              <w:rPr>
                <w:rFonts w:hint="eastAsia"/>
                <w:lang w:val="en-US" w:eastAsia="zh-CN"/>
              </w:rPr>
              <w:t>5.</w:t>
            </w:r>
            <w:r>
              <w:rPr>
                <w:rFonts w:hint="eastAsia"/>
              </w:rPr>
              <w:t>水箱容积≥1000L整体加厚滚塑水箱</w:t>
            </w:r>
          </w:p>
          <w:p w14:paraId="4044E163">
            <w:pPr>
              <w:rPr>
                <w:rFonts w:hint="eastAsia"/>
              </w:rPr>
            </w:pPr>
            <w:r>
              <w:rPr>
                <w:rFonts w:hint="eastAsia" w:ascii="宋体" w:hAnsi="宋体" w:eastAsia="宋体" w:cs="宋体"/>
                <w:sz w:val="24"/>
                <w:szCs w:val="24"/>
                <w:highlight w:val="none"/>
              </w:rPr>
              <w:t>★</w:t>
            </w:r>
            <w:r>
              <w:rPr>
                <w:rFonts w:hint="eastAsia"/>
                <w:lang w:val="en-US" w:eastAsia="zh-CN"/>
              </w:rPr>
              <w:t>6.</w:t>
            </w:r>
            <w:r>
              <w:rPr>
                <w:rFonts w:hint="eastAsia"/>
              </w:rPr>
              <w:t>油箱容积≥20L</w:t>
            </w:r>
          </w:p>
          <w:p w14:paraId="2E1BC997">
            <w:pPr>
              <w:rPr>
                <w:rFonts w:hint="eastAsia"/>
              </w:rPr>
            </w:pPr>
            <w:r>
              <w:rPr>
                <w:rFonts w:hint="eastAsia"/>
                <w:lang w:val="en-US" w:eastAsia="zh-CN"/>
              </w:rPr>
              <w:t>7.</w:t>
            </w:r>
            <w:r>
              <w:rPr>
                <w:rFonts w:hint="eastAsia"/>
              </w:rPr>
              <w:t>续航里程≥</w:t>
            </w:r>
            <w:r>
              <w:rPr>
                <w:rFonts w:hint="eastAsia"/>
                <w:lang w:val="en-US" w:eastAsia="zh-CN"/>
              </w:rPr>
              <w:t>60</w:t>
            </w:r>
            <w:r>
              <w:rPr>
                <w:rFonts w:hint="eastAsia"/>
              </w:rPr>
              <w:t>km</w:t>
            </w:r>
          </w:p>
          <w:p w14:paraId="5629FB60">
            <w:pPr>
              <w:rPr>
                <w:rFonts w:hint="eastAsia"/>
              </w:rPr>
            </w:pPr>
            <w:r>
              <w:rPr>
                <w:rFonts w:hint="eastAsia"/>
                <w:lang w:val="en-US" w:eastAsia="zh-CN"/>
              </w:rPr>
              <w:t>7.</w:t>
            </w:r>
            <w:r>
              <w:rPr>
                <w:rFonts w:hint="eastAsia"/>
              </w:rPr>
              <w:t>整车外形尺寸</w:t>
            </w:r>
            <w:r>
              <w:rPr>
                <w:rFonts w:hint="eastAsia"/>
                <w:lang w:val="en-US" w:eastAsia="zh-CN"/>
              </w:rPr>
              <w:t>≥3570*</w:t>
            </w:r>
            <w:r>
              <w:rPr>
                <w:rFonts w:hint="eastAsia"/>
              </w:rPr>
              <w:t>1210</w:t>
            </w:r>
            <w:r>
              <w:rPr>
                <w:rFonts w:hint="eastAsia"/>
                <w:lang w:val="en-US" w:eastAsia="zh-CN"/>
              </w:rPr>
              <w:t>*</w:t>
            </w:r>
            <w:r>
              <w:rPr>
                <w:rFonts w:hint="eastAsia"/>
              </w:rPr>
              <w:t>17</w:t>
            </w:r>
            <w:r>
              <w:rPr>
                <w:rFonts w:hint="eastAsia"/>
                <w:lang w:val="en-US" w:eastAsia="zh-CN"/>
              </w:rPr>
              <w:t>80</w:t>
            </w:r>
            <w:r>
              <w:rPr>
                <w:rFonts w:hint="eastAsia"/>
              </w:rPr>
              <w:t>mm（±3%）</w:t>
            </w:r>
          </w:p>
          <w:p w14:paraId="1D1F08A7">
            <w:pPr>
              <w:rPr>
                <w:rFonts w:hint="eastAsia"/>
              </w:rPr>
            </w:pPr>
            <w:r>
              <w:rPr>
                <w:rFonts w:hint="eastAsia"/>
                <w:lang w:val="en-US" w:eastAsia="zh-CN"/>
              </w:rPr>
              <w:t>8.</w:t>
            </w:r>
            <w:r>
              <w:rPr>
                <w:rFonts w:hint="eastAsia"/>
              </w:rPr>
              <w:t>整备质量≥</w:t>
            </w:r>
            <w:r>
              <w:rPr>
                <w:rFonts w:hint="eastAsia"/>
                <w:lang w:val="en-US" w:eastAsia="zh-CN"/>
              </w:rPr>
              <w:t>800</w:t>
            </w:r>
            <w:r>
              <w:rPr>
                <w:rFonts w:hint="eastAsia"/>
              </w:rPr>
              <w:t>kg</w:t>
            </w:r>
          </w:p>
          <w:p w14:paraId="4FC87BCB">
            <w:pPr>
              <w:rPr>
                <w:rFonts w:hint="eastAsia"/>
              </w:rPr>
            </w:pPr>
            <w:r>
              <w:rPr>
                <w:rFonts w:hint="eastAsia" w:ascii="宋体" w:hAnsi="宋体" w:eastAsia="宋体" w:cs="宋体"/>
                <w:sz w:val="24"/>
                <w:szCs w:val="24"/>
                <w:highlight w:val="none"/>
              </w:rPr>
              <w:t>★</w:t>
            </w:r>
            <w:r>
              <w:rPr>
                <w:rFonts w:hint="eastAsia"/>
                <w:lang w:val="en-US" w:eastAsia="zh-CN"/>
              </w:rPr>
              <w:t>9.</w:t>
            </w:r>
            <w:r>
              <w:rPr>
                <w:rFonts w:hint="eastAsia"/>
              </w:rPr>
              <w:t>制动系统后轮毂机械制动+驻车制动；</w:t>
            </w:r>
          </w:p>
          <w:p w14:paraId="67247F0B">
            <w:pPr>
              <w:rPr>
                <w:rFonts w:hint="eastAsia"/>
              </w:rPr>
            </w:pPr>
            <w:r>
              <w:rPr>
                <w:rFonts w:hint="eastAsia" w:ascii="宋体" w:hAnsi="宋体" w:eastAsia="宋体" w:cs="宋体"/>
                <w:sz w:val="24"/>
                <w:szCs w:val="24"/>
                <w:highlight w:val="none"/>
              </w:rPr>
              <w:t>★</w:t>
            </w:r>
            <w:r>
              <w:rPr>
                <w:rFonts w:hint="eastAsia"/>
                <w:lang w:val="en-US" w:eastAsia="zh-CN"/>
              </w:rPr>
              <w:t>10.</w:t>
            </w:r>
            <w:r>
              <w:rPr>
                <w:rFonts w:hint="eastAsia"/>
              </w:rPr>
              <w:t>转向龙头把式转向机构</w:t>
            </w:r>
          </w:p>
          <w:p w14:paraId="212A9512">
            <w:pPr>
              <w:rPr>
                <w:rFonts w:hint="eastAsia"/>
              </w:rPr>
            </w:pPr>
            <w:r>
              <w:rPr>
                <w:rFonts w:hint="eastAsia" w:ascii="宋体" w:hAnsi="宋体" w:eastAsia="宋体" w:cs="宋体"/>
                <w:sz w:val="24"/>
                <w:szCs w:val="24"/>
                <w:highlight w:val="none"/>
              </w:rPr>
              <w:t>★</w:t>
            </w:r>
            <w:r>
              <w:rPr>
                <w:rFonts w:hint="eastAsia"/>
                <w:lang w:val="en-US" w:eastAsia="zh-CN"/>
              </w:rPr>
              <w:t>11.</w:t>
            </w:r>
            <w:r>
              <w:rPr>
                <w:rFonts w:hint="eastAsia"/>
              </w:rPr>
              <w:t>悬挂系统前叉双筒外簧式液压减震器；后钢板弹簧悬挂</w:t>
            </w:r>
          </w:p>
          <w:p w14:paraId="317D8713">
            <w:pPr>
              <w:rPr>
                <w:rFonts w:hint="eastAsia"/>
              </w:rPr>
            </w:pPr>
            <w:r>
              <w:rPr>
                <w:rFonts w:hint="eastAsia"/>
                <w:lang w:val="en-US" w:eastAsia="zh-CN"/>
              </w:rPr>
              <w:t>12.</w:t>
            </w:r>
            <w:r>
              <w:rPr>
                <w:rFonts w:hint="eastAsia"/>
              </w:rPr>
              <w:t>冲洗配置前部对冲冲洗+手持高压冲洗；双层钢丝高压软管≥15m，配置卷管器；配备爆闪警示灯</w:t>
            </w:r>
          </w:p>
          <w:p w14:paraId="61254CF2">
            <w:pPr>
              <w:rPr>
                <w:rFonts w:hint="eastAsia"/>
              </w:rPr>
            </w:pPr>
            <w:r>
              <w:rPr>
                <w:rFonts w:hint="eastAsia" w:ascii="宋体" w:hAnsi="宋体" w:eastAsia="宋体" w:cs="宋体"/>
                <w:sz w:val="24"/>
                <w:szCs w:val="24"/>
                <w:highlight w:val="none"/>
              </w:rPr>
              <w:t>★</w:t>
            </w:r>
            <w:r>
              <w:rPr>
                <w:rFonts w:hint="eastAsia"/>
                <w:lang w:val="en-US" w:eastAsia="zh-CN"/>
              </w:rPr>
              <w:t>13.</w:t>
            </w:r>
            <w:r>
              <w:rPr>
                <w:rFonts w:hint="eastAsia"/>
              </w:rPr>
              <w:t>驾驶室双大灯封闭式驾驶室，钢化玻璃，雨刮器，中网；皮革座椅；后视镜；组合大灯、转向灯、倒车蜂鸣器、刹车灯、倒车灯、警示灯</w:t>
            </w:r>
            <w:r>
              <w:rPr>
                <w:rFonts w:hint="eastAsia"/>
                <w:lang w:eastAsia="zh-CN"/>
              </w:rPr>
              <w:t>、</w:t>
            </w:r>
            <w:r>
              <w:rPr>
                <w:rFonts w:hint="eastAsia"/>
                <w:lang w:val="en-US" w:eastAsia="zh-CN"/>
              </w:rPr>
              <w:t>GPS</w:t>
            </w:r>
            <w:r>
              <w:rPr>
                <w:rFonts w:hint="eastAsia"/>
              </w:rPr>
              <w:t>；金属车箱</w:t>
            </w:r>
          </w:p>
          <w:p w14:paraId="1C3BC915">
            <w:pPr>
              <w:rPr>
                <w:rFonts w:hint="eastAsia"/>
              </w:rPr>
            </w:pPr>
            <w:r>
              <w:rPr>
                <w:rFonts w:hint="eastAsia" w:ascii="宋体" w:hAnsi="宋体" w:eastAsia="宋体" w:cs="宋体"/>
                <w:sz w:val="24"/>
                <w:szCs w:val="24"/>
                <w:highlight w:val="none"/>
              </w:rPr>
              <w:t>★</w:t>
            </w:r>
            <w:r>
              <w:rPr>
                <w:rFonts w:hint="eastAsia"/>
                <w:lang w:val="en-US" w:eastAsia="zh-CN"/>
              </w:rPr>
              <w:t>14.</w:t>
            </w:r>
            <w:r>
              <w:rPr>
                <w:rFonts w:hint="eastAsia"/>
              </w:rPr>
              <w:t>后桥一体式电动差速后桥，带高低速档位</w:t>
            </w:r>
          </w:p>
          <w:p w14:paraId="154BD8ED">
            <w:pPr>
              <w:rPr>
                <w:rFonts w:hint="eastAsia"/>
              </w:rPr>
            </w:pPr>
            <w:r>
              <w:rPr>
                <w:rFonts w:hint="eastAsia"/>
                <w:lang w:val="en-US" w:eastAsia="zh-CN"/>
              </w:rPr>
              <w:t>15.</w:t>
            </w:r>
            <w:r>
              <w:rPr>
                <w:rFonts w:hint="eastAsia"/>
              </w:rPr>
              <w:t>电控电控防护等级IP65，无级变速控制系统</w:t>
            </w:r>
          </w:p>
          <w:p w14:paraId="0A44FBBD">
            <w:pPr>
              <w:spacing w:line="440" w:lineRule="exact"/>
              <w:rPr>
                <w:rFonts w:hint="eastAsia"/>
                <w:highlight w:val="none"/>
              </w:rPr>
            </w:pPr>
          </w:p>
        </w:tc>
        <w:tc>
          <w:tcPr>
            <w:tcW w:w="1183" w:type="dxa"/>
            <w:vAlign w:val="center"/>
          </w:tcPr>
          <w:p w14:paraId="79DC1B60">
            <w:pPr>
              <w:spacing w:line="440" w:lineRule="exact"/>
              <w:jc w:val="center"/>
              <w:rPr>
                <w:rFonts w:hint="default"/>
                <w:highlight w:val="none"/>
                <w:lang w:val="en-US" w:eastAsia="zh-CN"/>
              </w:rPr>
            </w:pPr>
            <w:r>
              <w:rPr>
                <w:rFonts w:hint="eastAsia"/>
                <w:highlight w:val="none"/>
                <w:lang w:val="en-US" w:eastAsia="zh-CN"/>
              </w:rPr>
              <w:t>38000</w:t>
            </w:r>
          </w:p>
        </w:tc>
        <w:tc>
          <w:tcPr>
            <w:tcW w:w="674" w:type="dxa"/>
            <w:vAlign w:val="center"/>
          </w:tcPr>
          <w:p w14:paraId="1396DC22">
            <w:pPr>
              <w:spacing w:line="440" w:lineRule="exact"/>
              <w:jc w:val="center"/>
              <w:rPr>
                <w:rFonts w:hint="default"/>
                <w:highlight w:val="none"/>
                <w:lang w:val="en-US" w:eastAsia="zh-CN"/>
              </w:rPr>
            </w:pPr>
            <w:r>
              <w:rPr>
                <w:rFonts w:hint="eastAsia"/>
                <w:highlight w:val="none"/>
                <w:lang w:val="en-US" w:eastAsia="zh-CN"/>
              </w:rPr>
              <w:t>6</w:t>
            </w:r>
          </w:p>
        </w:tc>
        <w:tc>
          <w:tcPr>
            <w:tcW w:w="1074" w:type="dxa"/>
            <w:vAlign w:val="center"/>
          </w:tcPr>
          <w:p w14:paraId="6ABAFF2A">
            <w:pPr>
              <w:spacing w:line="440" w:lineRule="exact"/>
              <w:jc w:val="center"/>
              <w:rPr>
                <w:rFonts w:hint="default"/>
                <w:highlight w:val="none"/>
                <w:lang w:val="en-US" w:eastAsia="zh-CN"/>
              </w:rPr>
            </w:pPr>
            <w:r>
              <w:rPr>
                <w:rFonts w:hint="eastAsia"/>
                <w:highlight w:val="none"/>
                <w:lang w:val="en-US" w:eastAsia="zh-CN"/>
              </w:rPr>
              <w:t>228000</w:t>
            </w:r>
          </w:p>
        </w:tc>
      </w:tr>
      <w:tr w14:paraId="015223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trPr>
        <w:tc>
          <w:tcPr>
            <w:tcW w:w="725" w:type="dxa"/>
            <w:tcBorders>
              <w:bottom w:val="single" w:color="auto" w:sz="4" w:space="0"/>
            </w:tcBorders>
            <w:vAlign w:val="center"/>
          </w:tcPr>
          <w:p w14:paraId="67243803">
            <w:pPr>
              <w:spacing w:line="440" w:lineRule="exact"/>
              <w:jc w:val="center"/>
              <w:rPr>
                <w:rFonts w:hint="eastAsia"/>
                <w:highlight w:val="none"/>
              </w:rPr>
            </w:pPr>
          </w:p>
        </w:tc>
        <w:tc>
          <w:tcPr>
            <w:tcW w:w="1146" w:type="dxa"/>
            <w:tcBorders>
              <w:bottom w:val="single" w:color="auto" w:sz="4" w:space="0"/>
            </w:tcBorders>
            <w:vAlign w:val="center"/>
          </w:tcPr>
          <w:p w14:paraId="406FA710">
            <w:pPr>
              <w:spacing w:line="440" w:lineRule="exact"/>
              <w:rPr>
                <w:rFonts w:ascii="宋体" w:hAnsi="宋体" w:eastAsia="宋体" w:cs="宋体"/>
                <w:sz w:val="24"/>
                <w:szCs w:val="24"/>
              </w:rPr>
            </w:pPr>
            <w:r>
              <w:rPr>
                <w:rFonts w:hint="eastAsia"/>
              </w:rPr>
              <w:t>三轮翻桶清运车</w:t>
            </w:r>
          </w:p>
        </w:tc>
        <w:tc>
          <w:tcPr>
            <w:tcW w:w="4500" w:type="dxa"/>
            <w:tcBorders>
              <w:bottom w:val="single" w:color="auto" w:sz="4" w:space="0"/>
            </w:tcBorders>
            <w:vAlign w:val="center"/>
          </w:tcPr>
          <w:p w14:paraId="11BC151B">
            <w:pPr>
              <w:numPr>
                <w:ilvl w:val="0"/>
                <w:numId w:val="0"/>
              </w:numPr>
              <w:rPr>
                <w:rFonts w:hint="eastAsia"/>
              </w:rPr>
            </w:pPr>
            <w:r>
              <w:rPr>
                <w:rFonts w:hint="eastAsia"/>
                <w:lang w:val="en-US" w:eastAsia="zh-CN"/>
              </w:rPr>
              <w:t>1.</w:t>
            </w:r>
            <w:r>
              <w:rPr>
                <w:rFonts w:hint="eastAsia"/>
              </w:rPr>
              <w:t>电池72V135Ah</w:t>
            </w:r>
            <w:r>
              <w:rPr>
                <w:rFonts w:hint="eastAsia"/>
                <w:lang w:val="en-US" w:eastAsia="zh-CN"/>
              </w:rPr>
              <w:t>锂电池</w:t>
            </w:r>
          </w:p>
          <w:p w14:paraId="30BD9998">
            <w:pPr>
              <w:numPr>
                <w:ilvl w:val="0"/>
                <w:numId w:val="0"/>
              </w:numPr>
              <w:rPr>
                <w:rFonts w:hint="eastAsia"/>
              </w:rPr>
            </w:pPr>
            <w:r>
              <w:rPr>
                <w:rFonts w:hint="eastAsia"/>
                <w:lang w:val="en-US" w:eastAsia="zh-CN"/>
              </w:rPr>
              <w:t>2.</w:t>
            </w:r>
            <w:r>
              <w:rPr>
                <w:rFonts w:hint="eastAsia"/>
              </w:rPr>
              <w:t>驱动电机≥3KW直流无刷电机，IP54防护等级</w:t>
            </w:r>
          </w:p>
          <w:p w14:paraId="70FE2EE7">
            <w:pPr>
              <w:rPr>
                <w:rFonts w:hint="eastAsia"/>
              </w:rPr>
            </w:pPr>
            <w:r>
              <w:rPr>
                <w:rFonts w:hint="eastAsia"/>
                <w:lang w:val="en-US" w:eastAsia="zh-CN"/>
              </w:rPr>
              <w:t>3.</w:t>
            </w:r>
            <w:r>
              <w:rPr>
                <w:rFonts w:hint="eastAsia"/>
              </w:rPr>
              <w:t>车厢容积≥3.5m³，封闭式金属车厢，防止垃圾抛洒渗漏</w:t>
            </w:r>
            <w:r>
              <w:rPr>
                <w:rFonts w:hint="eastAsia" w:ascii="宋体" w:hAnsi="宋体" w:eastAsia="宋体" w:cs="宋体"/>
                <w:sz w:val="24"/>
                <w:szCs w:val="24"/>
                <w:highlight w:val="none"/>
              </w:rPr>
              <w:t>★</w:t>
            </w:r>
            <w:r>
              <w:rPr>
                <w:rFonts w:hint="eastAsia"/>
                <w:lang w:val="en-US" w:eastAsia="zh-CN"/>
              </w:rPr>
              <w:t>4.</w:t>
            </w:r>
            <w:r>
              <w:rPr>
                <w:rFonts w:hint="eastAsia"/>
              </w:rPr>
              <w:t>整车外形尺寸</w:t>
            </w:r>
            <w:r>
              <w:rPr>
                <w:rFonts w:hint="eastAsia"/>
                <w:lang w:val="en-US" w:eastAsia="zh-CN"/>
              </w:rPr>
              <w:t>≥</w:t>
            </w:r>
            <w:r>
              <w:rPr>
                <w:rFonts w:hint="eastAsia"/>
              </w:rPr>
              <w:t>3</w:t>
            </w:r>
            <w:r>
              <w:rPr>
                <w:rFonts w:hint="eastAsia"/>
                <w:lang w:val="en-US" w:eastAsia="zh-CN"/>
              </w:rPr>
              <w:t>500*</w:t>
            </w:r>
            <w:r>
              <w:rPr>
                <w:rFonts w:hint="eastAsia"/>
              </w:rPr>
              <w:t>14</w:t>
            </w:r>
            <w:r>
              <w:rPr>
                <w:rFonts w:hint="eastAsia"/>
                <w:lang w:val="en-US" w:eastAsia="zh-CN"/>
              </w:rPr>
              <w:t>5</w:t>
            </w:r>
            <w:r>
              <w:rPr>
                <w:rFonts w:hint="eastAsia"/>
              </w:rPr>
              <w:t>0</w:t>
            </w:r>
            <w:r>
              <w:rPr>
                <w:rFonts w:hint="eastAsia"/>
                <w:lang w:val="en-US" w:eastAsia="zh-CN"/>
              </w:rPr>
              <w:t>*</w:t>
            </w:r>
            <w:r>
              <w:rPr>
                <w:rFonts w:hint="eastAsia"/>
              </w:rPr>
              <w:t>1880mm（±3%）</w:t>
            </w:r>
          </w:p>
          <w:p w14:paraId="41E33DA1">
            <w:pPr>
              <w:rPr>
                <w:rFonts w:hint="eastAsia"/>
              </w:rPr>
            </w:pPr>
            <w:r>
              <w:rPr>
                <w:rFonts w:hint="eastAsia"/>
                <w:lang w:val="en-US" w:eastAsia="zh-CN"/>
              </w:rPr>
              <w:t>5.</w:t>
            </w:r>
            <w:r>
              <w:rPr>
                <w:rFonts w:hint="eastAsia"/>
              </w:rPr>
              <w:t>额定载荷≥</w:t>
            </w:r>
            <w:r>
              <w:rPr>
                <w:rFonts w:hint="eastAsia"/>
                <w:lang w:val="en-US" w:eastAsia="zh-CN"/>
              </w:rPr>
              <w:t>600</w:t>
            </w:r>
            <w:r>
              <w:rPr>
                <w:rFonts w:hint="eastAsia"/>
              </w:rPr>
              <w:t>kg</w:t>
            </w:r>
          </w:p>
          <w:p w14:paraId="082678AE">
            <w:pPr>
              <w:rPr>
                <w:rFonts w:hint="eastAsia"/>
              </w:rPr>
            </w:pPr>
            <w:r>
              <w:rPr>
                <w:rFonts w:hint="eastAsia"/>
                <w:lang w:val="en-US" w:eastAsia="zh-CN"/>
              </w:rPr>
              <w:t>6.</w:t>
            </w:r>
            <w:r>
              <w:rPr>
                <w:rFonts w:hint="eastAsia"/>
              </w:rPr>
              <w:t>续航里程≥75km</w:t>
            </w:r>
          </w:p>
          <w:p w14:paraId="7C12DD7E">
            <w:pPr>
              <w:rPr>
                <w:rFonts w:hint="eastAsia"/>
              </w:rPr>
            </w:pPr>
            <w:r>
              <w:rPr>
                <w:rFonts w:hint="eastAsia" w:ascii="宋体" w:hAnsi="宋体" w:eastAsia="宋体" w:cs="宋体"/>
                <w:sz w:val="24"/>
                <w:szCs w:val="24"/>
                <w:highlight w:val="none"/>
              </w:rPr>
              <w:t>★</w:t>
            </w:r>
            <w:r>
              <w:rPr>
                <w:rFonts w:hint="eastAsia"/>
                <w:lang w:val="en-US" w:eastAsia="zh-CN"/>
              </w:rPr>
              <w:t>7.</w:t>
            </w:r>
            <w:r>
              <w:rPr>
                <w:rFonts w:hint="eastAsia"/>
              </w:rPr>
              <w:t>制动系统后轮毂油刹+驻车制动</w:t>
            </w:r>
          </w:p>
          <w:p w14:paraId="5F2D8ED3">
            <w:pPr>
              <w:rPr>
                <w:rFonts w:hint="eastAsia"/>
              </w:rPr>
            </w:pPr>
            <w:r>
              <w:rPr>
                <w:rFonts w:hint="eastAsia" w:ascii="宋体" w:hAnsi="宋体" w:eastAsia="宋体" w:cs="宋体"/>
                <w:sz w:val="24"/>
                <w:szCs w:val="24"/>
                <w:highlight w:val="none"/>
              </w:rPr>
              <w:t>★</w:t>
            </w:r>
            <w:r>
              <w:rPr>
                <w:rFonts w:hint="eastAsia"/>
                <w:lang w:val="en-US" w:eastAsia="zh-CN"/>
              </w:rPr>
              <w:t>8.</w:t>
            </w:r>
            <w:r>
              <w:rPr>
                <w:rFonts w:hint="eastAsia"/>
              </w:rPr>
              <w:t>液压系统泵阀液压一体化3阀路控制系统；</w:t>
            </w:r>
          </w:p>
          <w:p w14:paraId="46569EF1">
            <w:pPr>
              <w:rPr>
                <w:rFonts w:hint="eastAsia"/>
              </w:rPr>
            </w:pPr>
            <w:r>
              <w:rPr>
                <w:rFonts w:hint="eastAsia" w:ascii="宋体" w:hAnsi="宋体" w:eastAsia="宋体" w:cs="宋体"/>
                <w:sz w:val="24"/>
                <w:szCs w:val="24"/>
                <w:highlight w:val="none"/>
              </w:rPr>
              <w:t>★</w:t>
            </w:r>
            <w:r>
              <w:rPr>
                <w:rFonts w:hint="eastAsia"/>
                <w:lang w:val="en-US" w:eastAsia="zh-CN"/>
              </w:rPr>
              <w:t>9.</w:t>
            </w:r>
            <w:r>
              <w:rPr>
                <w:rFonts w:hint="eastAsia"/>
              </w:rPr>
              <w:t>车架高强度槽钢框架主梁；前叉双筒阻尼液压减震，后钢板弹簧</w:t>
            </w:r>
          </w:p>
          <w:p w14:paraId="7055BDC0">
            <w:pPr>
              <w:rPr>
                <w:rFonts w:hint="eastAsia"/>
              </w:rPr>
            </w:pPr>
            <w:r>
              <w:rPr>
                <w:rFonts w:hint="eastAsia"/>
              </w:rPr>
              <w:t>驾驶室双大灯驾驶室，钢化玻璃雨刮器，收音机，皮革软座椅；</w:t>
            </w:r>
          </w:p>
          <w:p w14:paraId="6F2E6266">
            <w:pPr>
              <w:rPr>
                <w:rFonts w:hint="default" w:eastAsia="宋体"/>
                <w:lang w:val="en-US" w:eastAsia="zh-CN"/>
              </w:rPr>
            </w:pPr>
            <w:r>
              <w:rPr>
                <w:rFonts w:hint="eastAsia" w:ascii="宋体" w:hAnsi="宋体" w:eastAsia="宋体" w:cs="宋体"/>
                <w:sz w:val="24"/>
                <w:szCs w:val="24"/>
                <w:highlight w:val="none"/>
              </w:rPr>
              <w:t>★</w:t>
            </w:r>
            <w:r>
              <w:rPr>
                <w:rFonts w:hint="eastAsia"/>
                <w:lang w:val="en-US" w:eastAsia="zh-CN"/>
              </w:rPr>
              <w:t>10.</w:t>
            </w:r>
            <w:r>
              <w:rPr>
                <w:rFonts w:hint="eastAsia"/>
              </w:rPr>
              <w:t>后视镜；组合灯光，倒车蜂鸣器，警示灯，倒车影像；爆闪警示灯</w:t>
            </w:r>
            <w:r>
              <w:rPr>
                <w:rFonts w:hint="eastAsia"/>
                <w:lang w:eastAsia="zh-CN"/>
              </w:rPr>
              <w:t>、</w:t>
            </w:r>
            <w:r>
              <w:rPr>
                <w:rFonts w:hint="eastAsia"/>
                <w:lang w:val="en-US" w:eastAsia="zh-CN"/>
              </w:rPr>
              <w:t>GPS.</w:t>
            </w:r>
          </w:p>
          <w:p w14:paraId="367BBE2D">
            <w:pPr>
              <w:rPr>
                <w:rFonts w:hint="eastAsia"/>
              </w:rPr>
            </w:pPr>
            <w:r>
              <w:rPr>
                <w:rFonts w:hint="eastAsia" w:ascii="宋体" w:hAnsi="宋体" w:eastAsia="宋体" w:cs="宋体"/>
                <w:sz w:val="24"/>
                <w:szCs w:val="24"/>
                <w:highlight w:val="none"/>
              </w:rPr>
              <w:t>★</w:t>
            </w:r>
            <w:r>
              <w:rPr>
                <w:rFonts w:hint="eastAsia" w:hAnsi="宋体" w:cs="宋体"/>
                <w:sz w:val="24"/>
                <w:szCs w:val="24"/>
                <w:highlight w:val="none"/>
                <w:lang w:val="en-US" w:eastAsia="zh-CN"/>
              </w:rPr>
              <w:t>11</w:t>
            </w:r>
            <w:r>
              <w:rPr>
                <w:rFonts w:hint="eastAsia"/>
                <w:lang w:val="en-US" w:eastAsia="zh-CN"/>
              </w:rPr>
              <w:t>.</w:t>
            </w:r>
            <w:r>
              <w:rPr>
                <w:rFonts w:hint="eastAsia"/>
              </w:rPr>
              <w:t>后桥一体式电动差速后桥，带高低速档位；无级变速控制系统</w:t>
            </w:r>
          </w:p>
          <w:p w14:paraId="51334C5F">
            <w:pPr>
              <w:spacing w:line="440" w:lineRule="exact"/>
              <w:rPr>
                <w:rFonts w:hint="eastAsia"/>
                <w:highlight w:val="none"/>
              </w:rPr>
            </w:pPr>
          </w:p>
        </w:tc>
        <w:tc>
          <w:tcPr>
            <w:tcW w:w="1183" w:type="dxa"/>
            <w:tcBorders>
              <w:bottom w:val="single" w:color="auto" w:sz="4" w:space="0"/>
            </w:tcBorders>
            <w:vAlign w:val="center"/>
          </w:tcPr>
          <w:p w14:paraId="4CB629BF">
            <w:pPr>
              <w:spacing w:line="440" w:lineRule="exact"/>
              <w:jc w:val="center"/>
              <w:rPr>
                <w:rFonts w:hint="default"/>
                <w:highlight w:val="none"/>
                <w:lang w:val="en-US" w:eastAsia="zh-CN"/>
              </w:rPr>
            </w:pPr>
            <w:r>
              <w:rPr>
                <w:rFonts w:hint="eastAsia"/>
                <w:highlight w:val="none"/>
                <w:lang w:val="en-US" w:eastAsia="zh-CN"/>
              </w:rPr>
              <w:t>37000</w:t>
            </w:r>
          </w:p>
        </w:tc>
        <w:tc>
          <w:tcPr>
            <w:tcW w:w="674" w:type="dxa"/>
            <w:tcBorders>
              <w:bottom w:val="single" w:color="auto" w:sz="4" w:space="0"/>
            </w:tcBorders>
            <w:vAlign w:val="center"/>
          </w:tcPr>
          <w:p w14:paraId="5F63D235">
            <w:pPr>
              <w:spacing w:line="440" w:lineRule="exact"/>
              <w:jc w:val="center"/>
              <w:rPr>
                <w:rFonts w:hint="default"/>
                <w:highlight w:val="none"/>
                <w:lang w:val="en-US" w:eastAsia="zh-CN"/>
              </w:rPr>
            </w:pPr>
            <w:r>
              <w:rPr>
                <w:rFonts w:hint="eastAsia"/>
                <w:highlight w:val="none"/>
                <w:lang w:val="en-US" w:eastAsia="zh-CN"/>
              </w:rPr>
              <w:t>1</w:t>
            </w:r>
          </w:p>
        </w:tc>
        <w:tc>
          <w:tcPr>
            <w:tcW w:w="1074" w:type="dxa"/>
            <w:tcBorders>
              <w:bottom w:val="single" w:color="auto" w:sz="4" w:space="0"/>
            </w:tcBorders>
            <w:vAlign w:val="center"/>
          </w:tcPr>
          <w:p w14:paraId="681B5757">
            <w:pPr>
              <w:spacing w:line="440" w:lineRule="exact"/>
              <w:jc w:val="center"/>
              <w:rPr>
                <w:rFonts w:hint="default"/>
                <w:highlight w:val="none"/>
                <w:lang w:val="en-US" w:eastAsia="zh-CN"/>
              </w:rPr>
            </w:pPr>
            <w:r>
              <w:rPr>
                <w:rFonts w:hint="eastAsia"/>
                <w:highlight w:val="none"/>
                <w:lang w:val="en-US" w:eastAsia="zh-CN"/>
              </w:rPr>
              <w:t>37000</w:t>
            </w:r>
          </w:p>
        </w:tc>
      </w:tr>
    </w:tbl>
    <w:p w14:paraId="76B769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bCs w:val="0"/>
          <w:highlight w:val="none"/>
          <w:lang w:val="en-US" w:eastAsia="zh-CN"/>
        </w:rPr>
      </w:pPr>
      <w:r>
        <w:rPr>
          <w:rFonts w:hint="eastAsia"/>
          <w:b/>
          <w:bCs w:val="0"/>
          <w:highlight w:val="none"/>
        </w:rPr>
        <w:t>说明：结算单价不得高于上表控制单价。</w:t>
      </w:r>
      <w:r>
        <w:rPr>
          <w:rFonts w:hint="eastAsia"/>
          <w:b/>
          <w:bCs w:val="0"/>
          <w:highlight w:val="none"/>
          <w:lang w:val="en-US" w:eastAsia="zh-CN"/>
        </w:rPr>
        <w:t>不带</w:t>
      </w:r>
      <w:r>
        <w:rPr>
          <w:rFonts w:hint="eastAsia" w:ascii="宋体" w:hAnsi="宋体" w:eastAsia="宋体" w:cs="宋体"/>
          <w:b/>
          <w:bCs w:val="0"/>
          <w:sz w:val="24"/>
          <w:szCs w:val="24"/>
          <w:highlight w:val="none"/>
        </w:rPr>
        <w:t>★</w:t>
      </w:r>
      <w:r>
        <w:rPr>
          <w:rFonts w:hint="eastAsia" w:hAnsi="宋体" w:cs="宋体"/>
          <w:b/>
          <w:bCs w:val="0"/>
          <w:sz w:val="24"/>
          <w:szCs w:val="24"/>
          <w:highlight w:val="none"/>
          <w:lang w:val="en-US" w:eastAsia="zh-CN"/>
        </w:rPr>
        <w:t>号为基础项，不满足投标无效。</w:t>
      </w:r>
    </w:p>
    <w:p w14:paraId="222C5057">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
          <w:bCs w:val="0"/>
          <w:sz w:val="24"/>
          <w:highlight w:val="none"/>
          <w:lang w:val="en-US" w:eastAsia="zh-CN" w:bidi="ar-SA"/>
        </w:rPr>
      </w:pPr>
    </w:p>
    <w:p w14:paraId="7106E7FF">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
          <w:bCs w:val="0"/>
          <w:sz w:val="24"/>
          <w:highlight w:val="none"/>
          <w:lang w:val="en-US" w:eastAsia="zh-CN" w:bidi="ar-SA"/>
        </w:rPr>
      </w:pPr>
      <w:r>
        <w:rPr>
          <w:rFonts w:hint="eastAsia" w:ascii="宋体" w:eastAsia="宋体" w:cs="Times New Roman"/>
          <w:b/>
          <w:bCs w:val="0"/>
          <w:sz w:val="24"/>
          <w:highlight w:val="none"/>
          <w:lang w:val="en-US" w:eastAsia="zh-CN" w:bidi="ar-SA"/>
        </w:rPr>
        <w:t>第二条：售后及质量保证</w:t>
      </w:r>
    </w:p>
    <w:p w14:paraId="30A752B7">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Cs/>
          <w:sz w:val="24"/>
          <w:highlight w:val="none"/>
          <w:lang w:val="en-US" w:eastAsia="zh-CN" w:bidi="ar-SA"/>
        </w:rPr>
      </w:pPr>
      <w:r>
        <w:rPr>
          <w:rFonts w:hint="eastAsia" w:ascii="宋体" w:eastAsia="宋体" w:cs="Times New Roman"/>
          <w:bCs/>
          <w:sz w:val="24"/>
          <w:highlight w:val="none"/>
          <w:lang w:val="en-US" w:eastAsia="zh-CN" w:bidi="ar-SA"/>
        </w:rPr>
        <w:t>1.质保要求：整车、电池、电机、电控等核心部件按照国家三包规定及厂家标准质保；故障接到报修后24小时内必须响应到场处理。</w:t>
      </w:r>
    </w:p>
    <w:p w14:paraId="2CB71B77">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Cs/>
          <w:sz w:val="24"/>
          <w:highlight w:val="none"/>
          <w:lang w:val="en-US" w:eastAsia="zh-CN" w:bidi="ar-SA"/>
        </w:rPr>
      </w:pPr>
      <w:r>
        <w:rPr>
          <w:rFonts w:hint="eastAsia" w:ascii="宋体" w:eastAsia="宋体" w:cs="Times New Roman"/>
          <w:bCs/>
          <w:sz w:val="24"/>
          <w:highlight w:val="none"/>
          <w:lang w:val="en-US" w:eastAsia="zh-CN" w:bidi="ar-SA"/>
        </w:rPr>
        <w:t>2.供货时提供：全套车辆合格证、说明书、维修手册、工具清单。</w:t>
      </w:r>
    </w:p>
    <w:p w14:paraId="50A25EBF">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Cs/>
          <w:sz w:val="24"/>
          <w:highlight w:val="none"/>
          <w:lang w:val="en-US" w:eastAsia="zh-CN" w:bidi="ar-SA"/>
        </w:rPr>
      </w:pPr>
      <w:r>
        <w:rPr>
          <w:rFonts w:hint="eastAsia" w:ascii="宋体" w:eastAsia="宋体" w:cs="Times New Roman"/>
          <w:bCs/>
          <w:sz w:val="24"/>
          <w:highlight w:val="none"/>
          <w:lang w:val="en-US" w:eastAsia="zh-CN" w:bidi="ar-SA"/>
        </w:rPr>
        <w:t>3.中标人负责现场调试，对采购人操作人员开展免费操作、维护培训。</w:t>
      </w:r>
    </w:p>
    <w:p w14:paraId="5C72FB47">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Cs/>
          <w:sz w:val="24"/>
          <w:highlight w:val="none"/>
          <w:lang w:val="en-US" w:eastAsia="zh-CN" w:bidi="ar-SA"/>
        </w:rPr>
      </w:pPr>
      <w:r>
        <w:rPr>
          <w:rFonts w:hint="eastAsia" w:ascii="宋体" w:eastAsia="宋体" w:cs="Times New Roman"/>
          <w:bCs/>
          <w:sz w:val="24"/>
          <w:highlight w:val="none"/>
          <w:lang w:val="en-US" w:eastAsia="zh-CN" w:bidi="ar-SA"/>
        </w:rPr>
        <w:t>4.报价全部为全新原厂设备，不得改装拼装。</w:t>
      </w:r>
    </w:p>
    <w:p w14:paraId="0E13565D">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
          <w:bCs w:val="0"/>
          <w:sz w:val="24"/>
          <w:highlight w:val="none"/>
          <w:lang w:val="en-US" w:eastAsia="zh-CN" w:bidi="ar-SA"/>
        </w:rPr>
      </w:pPr>
      <w:r>
        <w:rPr>
          <w:rFonts w:hint="eastAsia" w:ascii="宋体" w:eastAsia="宋体" w:cs="Times New Roman"/>
          <w:b/>
          <w:bCs w:val="0"/>
          <w:sz w:val="24"/>
          <w:highlight w:val="none"/>
          <w:lang w:val="en-US" w:eastAsia="zh-CN" w:bidi="ar-SA"/>
        </w:rPr>
        <w:t>第三条：交货时间、交货方式、质保期</w:t>
      </w:r>
    </w:p>
    <w:p w14:paraId="161F8720">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Cs/>
          <w:sz w:val="24"/>
          <w:highlight w:val="none"/>
          <w:lang w:val="en-US" w:eastAsia="zh-CN" w:bidi="ar-SA"/>
        </w:rPr>
      </w:pPr>
      <w:r>
        <w:rPr>
          <w:rFonts w:hint="eastAsia" w:ascii="宋体" w:eastAsia="宋体" w:cs="Times New Roman"/>
          <w:bCs/>
          <w:sz w:val="24"/>
          <w:highlight w:val="none"/>
          <w:lang w:val="en-US" w:eastAsia="zh-CN" w:bidi="ar-SA"/>
        </w:rPr>
        <w:t>交货时间：合同签订后15日内完成供货</w:t>
      </w:r>
    </w:p>
    <w:p w14:paraId="77B9477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highlight w:val="none"/>
          <w:lang w:val="en-US" w:eastAsia="zh-CN"/>
        </w:rPr>
      </w:pPr>
      <w:r>
        <w:rPr>
          <w:rFonts w:hint="eastAsia"/>
          <w:b/>
          <w:highlight w:val="none"/>
          <w:lang w:val="en-US" w:eastAsia="zh-CN"/>
        </w:rPr>
        <w:t>1.交货方式：招标人指定地址交付（限合肥市）</w:t>
      </w:r>
    </w:p>
    <w:p w14:paraId="2138F43F">
      <w:pPr>
        <w:rPr>
          <w:rFonts w:hint="default" w:eastAsia="宋体"/>
          <w:lang w:val="en-US" w:eastAsia="zh-CN"/>
        </w:rPr>
      </w:pPr>
      <w:r>
        <w:rPr>
          <w:rFonts w:hint="eastAsia"/>
          <w:b/>
          <w:bCs/>
          <w:lang w:val="en-US" w:eastAsia="zh-CN"/>
        </w:rPr>
        <w:t>2.质保期：</w:t>
      </w:r>
      <w:r>
        <w:rPr>
          <w:rFonts w:hint="eastAsia"/>
          <w:lang w:val="en-US" w:eastAsia="zh-CN"/>
        </w:rPr>
        <w:t>质保期2年，</w:t>
      </w:r>
      <w:r>
        <w:rPr>
          <w:rFonts w:hint="eastAsia"/>
        </w:rPr>
        <w:t>质保期自全部车辆验收合格签字之日起开始计算。</w:t>
      </w:r>
      <w:r>
        <w:rPr>
          <w:rFonts w:hint="eastAsia"/>
          <w:lang w:val="en-US" w:eastAsia="zh-CN"/>
        </w:rPr>
        <w:t>易损件除外，投标文件须明确质保内容。</w:t>
      </w:r>
    </w:p>
    <w:p w14:paraId="10ABCB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highlight w:val="none"/>
        </w:rPr>
      </w:pPr>
      <w:r>
        <w:rPr>
          <w:rFonts w:hint="eastAsia"/>
          <w:b/>
          <w:highlight w:val="none"/>
        </w:rPr>
        <w:t>第</w:t>
      </w:r>
      <w:r>
        <w:rPr>
          <w:rFonts w:hint="eastAsia"/>
          <w:b/>
          <w:highlight w:val="none"/>
          <w:lang w:val="en-US" w:eastAsia="zh-CN"/>
        </w:rPr>
        <w:t>四</w:t>
      </w:r>
      <w:r>
        <w:rPr>
          <w:rFonts w:hint="eastAsia"/>
          <w:b/>
          <w:highlight w:val="none"/>
        </w:rPr>
        <w:t>条：验收</w:t>
      </w:r>
    </w:p>
    <w:p w14:paraId="018E283B">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1.</w:t>
      </w:r>
      <w:r>
        <w:rPr>
          <w:rFonts w:hint="eastAsia" w:ascii="宋体" w:eastAsia="宋体" w:cs="Times New Roman"/>
          <w:bCs/>
          <w:sz w:val="24"/>
          <w:highlight w:val="none"/>
          <w:lang w:val="en-US" w:eastAsia="zh-CN" w:bidi="ar-SA"/>
        </w:rPr>
        <w:t>车辆到达指定交付地点</w:t>
      </w:r>
      <w:r>
        <w:rPr>
          <w:rFonts w:hint="eastAsia" w:ascii="宋体" w:hAnsi="Times New Roman" w:eastAsia="宋体" w:cs="Times New Roman"/>
          <w:bCs/>
          <w:sz w:val="24"/>
          <w:highlight w:val="none"/>
          <w:lang w:val="en-US" w:eastAsia="zh-CN" w:bidi="ar-SA"/>
        </w:rPr>
        <w:t>后，采购人组织验收；对</w:t>
      </w:r>
      <w:r>
        <w:rPr>
          <w:rFonts w:hint="eastAsia" w:ascii="宋体" w:eastAsia="宋体" w:cs="Times New Roman"/>
          <w:bCs/>
          <w:sz w:val="24"/>
          <w:highlight w:val="none"/>
          <w:lang w:val="en-US" w:eastAsia="zh-CN" w:bidi="ar-SA"/>
        </w:rPr>
        <w:t>招标文件要求</w:t>
      </w:r>
      <w:r>
        <w:rPr>
          <w:rFonts w:hint="eastAsia" w:ascii="宋体" w:hAnsi="Times New Roman" w:eastAsia="宋体" w:cs="Times New Roman"/>
          <w:bCs/>
          <w:sz w:val="24"/>
          <w:highlight w:val="none"/>
          <w:lang w:val="en-US" w:eastAsia="zh-CN" w:bidi="ar-SA"/>
        </w:rPr>
        <w:t>逐项核查。</w:t>
      </w:r>
    </w:p>
    <w:p w14:paraId="536C81CF">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 验收不合格，供应商限期整改，整改仍不合格采购人有权按合同约定追究违约责任。</w:t>
      </w:r>
    </w:p>
    <w:p w14:paraId="4CDEE684">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 验收通过后签署验收确认单，作为付款依据。</w:t>
      </w:r>
    </w:p>
    <w:p w14:paraId="3DCA3AA6">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Times New Roman" w:eastAsia="宋体" w:cs="Times New Roman"/>
          <w:b/>
          <w:bCs w:val="0"/>
          <w:sz w:val="24"/>
          <w:highlight w:val="none"/>
          <w:lang w:val="en-US" w:eastAsia="zh-CN" w:bidi="ar-SA"/>
        </w:rPr>
      </w:pPr>
      <w:r>
        <w:rPr>
          <w:rFonts w:hint="eastAsia" w:ascii="宋体" w:hAnsi="Times New Roman" w:eastAsia="宋体" w:cs="Times New Roman"/>
          <w:b/>
          <w:bCs w:val="0"/>
          <w:sz w:val="24"/>
          <w:highlight w:val="none"/>
          <w:lang w:val="en-US" w:eastAsia="zh-CN" w:bidi="ar-SA"/>
        </w:rPr>
        <w:t>第</w:t>
      </w:r>
      <w:r>
        <w:rPr>
          <w:rFonts w:hint="eastAsia" w:ascii="宋体" w:eastAsia="宋体" w:cs="Times New Roman"/>
          <w:b/>
          <w:bCs w:val="0"/>
          <w:sz w:val="24"/>
          <w:highlight w:val="none"/>
          <w:lang w:val="en-US" w:eastAsia="zh-CN" w:bidi="ar-SA"/>
        </w:rPr>
        <w:t>五</w:t>
      </w:r>
      <w:r>
        <w:rPr>
          <w:rFonts w:hint="eastAsia" w:ascii="宋体" w:hAnsi="Times New Roman" w:eastAsia="宋体" w:cs="Times New Roman"/>
          <w:b/>
          <w:bCs w:val="0"/>
          <w:sz w:val="24"/>
          <w:highlight w:val="none"/>
          <w:lang w:val="en-US" w:eastAsia="zh-CN" w:bidi="ar-SA"/>
        </w:rPr>
        <w:t>条：其他要求</w:t>
      </w:r>
    </w:p>
    <w:p w14:paraId="2E048DB2">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1.投标报价为含税13%增值税固定包干总价，包含车辆裸车、专用工具、包装、运输、装卸、现场调试、检验、培训、质保期全部售后服务等全部费用，采购人不再承担任何隐性费用。</w:t>
      </w:r>
    </w:p>
    <w:p w14:paraId="1A35DD0E">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2.投标人必须按采购清单逐项填报单价、合价、总价；报价一次性锁定，开标后不得更改。</w:t>
      </w:r>
    </w:p>
    <w:p w14:paraId="751753E9">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3.所有车辆为全新原厂正品，不得二手、翻新、改装拼装产品。</w:t>
      </w:r>
    </w:p>
    <w:p w14:paraId="54DB50E9">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
          <w:bCs w:val="0"/>
          <w:sz w:val="24"/>
          <w:highlight w:val="none"/>
          <w:lang w:val="en-US" w:eastAsia="zh-CN" w:bidi="ar-SA"/>
        </w:rPr>
      </w:pPr>
      <w:r>
        <w:rPr>
          <w:rFonts w:hint="eastAsia" w:ascii="宋体" w:eastAsia="宋体" w:cs="Times New Roman"/>
          <w:b/>
          <w:bCs w:val="0"/>
          <w:sz w:val="24"/>
          <w:highlight w:val="none"/>
          <w:lang w:val="en-US" w:eastAsia="zh-CN" w:bidi="ar-SA"/>
        </w:rPr>
        <w:t>第六条：评分细则</w:t>
      </w:r>
    </w:p>
    <w:tbl>
      <w:tblPr>
        <w:tblStyle w:val="20"/>
        <w:tblW w:w="5126" w:type="pct"/>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9"/>
        <w:gridCol w:w="948"/>
        <w:gridCol w:w="848"/>
        <w:gridCol w:w="805"/>
        <w:gridCol w:w="5106"/>
      </w:tblGrid>
      <w:tr w14:paraId="33B1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765" w:type="dxa"/>
            <w:gridSpan w:val="2"/>
            <w:noWrap w:val="0"/>
            <w:vAlign w:val="center"/>
          </w:tcPr>
          <w:p w14:paraId="40761C09">
            <w:pPr>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kern w:val="0"/>
                <w:sz w:val="24"/>
                <w:highlight w:val="none"/>
                <w:lang w:val="en-US" w:eastAsia="zh-CN"/>
              </w:rPr>
              <w:t xml:space="preserve"> </w:t>
            </w:r>
            <w:r>
              <w:rPr>
                <w:rFonts w:hint="eastAsia" w:ascii="宋体" w:hAnsi="宋体" w:eastAsia="宋体" w:cs="宋体"/>
                <w:b/>
                <w:bCs/>
                <w:color w:val="auto"/>
                <w:kern w:val="0"/>
                <w:sz w:val="24"/>
                <w:highlight w:val="none"/>
              </w:rPr>
              <w:t>条款号</w:t>
            </w:r>
          </w:p>
        </w:tc>
        <w:tc>
          <w:tcPr>
            <w:tcW w:w="847" w:type="dxa"/>
            <w:noWrap w:val="0"/>
            <w:tcMar>
              <w:left w:w="75" w:type="dxa"/>
            </w:tcMar>
            <w:vAlign w:val="center"/>
          </w:tcPr>
          <w:p w14:paraId="2196448F">
            <w:pPr>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kern w:val="0"/>
                <w:sz w:val="24"/>
                <w:highlight w:val="none"/>
                <w:lang w:eastAsia="zh-CN"/>
              </w:rPr>
              <w:t>评审</w:t>
            </w:r>
            <w:r>
              <w:rPr>
                <w:rFonts w:hint="eastAsia" w:ascii="宋体" w:hAnsi="宋体" w:eastAsia="宋体" w:cs="宋体"/>
                <w:b/>
                <w:bCs/>
                <w:color w:val="auto"/>
                <w:kern w:val="0"/>
                <w:sz w:val="24"/>
                <w:highlight w:val="none"/>
              </w:rPr>
              <w:t>因素</w:t>
            </w:r>
          </w:p>
        </w:tc>
        <w:tc>
          <w:tcPr>
            <w:tcW w:w="804" w:type="dxa"/>
            <w:noWrap w:val="0"/>
            <w:vAlign w:val="center"/>
          </w:tcPr>
          <w:p w14:paraId="30265A8E">
            <w:pPr>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kern w:val="0"/>
                <w:sz w:val="24"/>
                <w:highlight w:val="none"/>
              </w:rPr>
              <w:t>分值</w:t>
            </w:r>
          </w:p>
        </w:tc>
        <w:tc>
          <w:tcPr>
            <w:tcW w:w="5100" w:type="dxa"/>
            <w:noWrap w:val="0"/>
            <w:vAlign w:val="center"/>
          </w:tcPr>
          <w:p w14:paraId="4685991F">
            <w:pPr>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kern w:val="0"/>
                <w:sz w:val="24"/>
                <w:highlight w:val="none"/>
                <w:lang w:eastAsia="zh-CN"/>
              </w:rPr>
              <w:t>评审</w:t>
            </w:r>
            <w:r>
              <w:rPr>
                <w:rFonts w:hint="eastAsia" w:ascii="宋体" w:hAnsi="宋体" w:eastAsia="宋体" w:cs="宋体"/>
                <w:b/>
                <w:bCs/>
                <w:color w:val="auto"/>
                <w:kern w:val="0"/>
                <w:sz w:val="24"/>
                <w:highlight w:val="none"/>
              </w:rPr>
              <w:t>标准</w:t>
            </w:r>
          </w:p>
        </w:tc>
      </w:tr>
      <w:tr w14:paraId="5D76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8" w:type="dxa"/>
            <w:vMerge w:val="restart"/>
            <w:noWrap w:val="0"/>
            <w:vAlign w:val="center"/>
          </w:tcPr>
          <w:p w14:paraId="5BF33007">
            <w:pPr>
              <w:snapToGrid w:val="0"/>
              <w:spacing w:line="360" w:lineRule="auto"/>
              <w:jc w:val="center"/>
              <w:rPr>
                <w:rFonts w:hint="eastAsia" w:ascii="宋体" w:hAnsi="宋体" w:eastAsia="宋体" w:cs="宋体"/>
                <w:bCs/>
                <w:color w:val="auto"/>
              </w:rPr>
            </w:pPr>
            <w:r>
              <w:rPr>
                <w:rFonts w:hint="eastAsia" w:ascii="宋体" w:hAnsi="宋体" w:eastAsia="宋体" w:cs="宋体"/>
                <w:bCs/>
                <w:color w:val="auto"/>
              </w:rPr>
              <w:t>2.2.2（1）</w:t>
            </w:r>
          </w:p>
        </w:tc>
        <w:tc>
          <w:tcPr>
            <w:tcW w:w="947" w:type="dxa"/>
            <w:vMerge w:val="restart"/>
            <w:noWrap w:val="0"/>
            <w:vAlign w:val="center"/>
          </w:tcPr>
          <w:p w14:paraId="0E4781FA">
            <w:pPr>
              <w:snapToGrid w:val="0"/>
              <w:spacing w:line="360" w:lineRule="auto"/>
              <w:jc w:val="center"/>
              <w:rPr>
                <w:rFonts w:hint="eastAsia" w:ascii="宋体" w:hAnsi="宋体" w:eastAsia="宋体" w:cs="宋体"/>
                <w:color w:val="auto"/>
              </w:rPr>
            </w:pPr>
            <w:r>
              <w:rPr>
                <w:rFonts w:hint="eastAsia" w:ascii="宋体" w:hAnsi="宋体" w:eastAsia="宋体" w:cs="宋体"/>
                <w:color w:val="auto"/>
                <w:lang w:val="en-US" w:eastAsia="zh-CN"/>
              </w:rPr>
              <w:t>技术</w:t>
            </w:r>
            <w:r>
              <w:rPr>
                <w:rFonts w:hint="eastAsia" w:ascii="宋体" w:hAnsi="宋体" w:eastAsia="宋体" w:cs="宋体"/>
                <w:color w:val="auto"/>
              </w:rPr>
              <w:t>文件评分标准</w:t>
            </w:r>
          </w:p>
        </w:tc>
        <w:tc>
          <w:tcPr>
            <w:tcW w:w="847" w:type="dxa"/>
            <w:noWrap w:val="0"/>
            <w:tcMar>
              <w:left w:w="75" w:type="dxa"/>
            </w:tcMar>
            <w:vAlign w:val="center"/>
          </w:tcPr>
          <w:p w14:paraId="1278B6E1">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宋体"/>
                <w:sz w:val="24"/>
                <w:szCs w:val="24"/>
                <w:highlight w:val="none"/>
                <w:lang w:val="en-US" w:eastAsia="zh-CN"/>
              </w:rPr>
              <w:t>货物性能参数</w:t>
            </w:r>
          </w:p>
        </w:tc>
        <w:tc>
          <w:tcPr>
            <w:tcW w:w="804" w:type="dxa"/>
            <w:noWrap w:val="0"/>
            <w:vAlign w:val="center"/>
          </w:tcPr>
          <w:p w14:paraId="53706AAE">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Arial"/>
                <w:snapToGrid w:val="0"/>
                <w:color w:val="auto"/>
                <w:kern w:val="0"/>
                <w:sz w:val="24"/>
                <w:szCs w:val="24"/>
                <w:lang w:eastAsia="en-US"/>
              </w:rPr>
              <w:t>0</w:t>
            </w:r>
            <w:r>
              <w:rPr>
                <w:rFonts w:hint="eastAsia" w:ascii="宋体" w:hAnsi="宋体" w:eastAsia="宋体" w:cs="Arial"/>
                <w:snapToGrid w:val="0"/>
                <w:color w:val="auto"/>
                <w:kern w:val="0"/>
                <w:sz w:val="24"/>
                <w:szCs w:val="24"/>
                <w:lang w:val="en-US" w:eastAsia="zh-CN"/>
              </w:rPr>
              <w:t>-</w:t>
            </w:r>
            <w:r>
              <w:rPr>
                <w:rFonts w:hint="eastAsia" w:hAnsi="宋体" w:cs="Arial"/>
                <w:snapToGrid w:val="0"/>
                <w:color w:val="auto"/>
                <w:kern w:val="0"/>
                <w:sz w:val="24"/>
                <w:szCs w:val="24"/>
                <w:lang w:val="en-US" w:eastAsia="zh-CN"/>
              </w:rPr>
              <w:t>8</w:t>
            </w:r>
            <w:r>
              <w:rPr>
                <w:rFonts w:hint="eastAsia" w:ascii="宋体" w:hAnsi="宋体" w:eastAsia="宋体" w:cs="Arial"/>
                <w:snapToGrid w:val="0"/>
                <w:color w:val="auto"/>
                <w:kern w:val="0"/>
                <w:sz w:val="24"/>
                <w:szCs w:val="24"/>
                <w:lang w:eastAsia="en-US"/>
              </w:rPr>
              <w:t>分</w:t>
            </w:r>
          </w:p>
        </w:tc>
        <w:tc>
          <w:tcPr>
            <w:tcW w:w="5100" w:type="dxa"/>
            <w:noWrap w:val="0"/>
            <w:vAlign w:val="center"/>
          </w:tcPr>
          <w:p w14:paraId="2D985E6C">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对投标货物的功能及技术参数响应情况进行综合评分；</w:t>
            </w:r>
          </w:p>
          <w:p w14:paraId="12C1E0BC">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1、标“★”号项参数，</w:t>
            </w:r>
            <w:r>
              <w:rPr>
                <w:rFonts w:hint="eastAsia" w:ascii="宋体" w:hAnsi="宋体" w:eastAsia="宋体" w:cs="宋体"/>
                <w:sz w:val="24"/>
                <w:szCs w:val="24"/>
                <w:highlight w:val="none"/>
                <w:lang w:val="en-US" w:eastAsia="zh-CN"/>
              </w:rPr>
              <w:t>全部满足得8</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val="en-US" w:eastAsia="zh-CN"/>
              </w:rPr>
              <w:t>每</w:t>
            </w:r>
            <w:r>
              <w:rPr>
                <w:rFonts w:hint="eastAsia" w:ascii="宋体" w:hAnsi="宋体" w:eastAsia="宋体" w:cs="宋体"/>
                <w:sz w:val="24"/>
                <w:szCs w:val="24"/>
                <w:highlight w:val="none"/>
              </w:rPr>
              <w:t>有</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项不满足</w:t>
            </w:r>
            <w:r>
              <w:rPr>
                <w:rFonts w:hint="eastAsia" w:ascii="宋体" w:hAnsi="宋体" w:eastAsia="宋体" w:cs="宋体"/>
                <w:sz w:val="24"/>
                <w:szCs w:val="24"/>
                <w:highlight w:val="none"/>
                <w:lang w:val="en-US" w:eastAsia="zh-CN"/>
              </w:rPr>
              <w:t>的扣0.5分，扣完为止</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投标时须</w:t>
            </w:r>
            <w:r>
              <w:rPr>
                <w:rFonts w:hint="eastAsia" w:ascii="宋体" w:hAnsi="宋体" w:eastAsia="宋体" w:cs="宋体"/>
                <w:sz w:val="24"/>
                <w:szCs w:val="24"/>
                <w:highlight w:val="none"/>
              </w:rPr>
              <w:t>提供</w:t>
            </w:r>
            <w:r>
              <w:rPr>
                <w:rFonts w:hint="eastAsia" w:ascii="宋体" w:hAnsi="宋体" w:eastAsia="宋体" w:cs="宋体"/>
                <w:sz w:val="24"/>
                <w:szCs w:val="24"/>
                <w:highlight w:val="none"/>
                <w:lang w:val="en-US" w:eastAsia="zh-CN"/>
              </w:rPr>
              <w:t>具备</w:t>
            </w:r>
            <w:r>
              <w:rPr>
                <w:rFonts w:hint="eastAsia" w:ascii="宋体" w:hAnsi="宋体" w:eastAsia="宋体" w:cs="宋体"/>
                <w:sz w:val="24"/>
                <w:szCs w:val="24"/>
                <w:highlight w:val="none"/>
              </w:rPr>
              <w:t xml:space="preserve"> CMA 标识的第三方检测</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或检验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机构出具的整车检测（或检验）</w:t>
            </w:r>
            <w:r>
              <w:rPr>
                <w:rFonts w:hint="eastAsia" w:ascii="宋体" w:hAnsi="宋体" w:eastAsia="宋体" w:cs="宋体"/>
                <w:sz w:val="24"/>
                <w:szCs w:val="24"/>
                <w:highlight w:val="none"/>
              </w:rPr>
              <w:t>报告作为评分依据，未提供不得分。</w:t>
            </w:r>
          </w:p>
          <w:p w14:paraId="188A916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val="en-US" w:eastAsia="en-US"/>
              </w:rPr>
            </w:pPr>
            <w:r>
              <w:rPr>
                <w:rFonts w:hint="eastAsia" w:ascii="宋体" w:hAnsi="宋体" w:eastAsia="宋体" w:cs="宋体"/>
                <w:sz w:val="24"/>
                <w:szCs w:val="24"/>
                <w:highlight w:val="none"/>
              </w:rPr>
              <w:t>注：</w:t>
            </w:r>
            <w:r>
              <w:rPr>
                <w:rFonts w:hint="eastAsia" w:ascii="宋体" w:hAnsi="宋体" w:eastAsia="宋体" w:cs="宋体"/>
                <w:sz w:val="24"/>
                <w:szCs w:val="24"/>
                <w:highlight w:val="none"/>
                <w:lang w:val="en-US" w:eastAsia="zh-CN"/>
              </w:rPr>
              <w:t>满分8分。</w:t>
            </w:r>
            <w:r>
              <w:rPr>
                <w:rFonts w:hint="eastAsia" w:ascii="宋体" w:hAnsi="宋体" w:eastAsia="宋体" w:cs="宋体"/>
                <w:sz w:val="24"/>
                <w:szCs w:val="24"/>
                <w:highlight w:val="none"/>
              </w:rPr>
              <w:t>技术指标的响应情况以技术响应表为评审依据，</w:t>
            </w:r>
            <w:r>
              <w:rPr>
                <w:rFonts w:hint="eastAsia" w:ascii="宋体" w:hAnsi="宋体" w:eastAsia="宋体" w:cs="宋体"/>
                <w:sz w:val="24"/>
                <w:szCs w:val="24"/>
                <w:highlight w:val="none"/>
                <w:lang w:val="en-US" w:eastAsia="zh-CN"/>
              </w:rPr>
              <w:t>另标</w:t>
            </w:r>
            <w:r>
              <w:rPr>
                <w:rFonts w:hint="eastAsia" w:ascii="宋体" w:hAnsi="宋体" w:eastAsia="宋体" w:cs="宋体"/>
                <w:sz w:val="24"/>
                <w:szCs w:val="24"/>
                <w:highlight w:val="none"/>
              </w:rPr>
              <w:t>“★”号项</w:t>
            </w:r>
            <w:r>
              <w:rPr>
                <w:rFonts w:hint="eastAsia" w:ascii="宋体" w:hAnsi="宋体" w:eastAsia="宋体" w:cs="宋体"/>
                <w:sz w:val="24"/>
                <w:szCs w:val="24"/>
                <w:highlight w:val="none"/>
                <w:lang w:val="en-US" w:eastAsia="zh-CN"/>
              </w:rPr>
              <w:t>参数须按要求提供检测（或检验）报告作为佐证材料；</w:t>
            </w:r>
            <w:r>
              <w:rPr>
                <w:rFonts w:hint="eastAsia" w:ascii="宋体" w:hAnsi="宋体" w:eastAsia="宋体" w:cs="宋体"/>
                <w:sz w:val="24"/>
                <w:szCs w:val="24"/>
                <w:highlight w:val="none"/>
              </w:rPr>
              <w:t>如中标货物</w:t>
            </w:r>
            <w:r>
              <w:rPr>
                <w:rFonts w:hint="eastAsia" w:ascii="宋体" w:hAnsi="宋体" w:eastAsia="宋体" w:cs="宋体"/>
                <w:sz w:val="24"/>
                <w:szCs w:val="24"/>
                <w:highlight w:val="none"/>
                <w:lang w:val="en-US" w:eastAsia="zh-CN"/>
              </w:rPr>
              <w:t>核查</w:t>
            </w:r>
            <w:r>
              <w:rPr>
                <w:rFonts w:hint="eastAsia" w:ascii="宋体" w:hAnsi="宋体" w:eastAsia="宋体" w:cs="宋体"/>
                <w:sz w:val="24"/>
                <w:szCs w:val="24"/>
                <w:highlight w:val="none"/>
              </w:rPr>
              <w:t>时，有不满足的按虚假响应进行处理，采购人有权取消其中标资格。</w:t>
            </w:r>
          </w:p>
        </w:tc>
      </w:tr>
      <w:tr w14:paraId="4923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8" w:type="dxa"/>
            <w:vMerge w:val="continue"/>
            <w:noWrap w:val="0"/>
            <w:vAlign w:val="center"/>
          </w:tcPr>
          <w:p w14:paraId="74AA9908">
            <w:pPr>
              <w:snapToGrid w:val="0"/>
              <w:spacing w:line="360" w:lineRule="auto"/>
              <w:jc w:val="center"/>
              <w:rPr>
                <w:rFonts w:hint="eastAsia" w:ascii="宋体" w:hAnsi="宋体" w:eastAsia="宋体" w:cs="宋体"/>
                <w:bCs/>
                <w:color w:val="auto"/>
              </w:rPr>
            </w:pPr>
          </w:p>
        </w:tc>
        <w:tc>
          <w:tcPr>
            <w:tcW w:w="947" w:type="dxa"/>
            <w:vMerge w:val="continue"/>
            <w:noWrap w:val="0"/>
            <w:vAlign w:val="center"/>
          </w:tcPr>
          <w:p w14:paraId="38544B2E">
            <w:pPr>
              <w:snapToGrid w:val="0"/>
              <w:spacing w:line="360" w:lineRule="auto"/>
              <w:jc w:val="center"/>
              <w:rPr>
                <w:rFonts w:hint="eastAsia" w:ascii="宋体" w:hAnsi="宋体" w:eastAsia="宋体" w:cs="宋体"/>
                <w:color w:val="auto"/>
              </w:rPr>
            </w:pPr>
          </w:p>
        </w:tc>
        <w:tc>
          <w:tcPr>
            <w:tcW w:w="847" w:type="dxa"/>
            <w:noWrap w:val="0"/>
            <w:tcMar>
              <w:left w:w="75" w:type="dxa"/>
            </w:tcMar>
            <w:vAlign w:val="center"/>
          </w:tcPr>
          <w:p w14:paraId="40FA59E4">
            <w:pPr>
              <w:widowControl/>
              <w:kinsoku w:val="0"/>
              <w:autoSpaceDE w:val="0"/>
              <w:autoSpaceDN w:val="0"/>
              <w:adjustRightInd w:val="0"/>
              <w:snapToGrid w:val="0"/>
              <w:spacing w:line="360" w:lineRule="auto"/>
              <w:ind w:right="-10" w:rightChars="0"/>
              <w:jc w:val="left"/>
              <w:textAlignment w:val="baseline"/>
              <w:rPr>
                <w:rFonts w:hint="eastAsia" w:ascii="宋体" w:hAnsi="宋体" w:eastAsia="宋体" w:cs="宋体"/>
                <w:color w:val="auto"/>
              </w:rPr>
            </w:pPr>
            <w:r>
              <w:rPr>
                <w:rFonts w:hint="eastAsia"/>
              </w:rPr>
              <w:t>生产供货保障</w:t>
            </w:r>
          </w:p>
        </w:tc>
        <w:tc>
          <w:tcPr>
            <w:tcW w:w="804" w:type="dxa"/>
            <w:noWrap w:val="0"/>
            <w:vAlign w:val="center"/>
          </w:tcPr>
          <w:p w14:paraId="01844B92">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Arial"/>
                <w:snapToGrid w:val="0"/>
                <w:color w:val="auto"/>
                <w:kern w:val="0"/>
                <w:sz w:val="24"/>
                <w:szCs w:val="24"/>
              </w:rPr>
              <w:t>0-</w:t>
            </w:r>
            <w:r>
              <w:rPr>
                <w:rFonts w:hint="eastAsia" w:hAnsi="宋体" w:cs="Arial"/>
                <w:snapToGrid w:val="0"/>
                <w:color w:val="auto"/>
                <w:kern w:val="0"/>
                <w:sz w:val="24"/>
                <w:szCs w:val="24"/>
                <w:lang w:val="en-US" w:eastAsia="zh-CN"/>
              </w:rPr>
              <w:t>8</w:t>
            </w:r>
            <w:r>
              <w:rPr>
                <w:rFonts w:hint="eastAsia" w:ascii="宋体" w:hAnsi="宋体" w:eastAsia="宋体" w:cs="Arial"/>
                <w:snapToGrid w:val="0"/>
                <w:color w:val="auto"/>
                <w:kern w:val="0"/>
                <w:sz w:val="24"/>
                <w:szCs w:val="24"/>
              </w:rPr>
              <w:t>分</w:t>
            </w:r>
          </w:p>
        </w:tc>
        <w:tc>
          <w:tcPr>
            <w:tcW w:w="5100" w:type="dxa"/>
            <w:noWrap w:val="0"/>
            <w:vAlign w:val="center"/>
          </w:tcPr>
          <w:p w14:paraId="43F1C0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评审委员会根据</w:t>
            </w:r>
            <w:r>
              <w:rPr>
                <w:rFonts w:hint="eastAsia"/>
              </w:rPr>
              <w:t>生产供货保障</w:t>
            </w:r>
            <w:r>
              <w:rPr>
                <w:rFonts w:hint="eastAsia" w:ascii="宋体" w:hAnsi="Times New Roman" w:eastAsia="宋体" w:cs="Times New Roman"/>
                <w:lang w:val="en-US" w:eastAsia="zh-CN"/>
              </w:rPr>
              <w:t>整体方案介绍等情况</w:t>
            </w:r>
            <w:r>
              <w:rPr>
                <w:rFonts w:hint="eastAsia" w:ascii="宋体" w:hAnsi="Times New Roman" w:eastAsia="宋体" w:cs="Times New Roman"/>
                <w:lang w:eastAsia="zh-CN"/>
              </w:rPr>
              <w:t>进行评价。</w:t>
            </w:r>
          </w:p>
          <w:p w14:paraId="21EF0D9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1.方案科学合理，能够完全满足本项目的实际需求，完整详细、科学、合理、完善，得</w:t>
            </w:r>
            <w:r>
              <w:rPr>
                <w:rFonts w:hint="eastAsia" w:cs="Times New Roman"/>
                <w:lang w:val="en-US" w:eastAsia="zh-CN"/>
              </w:rPr>
              <w:t>5</w:t>
            </w:r>
            <w:r>
              <w:rPr>
                <w:rFonts w:hint="eastAsia" w:ascii="宋体" w:hAnsi="Times New Roman" w:eastAsia="宋体" w:cs="Times New Roman"/>
                <w:lang w:eastAsia="zh-CN"/>
              </w:rPr>
              <w:t xml:space="preserve"> 分＜F≤</w:t>
            </w:r>
            <w:r>
              <w:rPr>
                <w:rFonts w:hint="eastAsia" w:cs="Times New Roman"/>
                <w:lang w:val="en-US" w:eastAsia="zh-CN"/>
              </w:rPr>
              <w:t>8</w:t>
            </w:r>
            <w:r>
              <w:rPr>
                <w:rFonts w:hint="eastAsia" w:ascii="宋体" w:hAnsi="Times New Roman" w:eastAsia="宋体" w:cs="Times New Roman"/>
                <w:lang w:eastAsia="zh-CN"/>
              </w:rPr>
              <w:t>分；</w:t>
            </w:r>
          </w:p>
          <w:p w14:paraId="6648430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 xml:space="preserve">2.方案较合理，有一定可行性的，得 </w:t>
            </w:r>
            <w:r>
              <w:rPr>
                <w:rFonts w:hint="eastAsia" w:cs="Times New Roman"/>
                <w:lang w:val="en-US" w:eastAsia="zh-CN"/>
              </w:rPr>
              <w:t>3</w:t>
            </w:r>
            <w:r>
              <w:rPr>
                <w:rFonts w:hint="eastAsia" w:ascii="宋体" w:hAnsi="Times New Roman" w:eastAsia="宋体" w:cs="Times New Roman"/>
                <w:lang w:eastAsia="zh-CN"/>
              </w:rPr>
              <w:t xml:space="preserve"> 分＜F≤</w:t>
            </w:r>
            <w:r>
              <w:rPr>
                <w:rFonts w:hint="eastAsia" w:cs="Times New Roman"/>
                <w:lang w:val="en-US" w:eastAsia="zh-CN"/>
              </w:rPr>
              <w:t>5</w:t>
            </w:r>
            <w:r>
              <w:rPr>
                <w:rFonts w:hint="eastAsia" w:ascii="宋体" w:hAnsi="Times New Roman" w:eastAsia="宋体" w:cs="Times New Roman"/>
                <w:lang w:eastAsia="zh-CN"/>
              </w:rPr>
              <w:t xml:space="preserve"> 分；</w:t>
            </w:r>
          </w:p>
          <w:p w14:paraId="792829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3.方案合理性有待提升，细节有待完善，得 1 分＜F≤</w:t>
            </w:r>
            <w:r>
              <w:rPr>
                <w:rFonts w:hint="eastAsia" w:cs="Times New Roman"/>
                <w:lang w:val="en-US" w:eastAsia="zh-CN"/>
              </w:rPr>
              <w:t>3</w:t>
            </w:r>
            <w:r>
              <w:rPr>
                <w:rFonts w:hint="eastAsia" w:ascii="宋体" w:hAnsi="Times New Roman" w:eastAsia="宋体" w:cs="Times New Roman"/>
                <w:lang w:eastAsia="zh-CN"/>
              </w:rPr>
              <w:t>分；</w:t>
            </w:r>
          </w:p>
          <w:p w14:paraId="37BF96D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val="en-US" w:eastAsia="en-US"/>
              </w:rPr>
            </w:pPr>
            <w:r>
              <w:rPr>
                <w:rFonts w:hint="eastAsia" w:ascii="宋体" w:hAnsi="Times New Roman" w:eastAsia="宋体" w:cs="Times New Roman"/>
                <w:lang w:eastAsia="zh-CN"/>
              </w:rPr>
              <w:t>4.未提供相关内容的，F=0 分。</w:t>
            </w:r>
          </w:p>
          <w:p w14:paraId="1F94E1D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val="en-US" w:eastAsia="zh-CN"/>
              </w:rPr>
              <w:t>F为投标人此项得分</w:t>
            </w:r>
          </w:p>
        </w:tc>
      </w:tr>
      <w:tr w14:paraId="07CA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8" w:type="dxa"/>
            <w:vMerge w:val="continue"/>
            <w:noWrap w:val="0"/>
            <w:vAlign w:val="center"/>
          </w:tcPr>
          <w:p w14:paraId="3687B44A">
            <w:pPr>
              <w:snapToGrid w:val="0"/>
              <w:spacing w:line="360" w:lineRule="auto"/>
              <w:jc w:val="center"/>
              <w:rPr>
                <w:rFonts w:hint="eastAsia" w:ascii="宋体" w:hAnsi="宋体" w:eastAsia="宋体" w:cs="宋体"/>
                <w:bCs/>
                <w:color w:val="auto"/>
              </w:rPr>
            </w:pPr>
          </w:p>
        </w:tc>
        <w:tc>
          <w:tcPr>
            <w:tcW w:w="947" w:type="dxa"/>
            <w:vMerge w:val="continue"/>
            <w:noWrap w:val="0"/>
            <w:vAlign w:val="center"/>
          </w:tcPr>
          <w:p w14:paraId="074FAA71">
            <w:pPr>
              <w:snapToGrid w:val="0"/>
              <w:spacing w:line="360" w:lineRule="auto"/>
              <w:jc w:val="center"/>
              <w:rPr>
                <w:rFonts w:hint="eastAsia" w:ascii="宋体" w:hAnsi="宋体" w:eastAsia="宋体" w:cs="宋体"/>
                <w:color w:val="auto"/>
              </w:rPr>
            </w:pPr>
          </w:p>
        </w:tc>
        <w:tc>
          <w:tcPr>
            <w:tcW w:w="847" w:type="dxa"/>
            <w:noWrap w:val="0"/>
            <w:tcMar>
              <w:left w:w="75" w:type="dxa"/>
            </w:tcMar>
            <w:vAlign w:val="center"/>
          </w:tcPr>
          <w:p w14:paraId="3AB065DD">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宋体"/>
                <w:snapToGrid w:val="0"/>
                <w:color w:val="auto"/>
                <w:kern w:val="0"/>
                <w:sz w:val="24"/>
                <w:szCs w:val="24"/>
                <w:lang w:eastAsia="en-US"/>
              </w:rPr>
              <w:t>售后服务</w:t>
            </w:r>
          </w:p>
        </w:tc>
        <w:tc>
          <w:tcPr>
            <w:tcW w:w="804" w:type="dxa"/>
            <w:noWrap w:val="0"/>
            <w:vAlign w:val="center"/>
          </w:tcPr>
          <w:p w14:paraId="130E0090">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Arial"/>
                <w:bCs/>
                <w:snapToGrid w:val="0"/>
                <w:color w:val="auto"/>
                <w:kern w:val="0"/>
                <w:sz w:val="24"/>
                <w:szCs w:val="24"/>
                <w:lang w:eastAsia="en-US"/>
              </w:rPr>
              <w:t>0-</w:t>
            </w:r>
            <w:r>
              <w:rPr>
                <w:rFonts w:hint="eastAsia" w:hAnsi="宋体" w:cs="Arial"/>
                <w:bCs/>
                <w:snapToGrid w:val="0"/>
                <w:color w:val="auto"/>
                <w:kern w:val="0"/>
                <w:sz w:val="24"/>
                <w:szCs w:val="24"/>
                <w:lang w:val="en-US" w:eastAsia="zh-CN"/>
              </w:rPr>
              <w:t>8</w:t>
            </w:r>
            <w:r>
              <w:rPr>
                <w:rFonts w:hint="eastAsia" w:ascii="宋体" w:hAnsi="宋体" w:eastAsia="宋体" w:cs="Arial"/>
                <w:bCs/>
                <w:snapToGrid w:val="0"/>
                <w:color w:val="auto"/>
                <w:kern w:val="0"/>
                <w:sz w:val="24"/>
                <w:szCs w:val="24"/>
                <w:lang w:eastAsia="en-US"/>
              </w:rPr>
              <w:t>分</w:t>
            </w:r>
          </w:p>
        </w:tc>
        <w:tc>
          <w:tcPr>
            <w:tcW w:w="5100" w:type="dxa"/>
            <w:noWrap w:val="0"/>
            <w:vAlign w:val="center"/>
          </w:tcPr>
          <w:p w14:paraId="4F5C20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根据投标人或所投产品制造商，针对本项目提供的售后服务方案进行评价，评审指标：①质保期内和质保期外的服务承诺及措施；②服务响应方案及应急措施；③备件（易耗品）供应方案；④服务人员配备方案等；</w:t>
            </w:r>
          </w:p>
          <w:p w14:paraId="014D18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1.方案科学合理，能够完全满足本项目的实际需求，完整详细、科学、合理、完善，得</w:t>
            </w:r>
            <w:r>
              <w:rPr>
                <w:rFonts w:hint="eastAsia" w:cs="Times New Roman"/>
                <w:lang w:val="en-US" w:eastAsia="zh-CN"/>
              </w:rPr>
              <w:t>5</w:t>
            </w:r>
            <w:r>
              <w:rPr>
                <w:rFonts w:hint="eastAsia" w:ascii="宋体" w:hAnsi="Times New Roman" w:eastAsia="宋体" w:cs="Times New Roman"/>
                <w:lang w:eastAsia="zh-CN"/>
              </w:rPr>
              <w:t xml:space="preserve"> 分＜F≤</w:t>
            </w:r>
            <w:r>
              <w:rPr>
                <w:rFonts w:hint="eastAsia" w:cs="Times New Roman"/>
                <w:lang w:val="en-US" w:eastAsia="zh-CN"/>
              </w:rPr>
              <w:t>8</w:t>
            </w:r>
            <w:r>
              <w:rPr>
                <w:rFonts w:hint="eastAsia" w:ascii="宋体" w:hAnsi="Times New Roman" w:eastAsia="宋体" w:cs="Times New Roman"/>
                <w:lang w:eastAsia="zh-CN"/>
              </w:rPr>
              <w:t>分；</w:t>
            </w:r>
          </w:p>
          <w:p w14:paraId="53339E1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 xml:space="preserve">2.方案较合理，有一定可行性的，得 </w:t>
            </w:r>
            <w:r>
              <w:rPr>
                <w:rFonts w:hint="eastAsia" w:cs="Times New Roman"/>
                <w:lang w:val="en-US" w:eastAsia="zh-CN"/>
              </w:rPr>
              <w:t>3</w:t>
            </w:r>
            <w:r>
              <w:rPr>
                <w:rFonts w:hint="eastAsia" w:ascii="宋体" w:hAnsi="Times New Roman" w:eastAsia="宋体" w:cs="Times New Roman"/>
                <w:lang w:eastAsia="zh-CN"/>
              </w:rPr>
              <w:t xml:space="preserve"> 分＜F≤</w:t>
            </w:r>
            <w:r>
              <w:rPr>
                <w:rFonts w:hint="eastAsia" w:cs="Times New Roman"/>
                <w:lang w:val="en-US" w:eastAsia="zh-CN"/>
              </w:rPr>
              <w:t>5</w:t>
            </w:r>
            <w:r>
              <w:rPr>
                <w:rFonts w:hint="eastAsia" w:ascii="宋体" w:hAnsi="Times New Roman" w:eastAsia="宋体" w:cs="Times New Roman"/>
                <w:lang w:eastAsia="zh-CN"/>
              </w:rPr>
              <w:t xml:space="preserve"> 分；</w:t>
            </w:r>
          </w:p>
          <w:p w14:paraId="5ACD2E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3.方案合理性有待提升，细节有待完善，得 1 分＜F≤</w:t>
            </w:r>
            <w:r>
              <w:rPr>
                <w:rFonts w:hint="eastAsia" w:cs="Times New Roman"/>
                <w:lang w:val="en-US" w:eastAsia="zh-CN"/>
              </w:rPr>
              <w:t>3</w:t>
            </w:r>
            <w:r>
              <w:rPr>
                <w:rFonts w:hint="eastAsia" w:ascii="宋体" w:hAnsi="Times New Roman" w:eastAsia="宋体" w:cs="Times New Roman"/>
                <w:lang w:eastAsia="zh-CN"/>
              </w:rPr>
              <w:t>分；</w:t>
            </w:r>
          </w:p>
          <w:p w14:paraId="083384E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val="en-US" w:eastAsia="en-US"/>
              </w:rPr>
            </w:pPr>
            <w:r>
              <w:rPr>
                <w:rFonts w:hint="eastAsia" w:ascii="宋体" w:hAnsi="Times New Roman" w:eastAsia="宋体" w:cs="Times New Roman"/>
                <w:lang w:eastAsia="zh-CN"/>
              </w:rPr>
              <w:t>4.未提供相关内容的，F=0 分。</w:t>
            </w:r>
          </w:p>
          <w:p w14:paraId="724A744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val="en-US" w:eastAsia="zh-CN"/>
              </w:rPr>
              <w:t>F为投标人此项得分</w:t>
            </w:r>
            <w:r>
              <w:rPr>
                <w:rFonts w:hint="eastAsia" w:ascii="宋体" w:hAnsi="Times New Roman" w:eastAsia="宋体" w:cs="Times New Roman"/>
                <w:lang w:eastAsia="zh-CN"/>
              </w:rPr>
              <w:t xml:space="preserve"> </w:t>
            </w:r>
          </w:p>
        </w:tc>
      </w:tr>
      <w:tr w14:paraId="5087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8" w:type="dxa"/>
            <w:vMerge w:val="continue"/>
            <w:noWrap w:val="0"/>
            <w:vAlign w:val="center"/>
          </w:tcPr>
          <w:p w14:paraId="3B6BCD81">
            <w:pPr>
              <w:snapToGrid w:val="0"/>
              <w:spacing w:line="360" w:lineRule="auto"/>
              <w:jc w:val="center"/>
              <w:rPr>
                <w:rFonts w:hint="eastAsia" w:ascii="宋体" w:hAnsi="宋体" w:eastAsia="宋体" w:cs="宋体"/>
                <w:bCs/>
                <w:color w:val="auto"/>
              </w:rPr>
            </w:pPr>
          </w:p>
        </w:tc>
        <w:tc>
          <w:tcPr>
            <w:tcW w:w="947" w:type="dxa"/>
            <w:vMerge w:val="continue"/>
            <w:noWrap w:val="0"/>
            <w:vAlign w:val="center"/>
          </w:tcPr>
          <w:p w14:paraId="6D6B872D">
            <w:pPr>
              <w:snapToGrid w:val="0"/>
              <w:spacing w:line="360" w:lineRule="auto"/>
              <w:jc w:val="center"/>
              <w:rPr>
                <w:rFonts w:hint="eastAsia" w:ascii="宋体" w:hAnsi="宋体" w:eastAsia="宋体" w:cs="宋体"/>
                <w:bCs/>
                <w:color w:val="auto"/>
              </w:rPr>
            </w:pPr>
          </w:p>
        </w:tc>
        <w:tc>
          <w:tcPr>
            <w:tcW w:w="847" w:type="dxa"/>
            <w:noWrap w:val="0"/>
            <w:tcMar>
              <w:left w:w="75" w:type="dxa"/>
            </w:tcMar>
            <w:vAlign w:val="center"/>
          </w:tcPr>
          <w:p w14:paraId="439B18D7">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宋体"/>
                <w:snapToGrid w:val="0"/>
                <w:color w:val="auto"/>
                <w:kern w:val="0"/>
                <w:sz w:val="24"/>
                <w:szCs w:val="24"/>
                <w:lang w:eastAsia="en-US"/>
              </w:rPr>
              <w:t>质量保证措施</w:t>
            </w:r>
          </w:p>
        </w:tc>
        <w:tc>
          <w:tcPr>
            <w:tcW w:w="804" w:type="dxa"/>
            <w:noWrap w:val="0"/>
            <w:vAlign w:val="center"/>
          </w:tcPr>
          <w:p w14:paraId="2180716E">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Arial"/>
                <w:bCs/>
                <w:snapToGrid w:val="0"/>
                <w:color w:val="auto"/>
                <w:kern w:val="0"/>
                <w:sz w:val="24"/>
                <w:szCs w:val="24"/>
              </w:rPr>
              <w:t>0-</w:t>
            </w:r>
            <w:r>
              <w:rPr>
                <w:rFonts w:hint="eastAsia" w:hAnsi="宋体" w:cs="Arial"/>
                <w:bCs/>
                <w:snapToGrid w:val="0"/>
                <w:color w:val="auto"/>
                <w:kern w:val="0"/>
                <w:sz w:val="24"/>
                <w:szCs w:val="24"/>
                <w:lang w:val="en-US" w:eastAsia="zh-CN"/>
              </w:rPr>
              <w:t>8</w:t>
            </w:r>
            <w:r>
              <w:rPr>
                <w:rFonts w:hint="eastAsia" w:ascii="宋体" w:hAnsi="宋体" w:eastAsia="宋体" w:cs="Arial"/>
                <w:bCs/>
                <w:snapToGrid w:val="0"/>
                <w:color w:val="auto"/>
                <w:kern w:val="0"/>
                <w:sz w:val="24"/>
                <w:szCs w:val="24"/>
              </w:rPr>
              <w:t>分</w:t>
            </w:r>
          </w:p>
        </w:tc>
        <w:tc>
          <w:tcPr>
            <w:tcW w:w="5100" w:type="dxa"/>
            <w:noWrap w:val="0"/>
            <w:vAlign w:val="center"/>
          </w:tcPr>
          <w:p w14:paraId="2EF01DF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根据投标人或所投产品制造商，针对拟投产品提供的质量保证措施进行评价，评审指标：①产品生产全过程质量控制；②成品交付过程质量控制③质量问题处理方案；④产品质量检测能力等；</w:t>
            </w:r>
          </w:p>
          <w:p w14:paraId="0E11B98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1.方案科学合理，能够完全满足本项目的实际需求，完整详细、科学、合理、完善，得</w:t>
            </w:r>
            <w:r>
              <w:rPr>
                <w:rFonts w:hint="eastAsia" w:cs="Times New Roman"/>
                <w:lang w:val="en-US" w:eastAsia="zh-CN"/>
              </w:rPr>
              <w:t>5</w:t>
            </w:r>
            <w:r>
              <w:rPr>
                <w:rFonts w:hint="eastAsia" w:ascii="宋体" w:hAnsi="Times New Roman" w:eastAsia="宋体" w:cs="Times New Roman"/>
                <w:lang w:eastAsia="zh-CN"/>
              </w:rPr>
              <w:t xml:space="preserve"> 分＜F≤</w:t>
            </w:r>
            <w:r>
              <w:rPr>
                <w:rFonts w:hint="eastAsia" w:cs="Times New Roman"/>
                <w:lang w:val="en-US" w:eastAsia="zh-CN"/>
              </w:rPr>
              <w:t>8</w:t>
            </w:r>
            <w:r>
              <w:rPr>
                <w:rFonts w:hint="eastAsia" w:ascii="宋体" w:hAnsi="Times New Roman" w:eastAsia="宋体" w:cs="Times New Roman"/>
                <w:lang w:eastAsia="zh-CN"/>
              </w:rPr>
              <w:t>分；</w:t>
            </w:r>
          </w:p>
          <w:p w14:paraId="67127D2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 xml:space="preserve">2.方案较合理，有一定可行性的，得 </w:t>
            </w:r>
            <w:r>
              <w:rPr>
                <w:rFonts w:hint="eastAsia" w:cs="Times New Roman"/>
                <w:lang w:val="en-US" w:eastAsia="zh-CN"/>
              </w:rPr>
              <w:t>3</w:t>
            </w:r>
            <w:r>
              <w:rPr>
                <w:rFonts w:hint="eastAsia" w:ascii="宋体" w:hAnsi="Times New Roman" w:eastAsia="宋体" w:cs="Times New Roman"/>
                <w:lang w:eastAsia="zh-CN"/>
              </w:rPr>
              <w:t xml:space="preserve"> 分＜F≤</w:t>
            </w:r>
            <w:r>
              <w:rPr>
                <w:rFonts w:hint="eastAsia" w:cs="Times New Roman"/>
                <w:lang w:val="en-US" w:eastAsia="zh-CN"/>
              </w:rPr>
              <w:t>5</w:t>
            </w:r>
            <w:r>
              <w:rPr>
                <w:rFonts w:hint="eastAsia" w:ascii="宋体" w:hAnsi="Times New Roman" w:eastAsia="宋体" w:cs="Times New Roman"/>
                <w:lang w:eastAsia="zh-CN"/>
              </w:rPr>
              <w:t xml:space="preserve"> 分；</w:t>
            </w:r>
          </w:p>
          <w:p w14:paraId="56AA5A0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3.方案合理性有待提升，细节有待完善，得 1 分＜F≤</w:t>
            </w:r>
            <w:r>
              <w:rPr>
                <w:rFonts w:hint="eastAsia" w:cs="Times New Roman"/>
                <w:lang w:val="en-US" w:eastAsia="zh-CN"/>
              </w:rPr>
              <w:t>3</w:t>
            </w:r>
            <w:r>
              <w:rPr>
                <w:rFonts w:hint="eastAsia" w:ascii="宋体" w:hAnsi="Times New Roman" w:eastAsia="宋体" w:cs="Times New Roman"/>
                <w:lang w:eastAsia="zh-CN"/>
              </w:rPr>
              <w:t>分；</w:t>
            </w:r>
          </w:p>
          <w:p w14:paraId="3BF5F0A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val="en-US" w:eastAsia="en-US"/>
              </w:rPr>
            </w:pPr>
            <w:r>
              <w:rPr>
                <w:rFonts w:hint="eastAsia" w:ascii="宋体" w:hAnsi="Times New Roman" w:eastAsia="宋体" w:cs="Times New Roman"/>
                <w:lang w:eastAsia="zh-CN"/>
              </w:rPr>
              <w:t>4.未提供相关内容的，F=0 分。</w:t>
            </w:r>
          </w:p>
          <w:p w14:paraId="20FC723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val="en-US" w:eastAsia="zh-CN"/>
              </w:rPr>
              <w:t>F为投标人此项得分</w:t>
            </w:r>
          </w:p>
        </w:tc>
      </w:tr>
      <w:tr w14:paraId="65AF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8" w:type="dxa"/>
            <w:vMerge w:val="restart"/>
            <w:noWrap w:val="0"/>
            <w:vAlign w:val="center"/>
          </w:tcPr>
          <w:p w14:paraId="10B2A79D">
            <w:pPr>
              <w:snapToGrid w:val="0"/>
              <w:spacing w:line="360" w:lineRule="auto"/>
              <w:jc w:val="center"/>
              <w:rPr>
                <w:rFonts w:hint="eastAsia" w:ascii="宋体" w:hAnsi="宋体" w:eastAsia="宋体" w:cs="宋体"/>
                <w:bCs/>
                <w:color w:val="auto"/>
              </w:rPr>
            </w:pPr>
            <w:r>
              <w:rPr>
                <w:rFonts w:hint="eastAsia" w:ascii="宋体" w:hAnsi="宋体" w:eastAsia="宋体" w:cs="宋体"/>
                <w:bCs/>
                <w:color w:val="auto"/>
              </w:rPr>
              <w:t>2.2.2（2）</w:t>
            </w:r>
          </w:p>
        </w:tc>
        <w:tc>
          <w:tcPr>
            <w:tcW w:w="947" w:type="dxa"/>
            <w:vMerge w:val="restart"/>
            <w:noWrap w:val="0"/>
            <w:vAlign w:val="center"/>
          </w:tcPr>
          <w:p w14:paraId="28A787BF">
            <w:pPr>
              <w:snapToGrid w:val="0"/>
              <w:spacing w:line="360" w:lineRule="auto"/>
              <w:jc w:val="center"/>
              <w:rPr>
                <w:rFonts w:hint="eastAsia" w:ascii="宋体" w:hAnsi="宋体" w:eastAsia="宋体" w:cs="宋体"/>
                <w:bCs/>
                <w:color w:val="auto"/>
              </w:rPr>
            </w:pPr>
            <w:r>
              <w:rPr>
                <w:rFonts w:hint="eastAsia" w:ascii="宋体" w:hAnsi="宋体" w:eastAsia="宋体" w:cs="宋体"/>
                <w:bCs/>
                <w:color w:val="auto"/>
                <w:lang w:val="en-US" w:eastAsia="zh-CN"/>
              </w:rPr>
              <w:t>商务</w:t>
            </w:r>
            <w:r>
              <w:rPr>
                <w:rFonts w:hint="eastAsia" w:ascii="宋体" w:hAnsi="宋体" w:eastAsia="宋体" w:cs="宋体"/>
                <w:bCs/>
                <w:color w:val="auto"/>
              </w:rPr>
              <w:t>文件评分标准</w:t>
            </w:r>
          </w:p>
        </w:tc>
        <w:tc>
          <w:tcPr>
            <w:tcW w:w="847" w:type="dxa"/>
            <w:noWrap w:val="0"/>
            <w:tcMar>
              <w:left w:w="75" w:type="dxa"/>
            </w:tcMar>
            <w:vAlign w:val="center"/>
          </w:tcPr>
          <w:p w14:paraId="278C99D9">
            <w:pPr>
              <w:widowControl/>
              <w:kinsoku w:val="0"/>
              <w:autoSpaceDE w:val="0"/>
              <w:autoSpaceDN w:val="0"/>
              <w:adjustRightInd w:val="0"/>
              <w:snapToGrid w:val="0"/>
              <w:spacing w:line="360" w:lineRule="auto"/>
              <w:ind w:right="-10" w:rightChars="0"/>
              <w:jc w:val="left"/>
              <w:textAlignment w:val="baseline"/>
              <w:rPr>
                <w:rFonts w:hint="eastAsia" w:ascii="宋体" w:hAnsi="宋体" w:eastAsia="宋体" w:cs="宋体"/>
                <w:color w:val="auto"/>
              </w:rPr>
            </w:pPr>
            <w:r>
              <w:rPr>
                <w:rFonts w:hint="eastAsia" w:ascii="宋体" w:hAnsi="宋体" w:eastAsia="宋体" w:cs="Arial"/>
                <w:snapToGrid w:val="0"/>
                <w:color w:val="auto"/>
                <w:kern w:val="0"/>
                <w:sz w:val="24"/>
                <w:szCs w:val="24"/>
              </w:rPr>
              <w:t>类似项目</w:t>
            </w:r>
            <w:r>
              <w:rPr>
                <w:rFonts w:hint="eastAsia" w:ascii="宋体" w:hAnsi="宋体" w:eastAsia="宋体" w:cs="Arial"/>
                <w:snapToGrid w:val="0"/>
                <w:color w:val="auto"/>
                <w:kern w:val="0"/>
                <w:sz w:val="24"/>
                <w:szCs w:val="24"/>
                <w:lang w:eastAsia="en-US"/>
              </w:rPr>
              <w:t>业绩</w:t>
            </w:r>
          </w:p>
        </w:tc>
        <w:tc>
          <w:tcPr>
            <w:tcW w:w="804" w:type="dxa"/>
            <w:noWrap w:val="0"/>
            <w:vAlign w:val="center"/>
          </w:tcPr>
          <w:p w14:paraId="2FFAC174">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Arial"/>
                <w:snapToGrid w:val="0"/>
                <w:color w:val="auto"/>
                <w:kern w:val="0"/>
                <w:sz w:val="24"/>
                <w:szCs w:val="24"/>
              </w:rPr>
              <w:t>0-</w:t>
            </w:r>
            <w:r>
              <w:rPr>
                <w:rFonts w:hint="eastAsia" w:hAnsi="宋体" w:cs="Arial"/>
                <w:snapToGrid w:val="0"/>
                <w:color w:val="auto"/>
                <w:kern w:val="0"/>
                <w:sz w:val="24"/>
                <w:szCs w:val="24"/>
                <w:lang w:val="en-US" w:eastAsia="zh-CN"/>
              </w:rPr>
              <w:t>9</w:t>
            </w:r>
            <w:r>
              <w:rPr>
                <w:rFonts w:hint="eastAsia" w:ascii="宋体" w:hAnsi="宋体" w:eastAsia="宋体" w:cs="Arial"/>
                <w:snapToGrid w:val="0"/>
                <w:color w:val="auto"/>
                <w:kern w:val="0"/>
                <w:sz w:val="24"/>
                <w:szCs w:val="24"/>
              </w:rPr>
              <w:t>分</w:t>
            </w:r>
          </w:p>
        </w:tc>
        <w:tc>
          <w:tcPr>
            <w:tcW w:w="5100" w:type="dxa"/>
            <w:noWrap w:val="0"/>
            <w:vAlign w:val="top"/>
          </w:tcPr>
          <w:p w14:paraId="7FA2D03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Times New Roman" w:eastAsia="宋体" w:cs="Times New Roman"/>
                <w:lang w:val="en-US" w:eastAsia="zh-CN"/>
              </w:rPr>
            </w:pPr>
            <w:r>
              <w:rPr>
                <w:rFonts w:hint="eastAsia" w:ascii="宋体" w:hAnsi="Times New Roman" w:eastAsia="宋体" w:cs="Times New Roman"/>
                <w:lang w:eastAsia="zh-CN"/>
              </w:rPr>
              <w:t>自202</w:t>
            </w:r>
            <w:r>
              <w:rPr>
                <w:rFonts w:hint="eastAsia" w:ascii="宋体" w:hAnsi="Times New Roman" w:eastAsia="宋体" w:cs="Times New Roman"/>
                <w:lang w:val="en-US" w:eastAsia="zh-CN"/>
              </w:rPr>
              <w:t>1</w:t>
            </w:r>
            <w:r>
              <w:rPr>
                <w:rFonts w:hint="eastAsia" w:ascii="宋体" w:hAnsi="Times New Roman" w:eastAsia="宋体" w:cs="Times New Roman"/>
                <w:lang w:eastAsia="zh-CN"/>
              </w:rPr>
              <w:t>年1月1日以来（以合同签订日期为准），投标人</w:t>
            </w:r>
            <w:r>
              <w:rPr>
                <w:rFonts w:hint="eastAsia" w:ascii="宋体" w:hAnsi="Times New Roman" w:eastAsia="宋体" w:cs="Times New Roman"/>
                <w:lang w:val="en-US" w:eastAsia="zh-CN"/>
              </w:rPr>
              <w:t>或</w:t>
            </w:r>
            <w:r>
              <w:rPr>
                <w:rFonts w:hint="eastAsia" w:ascii="宋体" w:hAnsi="Times New Roman" w:eastAsia="宋体" w:cs="Times New Roman"/>
                <w:lang w:eastAsia="zh-CN"/>
              </w:rPr>
              <w:t>所投产品制造商在中华人民共和国境内（不含港澳台地区）具</w:t>
            </w:r>
            <w:r>
              <w:rPr>
                <w:rFonts w:hint="eastAsia" w:ascii="宋体" w:hAnsi="Times New Roman" w:eastAsia="宋体" w:cs="Times New Roman"/>
                <w:lang w:val="en-US" w:eastAsia="zh-CN"/>
              </w:rPr>
              <w:t>有</w:t>
            </w:r>
            <w:r>
              <w:rPr>
                <w:rFonts w:hint="eastAsia" w:ascii="宋体" w:hAnsi="宋体" w:eastAsia="宋体" w:cs="宋体"/>
                <w:sz w:val="24"/>
                <w:szCs w:val="24"/>
                <w:lang w:val="en-US" w:eastAsia="zh-CN"/>
              </w:rPr>
              <w:t>电动环卫车辆（含电动保洁车、电动冲洗车、电动垃圾转运车辆等）供货项目</w:t>
            </w:r>
            <w:r>
              <w:rPr>
                <w:rFonts w:hint="eastAsia" w:ascii="宋体" w:hAnsi="宋体" w:eastAsia="宋体" w:cs="Arial"/>
                <w:snapToGrid w:val="0"/>
                <w:color w:val="auto"/>
                <w:kern w:val="0"/>
                <w:sz w:val="24"/>
                <w:szCs w:val="24"/>
                <w:lang w:val="en-US" w:eastAsia="zh-CN"/>
              </w:rPr>
              <w:t>不低于20万元</w:t>
            </w:r>
            <w:r>
              <w:rPr>
                <w:rFonts w:hint="eastAsia" w:ascii="宋体" w:hAnsi="宋体" w:eastAsia="宋体" w:cs="宋体"/>
                <w:sz w:val="24"/>
                <w:szCs w:val="24"/>
                <w:lang w:val="en-US" w:eastAsia="zh-CN"/>
              </w:rPr>
              <w:t>，不限于本项目同款型号</w:t>
            </w:r>
            <w:r>
              <w:rPr>
                <w:rFonts w:hint="eastAsia" w:ascii="宋体" w:hAnsi="Times New Roman" w:eastAsia="宋体" w:cs="Times New Roman"/>
                <w:lang w:val="en-US" w:eastAsia="zh-CN"/>
              </w:rPr>
              <w:t>销售（或供货）</w:t>
            </w:r>
            <w:r>
              <w:rPr>
                <w:rFonts w:hint="eastAsia" w:ascii="宋体" w:hAnsi="宋体" w:eastAsia="宋体" w:cs="Arial"/>
                <w:snapToGrid w:val="0"/>
                <w:color w:val="auto"/>
                <w:kern w:val="0"/>
                <w:sz w:val="24"/>
                <w:szCs w:val="24"/>
                <w:lang w:val="en-US" w:eastAsia="zh-CN"/>
              </w:rPr>
              <w:t>相关项目业绩，每提供一个业绩得</w:t>
            </w:r>
            <w:r>
              <w:rPr>
                <w:rFonts w:hint="eastAsia" w:hAnsi="宋体" w:cs="Arial"/>
                <w:snapToGrid w:val="0"/>
                <w:color w:val="auto"/>
                <w:kern w:val="0"/>
                <w:sz w:val="24"/>
                <w:szCs w:val="24"/>
                <w:lang w:val="en-US" w:eastAsia="zh-CN"/>
              </w:rPr>
              <w:t>3</w:t>
            </w:r>
            <w:r>
              <w:rPr>
                <w:rFonts w:hint="eastAsia" w:ascii="宋体" w:hAnsi="宋体" w:eastAsia="宋体" w:cs="Arial"/>
                <w:snapToGrid w:val="0"/>
                <w:color w:val="auto"/>
                <w:kern w:val="0"/>
                <w:sz w:val="24"/>
                <w:szCs w:val="24"/>
                <w:lang w:val="en-US" w:eastAsia="zh-CN"/>
              </w:rPr>
              <w:t>分，满分</w:t>
            </w:r>
            <w:r>
              <w:rPr>
                <w:rFonts w:hint="eastAsia" w:hAnsi="宋体" w:cs="Arial"/>
                <w:snapToGrid w:val="0"/>
                <w:color w:val="auto"/>
                <w:kern w:val="0"/>
                <w:sz w:val="24"/>
                <w:szCs w:val="24"/>
                <w:lang w:val="en-US" w:eastAsia="zh-CN"/>
              </w:rPr>
              <w:t>9</w:t>
            </w:r>
            <w:r>
              <w:rPr>
                <w:rFonts w:hint="eastAsia" w:ascii="宋体" w:hAnsi="宋体" w:eastAsia="宋体" w:cs="Arial"/>
                <w:snapToGrid w:val="0"/>
                <w:color w:val="auto"/>
                <w:kern w:val="0"/>
                <w:sz w:val="24"/>
                <w:szCs w:val="24"/>
                <w:lang w:val="en-US" w:eastAsia="zh-CN"/>
              </w:rPr>
              <w:t>分</w:t>
            </w:r>
            <w:r>
              <w:rPr>
                <w:rFonts w:hint="eastAsia" w:ascii="宋体" w:hAnsi="Times New Roman" w:eastAsia="宋体" w:cs="Times New Roman"/>
                <w:lang w:val="en-US" w:eastAsia="zh-CN"/>
              </w:rPr>
              <w:t>。</w:t>
            </w:r>
          </w:p>
          <w:p w14:paraId="66633F3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宋体" w:eastAsia="宋体" w:cs="Arial"/>
                <w:b/>
                <w:bCs/>
                <w:snapToGrid w:val="0"/>
                <w:color w:val="auto"/>
                <w:kern w:val="0"/>
                <w:sz w:val="24"/>
                <w:szCs w:val="24"/>
                <w:lang w:val="en-US" w:eastAsia="zh-CN"/>
              </w:rPr>
              <w:t>投标文件中同时提供以下证明材料：①合同扫描件；②供货安装完毕并验收合格的相关证明文件（如验收证书或合同甲方开具的证明等）；如投标人提供的上述业绩证明材料未能完整或充分反映评审因素（如合同签订时间、投标人名称、单个合同金额、供货内容等）的，应另附合同甲方证明材料（须加盖合同甲方单位章）予以明确说明，否则评标委员会不予认可。</w:t>
            </w:r>
          </w:p>
        </w:tc>
      </w:tr>
      <w:tr w14:paraId="5603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8" w:type="dxa"/>
            <w:vMerge w:val="continue"/>
            <w:noWrap w:val="0"/>
            <w:vAlign w:val="center"/>
          </w:tcPr>
          <w:p w14:paraId="4D5B7CF4">
            <w:pPr>
              <w:snapToGrid w:val="0"/>
              <w:spacing w:line="360" w:lineRule="auto"/>
              <w:jc w:val="center"/>
              <w:rPr>
                <w:rFonts w:hint="eastAsia" w:ascii="宋体" w:hAnsi="宋体" w:eastAsia="宋体" w:cs="宋体"/>
                <w:bCs/>
                <w:color w:val="auto"/>
              </w:rPr>
            </w:pPr>
          </w:p>
        </w:tc>
        <w:tc>
          <w:tcPr>
            <w:tcW w:w="947" w:type="dxa"/>
            <w:vMerge w:val="continue"/>
            <w:noWrap w:val="0"/>
            <w:vAlign w:val="center"/>
          </w:tcPr>
          <w:p w14:paraId="22BA0B08">
            <w:pPr>
              <w:snapToGrid w:val="0"/>
              <w:spacing w:line="360" w:lineRule="auto"/>
              <w:jc w:val="center"/>
              <w:rPr>
                <w:rFonts w:hint="eastAsia" w:ascii="宋体" w:hAnsi="宋体" w:eastAsia="宋体" w:cs="宋体"/>
                <w:bCs/>
                <w:color w:val="auto"/>
              </w:rPr>
            </w:pPr>
          </w:p>
        </w:tc>
        <w:tc>
          <w:tcPr>
            <w:tcW w:w="847" w:type="dxa"/>
            <w:noWrap w:val="0"/>
            <w:tcMar>
              <w:left w:w="75" w:type="dxa"/>
            </w:tcMar>
            <w:vAlign w:val="center"/>
          </w:tcPr>
          <w:p w14:paraId="658CFF7B">
            <w:pPr>
              <w:widowControl/>
              <w:kinsoku w:val="0"/>
              <w:autoSpaceDE w:val="0"/>
              <w:autoSpaceDN w:val="0"/>
              <w:adjustRightInd w:val="0"/>
              <w:snapToGrid w:val="0"/>
              <w:spacing w:line="360" w:lineRule="auto"/>
              <w:ind w:right="-10" w:rightChars="0"/>
              <w:jc w:val="left"/>
              <w:textAlignment w:val="baseline"/>
              <w:rPr>
                <w:rFonts w:hint="eastAsia" w:ascii="宋体" w:hAnsi="宋体" w:eastAsia="宋体" w:cs="宋体"/>
                <w:color w:val="auto"/>
              </w:rPr>
            </w:pPr>
            <w:r>
              <w:rPr>
                <w:rFonts w:hint="eastAsia" w:ascii="宋体" w:hAnsi="宋体" w:eastAsia="宋体" w:cs="Arial"/>
                <w:snapToGrid w:val="0"/>
                <w:color w:val="auto"/>
                <w:kern w:val="0"/>
                <w:sz w:val="24"/>
                <w:szCs w:val="24"/>
                <w:lang w:eastAsia="en-US"/>
              </w:rPr>
              <w:t>投标人资信</w:t>
            </w:r>
          </w:p>
        </w:tc>
        <w:tc>
          <w:tcPr>
            <w:tcW w:w="804" w:type="dxa"/>
            <w:noWrap w:val="0"/>
            <w:vAlign w:val="center"/>
          </w:tcPr>
          <w:p w14:paraId="62533F31">
            <w:pPr>
              <w:widowControl/>
              <w:kinsoku w:val="0"/>
              <w:autoSpaceDE w:val="0"/>
              <w:autoSpaceDN w:val="0"/>
              <w:adjustRightInd w:val="0"/>
              <w:snapToGrid w:val="0"/>
              <w:spacing w:line="360" w:lineRule="auto"/>
              <w:jc w:val="center"/>
              <w:textAlignment w:val="baseline"/>
              <w:rPr>
                <w:rFonts w:hint="eastAsia" w:ascii="宋体" w:hAnsi="宋体" w:eastAsia="宋体" w:cs="宋体"/>
                <w:color w:val="auto"/>
              </w:rPr>
            </w:pPr>
            <w:r>
              <w:rPr>
                <w:rFonts w:hint="eastAsia" w:ascii="宋体" w:hAnsi="宋体" w:eastAsia="宋体" w:cs="Arial"/>
                <w:bCs/>
                <w:snapToGrid w:val="0"/>
                <w:color w:val="auto"/>
                <w:kern w:val="0"/>
                <w:sz w:val="24"/>
                <w:szCs w:val="24"/>
                <w:lang w:eastAsia="en-US"/>
              </w:rPr>
              <w:t>0-</w:t>
            </w:r>
            <w:r>
              <w:rPr>
                <w:rFonts w:hint="eastAsia" w:hAnsi="宋体" w:cs="Arial"/>
                <w:bCs/>
                <w:snapToGrid w:val="0"/>
                <w:color w:val="auto"/>
                <w:kern w:val="0"/>
                <w:sz w:val="24"/>
                <w:szCs w:val="24"/>
                <w:lang w:val="en-US" w:eastAsia="zh-CN"/>
              </w:rPr>
              <w:t>9</w:t>
            </w:r>
            <w:r>
              <w:rPr>
                <w:rFonts w:hint="eastAsia" w:ascii="宋体" w:hAnsi="宋体" w:eastAsia="宋体" w:cs="Arial"/>
                <w:bCs/>
                <w:snapToGrid w:val="0"/>
                <w:color w:val="auto"/>
                <w:kern w:val="0"/>
                <w:sz w:val="24"/>
                <w:szCs w:val="24"/>
                <w:lang w:eastAsia="en-US"/>
              </w:rPr>
              <w:t>分</w:t>
            </w:r>
          </w:p>
        </w:tc>
        <w:tc>
          <w:tcPr>
            <w:tcW w:w="5100" w:type="dxa"/>
            <w:noWrap w:val="0"/>
            <w:vAlign w:val="center"/>
          </w:tcPr>
          <w:p w14:paraId="5DB7D0B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投标人或所投产品制造商具有：</w:t>
            </w:r>
          </w:p>
          <w:p w14:paraId="593454F8">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eastAsia="zh-CN"/>
              </w:rPr>
              <w:t>质量</w:t>
            </w:r>
            <w:r>
              <w:rPr>
                <w:rFonts w:hint="eastAsia" w:ascii="宋体" w:hAnsi="Times New Roman" w:eastAsia="宋体" w:cs="Times New Roman"/>
                <w:lang w:val="en-US" w:eastAsia="zh-CN"/>
              </w:rPr>
              <w:t>管理</w:t>
            </w:r>
            <w:r>
              <w:rPr>
                <w:rFonts w:hint="eastAsia" w:ascii="宋体" w:hAnsi="Times New Roman" w:eastAsia="宋体" w:cs="Times New Roman"/>
                <w:lang w:eastAsia="zh-CN"/>
              </w:rPr>
              <w:t>体认证</w:t>
            </w:r>
            <w:r>
              <w:rPr>
                <w:rFonts w:hint="eastAsia" w:cs="Times New Roman"/>
                <w:lang w:val="en-US" w:eastAsia="zh-CN"/>
              </w:rPr>
              <w:t>3</w:t>
            </w:r>
            <w:r>
              <w:rPr>
                <w:rFonts w:hint="eastAsia" w:ascii="宋体" w:hAnsi="Times New Roman" w:eastAsia="宋体" w:cs="Times New Roman"/>
                <w:lang w:val="en-US" w:eastAsia="zh-CN"/>
              </w:rPr>
              <w:t>分</w:t>
            </w:r>
            <w:r>
              <w:rPr>
                <w:rFonts w:hint="eastAsia" w:ascii="宋体" w:hAnsi="Times New Roman" w:eastAsia="宋体" w:cs="Times New Roman"/>
                <w:lang w:eastAsia="zh-CN"/>
              </w:rPr>
              <w:t>；</w:t>
            </w:r>
          </w:p>
          <w:p w14:paraId="02E8EDE6">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Times New Roman" w:eastAsia="宋体" w:cs="Times New Roman"/>
                <w:lang w:val="en-US" w:eastAsia="zh-CN"/>
              </w:rPr>
              <w:t>环境</w:t>
            </w:r>
            <w:r>
              <w:rPr>
                <w:rFonts w:hint="eastAsia" w:ascii="宋体" w:hAnsi="Times New Roman" w:eastAsia="宋体" w:cs="Times New Roman"/>
                <w:lang w:eastAsia="zh-CN"/>
              </w:rPr>
              <w:t>管理体系认证</w:t>
            </w:r>
            <w:r>
              <w:rPr>
                <w:rFonts w:hint="eastAsia" w:ascii="宋体" w:hAnsi="Times New Roman" w:eastAsia="宋体" w:cs="Times New Roman"/>
                <w:lang w:val="en-US" w:eastAsia="zh-CN"/>
              </w:rPr>
              <w:t>3分</w:t>
            </w:r>
            <w:r>
              <w:rPr>
                <w:rFonts w:hint="eastAsia" w:ascii="宋体" w:hAnsi="Times New Roman" w:eastAsia="宋体" w:cs="Times New Roman"/>
                <w:lang w:eastAsia="zh-CN"/>
              </w:rPr>
              <w:t>；</w:t>
            </w:r>
          </w:p>
          <w:p w14:paraId="374DD483">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宋体" w:eastAsia="宋体" w:cs="Arial"/>
                <w:snapToGrid w:val="0"/>
                <w:color w:val="auto"/>
                <w:kern w:val="0"/>
                <w:sz w:val="24"/>
                <w:szCs w:val="24"/>
                <w:lang w:val="en-US" w:eastAsia="zh-CN"/>
              </w:rPr>
              <w:t>职业健康安全管理体系</w:t>
            </w:r>
            <w:r>
              <w:rPr>
                <w:rFonts w:hint="eastAsia" w:ascii="宋体" w:hAnsi="Times New Roman" w:eastAsia="宋体" w:cs="Times New Roman"/>
                <w:lang w:eastAsia="zh-CN"/>
              </w:rPr>
              <w:t>认证</w:t>
            </w:r>
            <w:r>
              <w:rPr>
                <w:rFonts w:hint="eastAsia" w:ascii="宋体" w:hAnsi="Times New Roman" w:eastAsia="宋体" w:cs="Times New Roman"/>
                <w:lang w:val="en-US" w:eastAsia="zh-CN"/>
              </w:rPr>
              <w:t>3分，</w:t>
            </w:r>
          </w:p>
          <w:p w14:paraId="75DB1E5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Times New Roman" w:eastAsia="宋体" w:cs="Times New Roman"/>
                <w:lang w:eastAsia="zh-CN"/>
              </w:rPr>
            </w:pPr>
            <w:r>
              <w:rPr>
                <w:rFonts w:hint="eastAsia" w:ascii="宋体" w:hAnsi="宋体" w:eastAsia="宋体" w:cs="Arial"/>
                <w:b/>
                <w:bCs/>
                <w:snapToGrid w:val="0"/>
                <w:color w:val="auto"/>
                <w:kern w:val="0"/>
                <w:sz w:val="24"/>
                <w:szCs w:val="24"/>
                <w:lang w:val="en-US" w:eastAsia="zh-CN"/>
              </w:rPr>
              <w:t>注：</w:t>
            </w:r>
            <w:r>
              <w:rPr>
                <w:rFonts w:hint="eastAsia" w:ascii="宋体" w:hAnsi="宋体" w:eastAsia="宋体" w:cs="Times New Roman"/>
                <w:b/>
                <w:bCs/>
                <w:color w:val="000000"/>
                <w:sz w:val="24"/>
                <w:szCs w:val="24"/>
                <w:lang w:val="en-US" w:eastAsia="zh-CN"/>
              </w:rPr>
              <w:t>投标</w:t>
            </w:r>
            <w:r>
              <w:rPr>
                <w:rFonts w:hint="eastAsia" w:ascii="宋体" w:hAnsi="宋体" w:eastAsia="宋体"/>
                <w:b/>
                <w:bCs/>
                <w:color w:val="000000"/>
                <w:sz w:val="24"/>
              </w:rPr>
              <w:t>文件中提供全国认证认可信息公共服务平台官网</w:t>
            </w:r>
            <w:r>
              <w:rPr>
                <w:rFonts w:hint="eastAsia" w:ascii="宋体" w:hAnsi="宋体" w:eastAsia="宋体"/>
                <w:b/>
                <w:bCs/>
                <w:color w:val="000000"/>
                <w:sz w:val="24"/>
                <w:lang w:val="en-US" w:eastAsia="zh-CN"/>
              </w:rPr>
              <w:t>认证</w:t>
            </w:r>
            <w:r>
              <w:rPr>
                <w:rFonts w:hint="eastAsia" w:ascii="宋体" w:hAnsi="宋体" w:eastAsia="宋体"/>
                <w:b/>
                <w:bCs/>
                <w:color w:val="000000"/>
                <w:sz w:val="24"/>
              </w:rPr>
              <w:t>信息查询截图。</w:t>
            </w:r>
          </w:p>
        </w:tc>
      </w:tr>
      <w:tr w14:paraId="48B1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8" w:hRule="atLeast"/>
        </w:trPr>
        <w:tc>
          <w:tcPr>
            <w:tcW w:w="818" w:type="dxa"/>
            <w:noWrap w:val="0"/>
            <w:vAlign w:val="center"/>
          </w:tcPr>
          <w:p w14:paraId="633B429B">
            <w:pPr>
              <w:spacing w:line="360" w:lineRule="auto"/>
              <w:jc w:val="center"/>
              <w:rPr>
                <w:rFonts w:hint="eastAsia" w:ascii="宋体" w:hAnsi="宋体" w:eastAsia="宋体" w:cs="宋体"/>
                <w:bCs/>
                <w:color w:val="auto"/>
              </w:rPr>
            </w:pPr>
            <w:r>
              <w:rPr>
                <w:rFonts w:hint="eastAsia" w:ascii="宋体" w:hAnsi="宋体" w:eastAsia="宋体" w:cs="宋体"/>
                <w:color w:val="auto"/>
              </w:rPr>
              <w:t>2.2.2（3）</w:t>
            </w:r>
          </w:p>
        </w:tc>
        <w:tc>
          <w:tcPr>
            <w:tcW w:w="947" w:type="dxa"/>
            <w:noWrap w:val="0"/>
            <w:vAlign w:val="center"/>
          </w:tcPr>
          <w:p w14:paraId="1D9E8365">
            <w:pPr>
              <w:spacing w:line="360" w:lineRule="auto"/>
              <w:jc w:val="center"/>
              <w:rPr>
                <w:rFonts w:hint="eastAsia" w:ascii="宋体" w:hAnsi="宋体" w:eastAsia="宋体" w:cs="宋体"/>
                <w:bCs/>
                <w:color w:val="auto"/>
              </w:rPr>
            </w:pPr>
            <w:r>
              <w:rPr>
                <w:rFonts w:hint="eastAsia" w:ascii="宋体" w:hAnsi="宋体" w:eastAsia="宋体" w:cs="宋体"/>
                <w:color w:val="auto"/>
              </w:rPr>
              <w:t>报价文件评分标准</w:t>
            </w:r>
          </w:p>
        </w:tc>
        <w:tc>
          <w:tcPr>
            <w:tcW w:w="847" w:type="dxa"/>
            <w:noWrap w:val="0"/>
            <w:tcMar>
              <w:left w:w="75" w:type="dxa"/>
            </w:tcMar>
            <w:vAlign w:val="center"/>
          </w:tcPr>
          <w:p w14:paraId="64665714">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价格分</w:t>
            </w:r>
          </w:p>
        </w:tc>
        <w:tc>
          <w:tcPr>
            <w:tcW w:w="804" w:type="dxa"/>
            <w:noWrap w:val="0"/>
            <w:vAlign w:val="center"/>
          </w:tcPr>
          <w:p w14:paraId="4CD31765">
            <w:pPr>
              <w:widowControl/>
              <w:snapToGrid w:val="0"/>
              <w:jc w:val="center"/>
              <w:rPr>
                <w:rFonts w:hint="eastAsia" w:ascii="宋体" w:hAnsi="宋体" w:eastAsia="宋体" w:cs="宋体"/>
                <w:color w:val="auto"/>
              </w:rPr>
            </w:pPr>
            <w:r>
              <w:rPr>
                <w:rFonts w:hint="eastAsia" w:ascii="Times New Roman" w:cs="宋体"/>
                <w:color w:val="auto"/>
                <w:szCs w:val="24"/>
                <w:lang w:val="en-US" w:eastAsia="zh-CN"/>
              </w:rPr>
              <w:t>50</w:t>
            </w:r>
            <w:r>
              <w:rPr>
                <w:rFonts w:hint="eastAsia" w:ascii="Times New Roman" w:hAnsi="Times New Roman" w:eastAsia="宋体" w:cs="宋体"/>
                <w:color w:val="auto"/>
                <w:szCs w:val="24"/>
              </w:rPr>
              <w:t>分</w:t>
            </w:r>
          </w:p>
        </w:tc>
        <w:tc>
          <w:tcPr>
            <w:tcW w:w="5100" w:type="dxa"/>
            <w:noWrap w:val="0"/>
            <w:vAlign w:val="center"/>
          </w:tcPr>
          <w:p w14:paraId="0D684D99">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①确定评标价</w:t>
            </w:r>
          </w:p>
          <w:p w14:paraId="708ACEB1">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评标价=投标函文字报价</w:t>
            </w:r>
          </w:p>
          <w:p w14:paraId="4908D46C">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②确定评标基准价</w:t>
            </w:r>
          </w:p>
          <w:p w14:paraId="4073512A">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以通过报价文件初步评审的投标文件的最低评标价作为评标基准价</w:t>
            </w:r>
          </w:p>
          <w:p w14:paraId="55DB5B28">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③评标价得分计算</w:t>
            </w:r>
          </w:p>
          <w:p w14:paraId="445D95E0">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评标价得分按照下列公式计算：评标价得分＝（评标基准价/评标价）*F。</w:t>
            </w:r>
          </w:p>
          <w:p w14:paraId="78BD5C3A">
            <w:pPr>
              <w:snapToGrid w:val="0"/>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其中：F是价格分的满分值。</w:t>
            </w:r>
          </w:p>
        </w:tc>
      </w:tr>
    </w:tbl>
    <w:p w14:paraId="69EFE949">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Cs/>
          <w:sz w:val="24"/>
          <w:highlight w:val="none"/>
          <w:lang w:val="en-US" w:eastAsia="zh-CN" w:bidi="ar-SA"/>
        </w:rPr>
      </w:pPr>
    </w:p>
    <w:p w14:paraId="5FCA144E">
      <w:pPr>
        <w:rPr>
          <w:rFonts w:hint="eastAsia" w:ascii="方正仿宋_GB18030" w:hAnsi="方正仿宋_GB18030" w:eastAsia="方正仿宋_GB18030" w:cs="方正仿宋_GB18030"/>
          <w:color w:val="auto"/>
          <w:sz w:val="21"/>
          <w:szCs w:val="21"/>
          <w:highlight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EF925E3-7600-4E75-8A59-D0088656D9DC}"/>
  </w:font>
  <w:font w:name="Arial">
    <w:panose1 w:val="020B0604020202020204"/>
    <w:charset w:val="01"/>
    <w:family w:val="swiss"/>
    <w:pitch w:val="default"/>
    <w:sig w:usb0="E0002EFF" w:usb1="C000785B" w:usb2="00000009" w:usb3="00000000" w:csb0="400001FF" w:csb1="FFFF0000"/>
    <w:embedRegular r:id="rId2" w:fontKey="{2971FEF2-CBCF-4688-AC15-CF24C659F5E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76E19106-D2B7-4C2D-92A6-C6910704B91F}"/>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方正仿宋_GB18030">
    <w:panose1 w:val="02000000000000000000"/>
    <w:charset w:val="86"/>
    <w:family w:val="auto"/>
    <w:pitch w:val="default"/>
    <w:sig w:usb0="00000001" w:usb1="08000000" w:usb2="00000000" w:usb3="00000000" w:csb0="00040000" w:csb1="00000000"/>
    <w:embedRegular r:id="rId4" w:fontKey="{5509A3A2-43FB-4007-AF9C-CCE431CEDA3E}"/>
  </w:font>
  <w:font w:name="Wingdings 2">
    <w:panose1 w:val="05020102010507070707"/>
    <w:charset w:val="02"/>
    <w:family w:val="roman"/>
    <w:pitch w:val="default"/>
    <w:sig w:usb0="00000000" w:usb1="00000000" w:usb2="00000000" w:usb3="00000000" w:csb0="80000000" w:csb1="00000000"/>
    <w:embedRegular r:id="rId5" w:fontKey="{5E8BA437-73E0-4A5A-9BB1-4355BBAA3A76}"/>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5C00"/>
    <w:multiLevelType w:val="singleLevel"/>
    <w:tmpl w:val="9C6F5C00"/>
    <w:lvl w:ilvl="0" w:tentative="0">
      <w:start w:val="1"/>
      <w:numFmt w:val="decimal"/>
      <w:lvlText w:val="%1."/>
      <w:lvlJc w:val="left"/>
      <w:pPr>
        <w:tabs>
          <w:tab w:val="left" w:pos="312"/>
        </w:tabs>
      </w:pPr>
    </w:lvl>
  </w:abstractNum>
  <w:abstractNum w:abstractNumId="1">
    <w:nsid w:val="0A2C0B67"/>
    <w:multiLevelType w:val="singleLevel"/>
    <w:tmpl w:val="0A2C0B67"/>
    <w:lvl w:ilvl="0" w:tentative="0">
      <w:start w:val="1"/>
      <w:numFmt w:val="decimal"/>
      <w:lvlText w:val="%1."/>
      <w:lvlJc w:val="left"/>
      <w:pPr>
        <w:tabs>
          <w:tab w:val="left" w:pos="312"/>
        </w:tabs>
      </w:pPr>
    </w:lvl>
  </w:abstractNum>
  <w:abstractNum w:abstractNumId="2">
    <w:nsid w:val="592B4753"/>
    <w:multiLevelType w:val="singleLevel"/>
    <w:tmpl w:val="592B4753"/>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4FF1112"/>
    <w:rsid w:val="171676FC"/>
    <w:rsid w:val="174F3E72"/>
    <w:rsid w:val="19371A3D"/>
    <w:rsid w:val="1B562B38"/>
    <w:rsid w:val="1BBE6F12"/>
    <w:rsid w:val="1BE340FE"/>
    <w:rsid w:val="1CD51C99"/>
    <w:rsid w:val="1EA9518B"/>
    <w:rsid w:val="1EF02DBA"/>
    <w:rsid w:val="229D0F23"/>
    <w:rsid w:val="23430DDC"/>
    <w:rsid w:val="243B6972"/>
    <w:rsid w:val="2560638D"/>
    <w:rsid w:val="2888575B"/>
    <w:rsid w:val="288C7083"/>
    <w:rsid w:val="297B7857"/>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2F36125"/>
    <w:rsid w:val="44AA4756"/>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FB20EC"/>
    <w:rsid w:val="5839386D"/>
    <w:rsid w:val="58B2099D"/>
    <w:rsid w:val="58DC61B7"/>
    <w:rsid w:val="59F6057D"/>
    <w:rsid w:val="5A8121BA"/>
    <w:rsid w:val="5ABF0539"/>
    <w:rsid w:val="5B4434DF"/>
    <w:rsid w:val="646C7BDC"/>
    <w:rsid w:val="65374BCA"/>
    <w:rsid w:val="6562740E"/>
    <w:rsid w:val="65FC1861"/>
    <w:rsid w:val="662E5966"/>
    <w:rsid w:val="668838E6"/>
    <w:rsid w:val="6740025D"/>
    <w:rsid w:val="6747066A"/>
    <w:rsid w:val="699F737A"/>
    <w:rsid w:val="6B1A1662"/>
    <w:rsid w:val="6DEB7675"/>
    <w:rsid w:val="6EAC5D22"/>
    <w:rsid w:val="6F1E00AA"/>
    <w:rsid w:val="6FE07D2F"/>
    <w:rsid w:val="71DF2C74"/>
    <w:rsid w:val="72527C68"/>
    <w:rsid w:val="72972D7B"/>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4">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5">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pPr>
      <w:ind w:left="140"/>
    </w:pPr>
    <w:rPr>
      <w:rFonts w:ascii="宋体" w:hAnsi="宋体"/>
      <w:sz w:val="21"/>
      <w:szCs w:val="21"/>
    </w:rPr>
  </w:style>
  <w:style w:type="paragraph" w:styleId="7">
    <w:name w:val="annotation text"/>
    <w:basedOn w:val="1"/>
    <w:link w:val="30"/>
    <w:autoRedefine/>
    <w:semiHidden/>
    <w:unhideWhenUsed/>
    <w:qFormat/>
    <w:uiPriority w:val="99"/>
    <w:pPr>
      <w:jc w:val="left"/>
    </w:pPr>
  </w:style>
  <w:style w:type="paragraph" w:styleId="8">
    <w:name w:val="Body Text Indent"/>
    <w:basedOn w:val="1"/>
    <w:autoRedefine/>
    <w:qFormat/>
    <w:uiPriority w:val="0"/>
    <w:pPr>
      <w:ind w:firstLine="645"/>
    </w:pPr>
    <w:rPr>
      <w:rFonts w:ascii="楷体_GB2312" w:eastAsia="楷体_GB2312"/>
      <w:kern w:val="2"/>
      <w:sz w:val="32"/>
    </w:rPr>
  </w:style>
  <w:style w:type="paragraph" w:styleId="9">
    <w:name w:val="Plain Text"/>
    <w:basedOn w:val="1"/>
    <w:autoRedefine/>
    <w:qFormat/>
    <w:uiPriority w:val="0"/>
    <w:rPr>
      <w:rFonts w:hAnsi="Courier New"/>
      <w:kern w:val="2"/>
      <w:sz w:val="21"/>
    </w:rPr>
  </w:style>
  <w:style w:type="paragraph" w:styleId="10">
    <w:name w:val="Date"/>
    <w:basedOn w:val="1"/>
    <w:next w:val="1"/>
    <w:qFormat/>
    <w:uiPriority w:val="0"/>
    <w:rPr>
      <w:rFonts w:ascii="Times New Roman"/>
      <w:b/>
      <w:kern w:val="2"/>
      <w:sz w:val="28"/>
    </w:rPr>
  </w:style>
  <w:style w:type="paragraph" w:styleId="11">
    <w:name w:val="Balloon Text"/>
    <w:basedOn w:val="1"/>
    <w:link w:val="32"/>
    <w:autoRedefine/>
    <w:semiHidden/>
    <w:unhideWhenUsed/>
    <w:qFormat/>
    <w:uiPriority w:val="99"/>
    <w:rPr>
      <w:sz w:val="18"/>
      <w:szCs w:val="18"/>
    </w:rPr>
  </w:style>
  <w:style w:type="paragraph" w:styleId="12">
    <w:name w:val="footer"/>
    <w:basedOn w:val="1"/>
    <w:link w:val="28"/>
    <w:autoRedefine/>
    <w:unhideWhenUsed/>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pPr>
    <w:rPr>
      <w:rFonts w:ascii="Arial" w:hAnsi="Arial" w:cs="Arial"/>
      <w:szCs w:val="24"/>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autoRedefine/>
    <w:qFormat/>
    <w:uiPriority w:val="0"/>
    <w:pPr>
      <w:ind w:firstLine="645"/>
    </w:pPr>
    <w:rPr>
      <w:rFonts w:ascii="仿宋_GB2312" w:hAnsi="Arial" w:eastAsia="仿宋_GB2312"/>
      <w:color w:val="000000"/>
      <w:sz w:val="30"/>
    </w:rPr>
  </w:style>
  <w:style w:type="paragraph" w:styleId="16">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autoRedefine/>
    <w:unhideWhenUsed/>
    <w:qFormat/>
    <w:uiPriority w:val="99"/>
    <w:pPr>
      <w:spacing w:before="100" w:beforeAutospacing="1" w:after="100" w:afterAutospacing="1"/>
      <w:jc w:val="left"/>
    </w:pPr>
    <w:rPr>
      <w:kern w:val="0"/>
      <w:sz w:val="24"/>
      <w:szCs w:val="22"/>
    </w:rPr>
  </w:style>
  <w:style w:type="paragraph" w:styleId="18">
    <w:name w:val="annotation subject"/>
    <w:basedOn w:val="7"/>
    <w:next w:val="7"/>
    <w:link w:val="31"/>
    <w:autoRedefine/>
    <w:semiHidden/>
    <w:unhideWhenUsed/>
    <w:qFormat/>
    <w:uiPriority w:val="99"/>
    <w:rPr>
      <w:b/>
      <w:bCs/>
    </w:rPr>
  </w:style>
  <w:style w:type="paragraph" w:styleId="19">
    <w:name w:val="Body Text First Indent 2"/>
    <w:basedOn w:val="8"/>
    <w:autoRedefine/>
    <w:qFormat/>
    <w:uiPriority w:val="0"/>
    <w:pPr>
      <w:ind w:left="420" w:leftChars="200" w:firstLine="420" w:firstLineChars="200"/>
    </w:p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4"/>
    <w:autoRedefine/>
    <w:qFormat/>
    <w:uiPriority w:val="99"/>
    <w:rPr>
      <w:sz w:val="18"/>
      <w:szCs w:val="18"/>
    </w:rPr>
  </w:style>
  <w:style w:type="character" w:customStyle="1" w:styleId="28">
    <w:name w:val="页脚 Char"/>
    <w:basedOn w:val="22"/>
    <w:link w:val="12"/>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7"/>
    <w:autoRedefine/>
    <w:semiHidden/>
    <w:qFormat/>
    <w:uiPriority w:val="99"/>
  </w:style>
  <w:style w:type="character" w:customStyle="1" w:styleId="31">
    <w:name w:val="批注主题 Char"/>
    <w:basedOn w:val="30"/>
    <w:link w:val="18"/>
    <w:autoRedefine/>
    <w:semiHidden/>
    <w:qFormat/>
    <w:uiPriority w:val="99"/>
    <w:rPr>
      <w:b/>
      <w:bCs/>
    </w:rPr>
  </w:style>
  <w:style w:type="character" w:customStyle="1" w:styleId="32">
    <w:name w:val="批注框文本 Char"/>
    <w:basedOn w:val="22"/>
    <w:link w:val="11"/>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17</Pages>
  <Words>273</Words>
  <Characters>273</Characters>
  <Lines>5</Lines>
  <Paragraphs>1</Paragraphs>
  <TotalTime>2</TotalTime>
  <ScaleCrop>false</ScaleCrop>
  <LinksUpToDate>false</LinksUpToDate>
  <CharactersWithSpaces>332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2026-10-19T03:53:23Z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